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Microsoft YaHei" w:hAnsi="Microsoft YaHei"/>
          <w:b/>
          <w:color w:val="0F172A"/>
          <w:sz w:val="34"/>
        </w:rPr>
        <w:t>具身智能数据平台：AI 视频标注方案二（修订整合版）</w:t>
      </w:r>
    </w:p>
    <w:p>
      <w:pPr>
        <w:spacing w:before="0" w:after="240"/>
      </w:pPr>
      <w:r>
        <w:rPr>
          <w:rFonts w:ascii="Microsoft YaHei" w:hAnsi="Microsoft YaHei"/>
          <w:b/>
          <w:color w:val="2563EB"/>
          <w:sz w:val="20"/>
        </w:rPr>
        <w:t>按数据类型分流的双通道实施方案 · 技能驱动日志通道 vs 纯遥操作视觉通道</w:t>
      </w:r>
    </w:p>
    <w:p>
      <w:pPr>
        <w:spacing w:after="200"/>
        <w:pBdr>
          <w:bottom w:val="single" w:sz="12" w:space="1" w:color="2563EB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fill="EFF6FF"/>
            <w:tcBorders>
              <w:left w:val="single" w:sz="24" w:space="0" w:color="3B82F6"/>
              <w:top w:val="none"/>
              <w:right w:val="none"/>
              <w:bottom w:val="none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/>
            </w:pPr>
            <w:r>
              <w:rPr>
                <w:rFonts w:ascii="Microsoft YaHei" w:hAnsi="Microsoft YaHei"/>
                <w:b/>
                <w:color w:val="1E3A8A"/>
                <w:sz w:val="18"/>
              </w:rPr>
              <w:t xml:space="preserve">【前置说明与正交维度定位】 </w:t>
            </w:r>
            <w:r>
              <w:rPr>
                <w:rFonts w:ascii="Microsoft YaHei" w:hAnsi="Microsoft YaHei"/>
                <w:color w:val="1E293B"/>
                <w:sz w:val="18"/>
              </w:rPr>
              <w:t>【三份方案定位】本方案（方案二）围绕“数据来源横向分流”组织；方案一围绕“能力成熟度纵向递进”组织；方案三围绕“质量与风险动态路由”组织。三者是正交协同体系。</w:t>
              <w:br/>
              <w:t>【100+TB 硬件破局点】在海量 100+TB 数据与单卡 4090 算力背景下，技能驱动日志通道（Skill-driven Channel）是唯一一条无需重量级视觉推理即可消化大半数据的路径（0 GPU 占用、毫秒级处理）。因此，摸清技能驱动数据与遥操作数据的真实比例是全项目第 0 周最高优先级的战略任务。</w:t>
            </w:r>
          </w:p>
        </w:tc>
      </w:tr>
    </w:tbl>
    <w:p>
      <w:pPr>
        <w:spacing w:after="40"/>
      </w:pPr>
    </w:p>
    <w:p>
      <w:pPr>
        <w:keepNext/>
        <w:spacing w:before="280" w:after="80"/>
        <w:pBdr>
          <w:left w:val="single" w:sz="24" w:space="6" w:color="2563EB"/>
        </w:pBdr>
      </w:pPr>
      <w:r>
        <w:rPr>
          <w:rFonts w:ascii="Microsoft YaHei" w:hAnsi="Microsoft YaHei"/>
          <w:b/>
          <w:color w:val="1E293B"/>
          <w:sz w:val="25"/>
        </w:rPr>
        <w:t>1、调研哪些模型</w:t>
      </w:r>
    </w:p>
    <w:p>
      <w:pPr>
        <w:spacing w:before="30" w:after="60" w:line="288" w:lineRule="auto"/>
      </w:pPr>
      <w:r>
        <w:rPr>
          <w:rFonts w:ascii="Microsoft YaHei" w:hAnsi="Microsoft YaHei"/>
          <w:color w:val="334155"/>
          <w:sz w:val="19"/>
        </w:rPr>
        <w:t>方案二的核心原则是避免“不论何种数据一律跑大模型”，根据输入信号的丰富度严格分流：</w:t>
      </w:r>
    </w:p>
    <w:p>
      <w:pPr>
        <w:keepNext/>
        <w:spacing w:before="160" w:after="60"/>
      </w:pPr>
      <w:r>
        <w:rPr>
          <w:rFonts w:ascii="Microsoft YaHei" w:hAnsi="Microsoft YaHei"/>
          <w:b/>
          <w:color w:val="334155"/>
          <w:sz w:val="21"/>
        </w:rPr>
        <w:t>1.1 日志标注通道（技能驱动数据 Skill-Driven）</w:t>
      </w:r>
    </w:p>
    <w:p>
      <w:pPr>
        <w:spacing w:before="30" w:after="60" w:line="288" w:lineRule="auto"/>
      </w:pPr>
      <w:r>
        <w:rPr>
          <w:rFonts w:ascii="Microsoft YaHei" w:hAnsi="Microsoft YaHei"/>
          <w:color w:val="334155"/>
          <w:sz w:val="19"/>
        </w:rPr>
        <w:t>• 核心结论：此通道无需部署大型视觉语言模型，纯粹依赖轻量级规则解析器。</w:t>
        <w:br/>
        <w:t>• 任务执行日志解析器（Execution Log Parser）：提取 Task Planner 下发的技能调用名（Skill Name）、参数与控制器时间戳。</w:t>
        <w:br/>
        <w:t>• 机器人状态信号对齐器（Robot State Aligner）：读取 Gripper 编码器、力矩突变与机械臂末端速度，用于物理真实发生校验。</w:t>
        <w:br/>
        <w:t>• 技能-动作映射字典（Skill-to-Action Mapper）：将工业代码层面的函数调用转换为标注平台标准四元组动作定义。</w:t>
      </w:r>
    </w:p>
    <w:p>
      <w:pPr>
        <w:keepNext/>
        <w:spacing w:before="160" w:after="60"/>
      </w:pPr>
      <w:r>
        <w:rPr>
          <w:rFonts w:ascii="Microsoft YaHei" w:hAnsi="Microsoft YaHei"/>
          <w:b/>
          <w:color w:val="334155"/>
          <w:sz w:val="21"/>
        </w:rPr>
        <w:t>1.2 视觉标注通道（纯遥操作数据 Teleoperation）</w:t>
      </w:r>
    </w:p>
    <w:p>
      <w:pPr>
        <w:spacing w:before="30" w:after="60" w:line="288" w:lineRule="auto"/>
      </w:pPr>
      <w:r>
        <w:rPr>
          <w:rFonts w:ascii="Microsoft YaHei" w:hAnsi="Microsoft YaHei"/>
          <w:color w:val="334155"/>
          <w:sz w:val="19"/>
        </w:rPr>
        <w:t>• 生产主线基座：vLLM + Qwen2.5-VL-7B-Instruct。主要负责纯遥操作数据下的动作意图识别、工步粗切分与对象描述。</w:t>
        <w:br/>
        <w:t>• 评估对照基座：Qwen3-VL-8B-Instruct，用于固定测试集上的动作召回率对比。</w:t>
        <w:br/>
        <w:t>• 按需触发视觉组件（非默认全跑）：</w:t>
        <w:br/>
        <w:t xml:space="preserve">  - GroundingDINO：仅当出现工件名称语义混淆时唤醒，执行开词表边界框定位；</w:t>
        <w:br/>
        <w:t xml:space="preserve">  - SAM2：仅当同类物体多且发生遮挡丢失时唤醒，执行时序掩码跨帧追踪。</w:t>
      </w:r>
    </w:p>
    <w:p>
      <w:pPr>
        <w:keepNext/>
        <w:spacing w:before="160" w:after="60"/>
      </w:pPr>
      <w:r>
        <w:rPr>
          <w:rFonts w:ascii="Microsoft YaHei" w:hAnsi="Microsoft YaHei"/>
          <w:b/>
          <w:color w:val="334155"/>
          <w:sz w:val="21"/>
        </w:rPr>
        <w:t>1.3 专用时序模型（独立立项通道）</w:t>
      </w:r>
    </w:p>
    <w:p>
      <w:pPr>
        <w:spacing w:before="30" w:after="60" w:line="288" w:lineRule="auto"/>
      </w:pPr>
      <w:r>
        <w:rPr>
          <w:rFonts w:ascii="Microsoft YaHei" w:hAnsi="Microsoft YaHei"/>
          <w:color w:val="334155"/>
          <w:sz w:val="19"/>
        </w:rPr>
        <w:t>• 不作为标配上线，仅在固定工序高频出现且有大量人工确认真值时，独立立项评估 ASFormer（时序动作分割）或 ActionFormer（时序动作定位）。</w:t>
      </w:r>
    </w:p>
    <w:p>
      <w:pPr>
        <w:keepNext/>
        <w:spacing w:before="280" w:after="80"/>
        <w:pBdr>
          <w:left w:val="single" w:sz="24" w:space="6" w:color="2563EB"/>
        </w:pBdr>
      </w:pPr>
      <w:r>
        <w:rPr>
          <w:rFonts w:ascii="Microsoft YaHei" w:hAnsi="Microsoft YaHei"/>
          <w:b/>
          <w:color w:val="1E293B"/>
          <w:sz w:val="25"/>
        </w:rPr>
        <w:t>2、每个模型的安装步骤</w:t>
      </w:r>
    </w:p>
    <w:p>
      <w:pPr>
        <w:spacing w:before="30" w:after="60" w:line="288" w:lineRule="auto"/>
      </w:pPr>
      <w:r>
        <w:rPr>
          <w:rFonts w:ascii="Microsoft YaHei" w:hAnsi="Microsoft YaHei"/>
          <w:color w:val="334155"/>
          <w:sz w:val="19"/>
        </w:rPr>
        <w:t>方案二坚决贯彻“按需部署、梯次上线”，禁止在缺乏明确错误触发时一次性安装全部组件：</w:t>
      </w:r>
    </w:p>
    <w:p>
      <w:pPr>
        <w:keepNext/>
        <w:spacing w:before="160" w:after="60"/>
      </w:pPr>
      <w:r>
        <w:rPr>
          <w:rFonts w:ascii="Microsoft YaHei" w:hAnsi="Microsoft YaHei"/>
          <w:b/>
          <w:color w:val="334155"/>
          <w:sz w:val="21"/>
        </w:rPr>
        <w:t>2.1 部署阶段一：日志解析与时间轴校准程序（纯 CPU 容器，0 GPU 占用）</w:t>
      </w:r>
    </w:p>
    <w:p>
      <w:pPr>
        <w:spacing w:before="40" w:after="60"/>
        <w:ind w:left="173"/>
        <w:shd w:fill="F8FAFC"/>
        <w:pBdr>
          <w:left w:val="single" w:sz="16" w:space="6" w:color="94A3B8"/>
          <w:top w:val="single" w:sz="4" w:space="4" w:color="E2E8F0"/>
          <w:bottom w:val="single" w:sz="4" w:space="4" w:color="E2E8F0"/>
          <w:right w:val="single" w:sz="4" w:space="4" w:color="E2E8F0"/>
        </w:pBdr>
      </w:pPr>
      <w:r>
        <w:rPr>
          <w:rFonts w:ascii="Courier New" w:hAnsi="Courier New"/>
          <w:color w:val="0F172A"/>
          <w:sz w:val="16"/>
        </w:rPr>
        <w:t>pip install pandas numpy pydantic pyyaml rosbag</w:t>
        <w:br/>
        <w:t># 启动日志通道处理器 (毫秒级吞吐，无需昂贵算力)</w:t>
        <w:br/>
        <w:t>python -m log_channel.server --port 9001</w:t>
      </w:r>
    </w:p>
    <w:p>
      <w:pPr>
        <w:keepNext/>
        <w:spacing w:before="160" w:after="60"/>
      </w:pPr>
      <w:r>
        <w:rPr>
          <w:rFonts w:ascii="Microsoft YaHei" w:hAnsi="Microsoft YaHei"/>
          <w:b/>
          <w:color w:val="334155"/>
          <w:sz w:val="21"/>
        </w:rPr>
        <w:t>2.2 部署阶段二：视觉通道主干推理（单卡 4090 运行 vLLM）</w:t>
      </w:r>
    </w:p>
    <w:p>
      <w:pPr>
        <w:spacing w:before="40" w:after="60"/>
        <w:ind w:left="173"/>
        <w:shd w:fill="F8FAFC"/>
        <w:pBdr>
          <w:left w:val="single" w:sz="16" w:space="6" w:color="94A3B8"/>
          <w:top w:val="single" w:sz="4" w:space="4" w:color="E2E8F0"/>
          <w:bottom w:val="single" w:sz="4" w:space="4" w:color="E2E8F0"/>
          <w:right w:val="single" w:sz="4" w:space="4" w:color="E2E8F0"/>
        </w:pBdr>
      </w:pPr>
      <w:r>
        <w:rPr>
          <w:rFonts w:ascii="Courier New" w:hAnsi="Courier New"/>
          <w:color w:val="0F172A"/>
          <w:sz w:val="16"/>
        </w:rPr>
        <w:t># 部署 vLLM 服务，单卡 4090 运行 Qwen2.5-VL-7B</w:t>
        <w:br/>
        <w:t>python -m vllm.entrypoints.openai.api_server   --model Qwen/Qwen2.5-VL-7B-Instruct   --tensor-parallel-size 1   --gpu-memory-utilization 0.85   --max-model-len 8192   --port 8000</w:t>
      </w:r>
    </w:p>
    <w:p>
      <w:pPr>
        <w:keepNext/>
        <w:spacing w:before="160" w:after="60"/>
      </w:pPr>
      <w:r>
        <w:rPr>
          <w:rFonts w:ascii="Microsoft YaHei" w:hAnsi="Microsoft YaHei"/>
          <w:b/>
          <w:color w:val="334155"/>
          <w:sz w:val="21"/>
        </w:rPr>
        <w:t>2.3 部署阶段三：按需视觉增强容器（隔离镜像，条件触发）</w:t>
      </w:r>
    </w:p>
    <w:p>
      <w:pPr>
        <w:spacing w:before="30" w:after="60" w:line="288" w:lineRule="auto"/>
      </w:pPr>
      <w:r>
        <w:rPr>
          <w:rFonts w:ascii="Microsoft YaHei" w:hAnsi="Microsoft YaHei"/>
          <w:color w:val="334155"/>
          <w:sz w:val="19"/>
        </w:rPr>
        <w:t>制作独立的 Docker 镜像包含 GroundingDINO 与 SAM2。仅在被特定错误规则触发时动态拉起容器，完成特征增强后立即释放 GPU 显存，严禁常驻。</w:t>
      </w:r>
    </w:p>
    <w:p>
      <w:pPr>
        <w:keepNext/>
        <w:spacing w:before="280" w:after="80"/>
        <w:pBdr>
          <w:left w:val="single" w:sz="24" w:space="6" w:color="2563EB"/>
        </w:pBdr>
      </w:pPr>
      <w:r>
        <w:rPr>
          <w:rFonts w:ascii="Microsoft YaHei" w:hAnsi="Microsoft YaHei"/>
          <w:b/>
          <w:color w:val="1E293B"/>
          <w:sz w:val="25"/>
        </w:rPr>
        <w:t>3、模型应用效果对比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left w:val="none"/>
          <w:right w:val="none"/>
          <w:insideH w:val="single" w:sz="4" w:space="0" w:color="E2E8F0"/>
          <w:insideV w:val="none"/>
        </w:tblBorders>
      </w:tblPr>
      <w:tblGrid>
        <w:gridCol w:w="2329"/>
        <w:gridCol w:w="2329"/>
        <w:gridCol w:w="2329"/>
        <w:gridCol w:w="2329"/>
      </w:tblGrid>
      <w:tr>
        <w:tc>
          <w:tcPr>
            <w:tcW w:type="dxa" w:w="2329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对比维度</w:t>
            </w:r>
          </w:p>
        </w:tc>
        <w:tc>
          <w:tcPr>
            <w:tcW w:type="dxa" w:w="2329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通道 1：日志标注通道 (技能驱动)</w:t>
            </w:r>
          </w:p>
        </w:tc>
        <w:tc>
          <w:tcPr>
            <w:tcW w:type="dxa" w:w="2329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通道 2：视觉标注通道 (纯遥操作)</w:t>
            </w:r>
          </w:p>
        </w:tc>
        <w:tc>
          <w:tcPr>
            <w:tcW w:type="dxa" w:w="2329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通道 3：混合 Episode 通道</w:t>
            </w:r>
          </w:p>
        </w:tc>
      </w:tr>
      <w:tr>
        <w:tc>
          <w:tcPr>
            <w:tcW w:type="dxa" w:w="23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输入数据源</w:t>
            </w:r>
          </w:p>
        </w:tc>
        <w:tc>
          <w:tcPr>
            <w:tcW w:type="dxa" w:w="23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Execution Log + 机械臂状态信号</w:t>
            </w:r>
          </w:p>
        </w:tc>
        <w:tc>
          <w:tcPr>
            <w:tcW w:type="dxa" w:w="23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纯 RGB/多视角视频流</w:t>
            </w:r>
          </w:p>
        </w:tc>
        <w:tc>
          <w:tcPr>
            <w:tcW w:type="dxa" w:w="23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前段技能日志 + 后段手柄遥操作</w:t>
            </w:r>
          </w:p>
        </w:tc>
      </w:tr>
      <w:tr>
        <w:tc>
          <w:tcPr>
            <w:tcW w:type="dxa" w:w="232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单 Episode 处理耗时</w:t>
            </w:r>
          </w:p>
        </w:tc>
        <w:tc>
          <w:tcPr>
            <w:tcW w:type="dxa" w:w="232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极快 (&lt; 2 秒 / Episode)</w:t>
            </w:r>
          </w:p>
        </w:tc>
        <w:tc>
          <w:tcPr>
            <w:tcW w:type="dxa" w:w="232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较慢 (约 30s ~ 90s / Episode)</w:t>
            </w:r>
          </w:p>
        </w:tc>
        <w:tc>
          <w:tcPr>
            <w:tcW w:type="dxa" w:w="232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中等 (约 20s ~ 45s)</w:t>
            </w:r>
          </w:p>
        </w:tc>
      </w:tr>
      <w:tr>
        <w:tc>
          <w:tcPr>
            <w:tcW w:type="dxa" w:w="23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GPU 显存开销</w:t>
            </w:r>
          </w:p>
        </w:tc>
        <w:tc>
          <w:tcPr>
            <w:tcW w:type="dxa" w:w="23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0 MB (无需 GPU)</w:t>
            </w:r>
          </w:p>
        </w:tc>
        <w:tc>
          <w:tcPr>
            <w:tcW w:type="dxa" w:w="23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16GB ~ 22GB (独占单卡 4090)</w:t>
            </w:r>
          </w:p>
        </w:tc>
        <w:tc>
          <w:tcPr>
            <w:tcW w:type="dxa" w:w="23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仅在遥操作片段占用 GPU</w:t>
            </w:r>
          </w:p>
        </w:tc>
      </w:tr>
      <w:tr>
        <w:tc>
          <w:tcPr>
            <w:tcW w:type="dxa" w:w="232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时间戳精度</w:t>
            </w:r>
          </w:p>
        </w:tc>
        <w:tc>
          <w:tcPr>
            <w:tcW w:type="dxa" w:w="232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物理控制器时钟极精准 (±10ms)</w:t>
            </w:r>
          </w:p>
        </w:tc>
        <w:tc>
          <w:tcPr>
            <w:tcW w:type="dxa" w:w="232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易受采样步长与 VLM 漂移影响</w:t>
            </w:r>
          </w:p>
        </w:tc>
        <w:tc>
          <w:tcPr>
            <w:tcW w:type="dxa" w:w="232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分段处需要时间对齐补偿</w:t>
            </w:r>
          </w:p>
        </w:tc>
      </w:tr>
      <w:tr>
        <w:tc>
          <w:tcPr>
            <w:tcW w:type="dxa" w:w="23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失效/风险场景</w:t>
            </w:r>
          </w:p>
        </w:tc>
        <w:tc>
          <w:tcPr>
            <w:tcW w:type="dxa" w:w="23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机械臂执行失败但日志误报完成</w:t>
            </w:r>
          </w:p>
        </w:tc>
        <w:tc>
          <w:tcPr>
            <w:tcW w:type="dxa" w:w="23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复杂遮挡、金属反光、光照突变</w:t>
            </w:r>
          </w:p>
        </w:tc>
        <w:tc>
          <w:tcPr>
            <w:tcW w:type="dxa" w:w="232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人机交接瞬间的模式跳变点</w:t>
            </w:r>
          </w:p>
        </w:tc>
      </w:tr>
      <w:tr>
        <w:tc>
          <w:tcPr>
            <w:tcW w:type="dxa" w:w="232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100+TB 下的角色</w:t>
            </w:r>
          </w:p>
        </w:tc>
        <w:tc>
          <w:tcPr>
            <w:tcW w:type="dxa" w:w="232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主力泄洪通道 (吃掉 50%+ 吞吐)</w:t>
            </w:r>
          </w:p>
        </w:tc>
        <w:tc>
          <w:tcPr>
            <w:tcW w:type="dxa" w:w="232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精细解析通道 (走方案三风险路由)</w:t>
            </w:r>
          </w:p>
        </w:tc>
        <w:tc>
          <w:tcPr>
            <w:tcW w:type="dxa" w:w="232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特殊分段状态机裁决</w:t>
            </w:r>
          </w:p>
        </w:tc>
      </w:tr>
    </w:tbl>
    <w:p>
      <w:pPr>
        <w:spacing w:after="60"/>
      </w:pPr>
    </w:p>
    <w:p>
      <w:pPr>
        <w:keepNext/>
        <w:spacing w:before="280" w:after="80"/>
        <w:pBdr>
          <w:left w:val="single" w:sz="24" w:space="6" w:color="2563EB"/>
        </w:pBdr>
      </w:pPr>
      <w:r>
        <w:rPr>
          <w:rFonts w:ascii="Microsoft YaHei" w:hAnsi="Microsoft YaHei"/>
          <w:b/>
          <w:color w:val="1E293B"/>
          <w:sz w:val="25"/>
        </w:rPr>
        <w:t>4、模型的训练过程</w:t>
      </w:r>
    </w:p>
    <w:p>
      <w:pPr>
        <w:keepNext/>
        <w:spacing w:before="160" w:after="60"/>
      </w:pPr>
      <w:r>
        <w:rPr>
          <w:rFonts w:ascii="Microsoft YaHei" w:hAnsi="Microsoft YaHei"/>
          <w:b/>
          <w:color w:val="334155"/>
          <w:sz w:val="21"/>
        </w:rPr>
        <w:t>4.1 日志通道免训机制与 Skill-to-Action 映射</w:t>
      </w:r>
    </w:p>
    <w:p>
      <w:pPr>
        <w:spacing w:before="30" w:after="60" w:line="288" w:lineRule="auto"/>
      </w:pPr>
      <w:r>
        <w:rPr>
          <w:rFonts w:ascii="Microsoft YaHei" w:hAnsi="Microsoft YaHei"/>
          <w:color w:val="334155"/>
          <w:sz w:val="19"/>
        </w:rPr>
        <w:t>日志通道完全免除深度学习训练开销，但需要建立严密的配置映射链：</w:t>
        <w:br/>
        <w:t>1. 时间轴硬对齐：通过相机曝光时间戳与 ROS/控制总线时钟（PTP/NTP）进行基准点校准，消除相机传输延迟（通常约 30~80ms 偏差）。</w:t>
        <w:br/>
        <w:t>2. 状态机动作映射：建立 Skill 与平台 Action Taxonomy 的字典映射（如 pick_up_tool -&gt; 避障接近 + 抓取握持）。</w:t>
      </w:r>
    </w:p>
    <w:p>
      <w:pPr>
        <w:keepNext/>
        <w:spacing w:before="160" w:after="60"/>
      </w:pPr>
      <w:r>
        <w:rPr>
          <w:rFonts w:ascii="Microsoft YaHei" w:hAnsi="Microsoft YaHei"/>
          <w:b/>
          <w:color w:val="334155"/>
          <w:sz w:val="21"/>
        </w:rPr>
        <w:t>4.2 视觉通道模型训练与提示词工程</w:t>
      </w:r>
    </w:p>
    <w:p>
      <w:pPr>
        <w:spacing w:before="30" w:after="60" w:line="288" w:lineRule="auto"/>
      </w:pPr>
      <w:r>
        <w:rPr>
          <w:rFonts w:ascii="Microsoft YaHei" w:hAnsi="Microsoft YaHei"/>
          <w:color w:val="334155"/>
          <w:sz w:val="19"/>
        </w:rPr>
        <w:t>视觉通道基于 Qwen2.5-VL 基础权重，通过标准化系统提示词（System Prompt）约定输出结构，结合方案三给出的低成本单次分窗采样。</w:t>
      </w:r>
    </w:p>
    <w:p>
      <w:pPr>
        <w:keepNext/>
        <w:spacing w:before="160" w:after="60"/>
      </w:pPr>
      <w:r>
        <w:rPr>
          <w:rFonts w:ascii="Microsoft YaHei" w:hAnsi="Microsoft YaHei"/>
          <w:b/>
          <w:color w:val="334155"/>
          <w:sz w:val="21"/>
        </w:rPr>
        <w:t>4.3 专用模型独立立项的 4 大门槛准入条件</w:t>
      </w:r>
    </w:p>
    <w:p>
      <w:pPr>
        <w:spacing w:before="30" w:after="60" w:line="288" w:lineRule="auto"/>
      </w:pPr>
      <w:r>
        <w:rPr>
          <w:rFonts w:ascii="Microsoft YaHei" w:hAnsi="Microsoft YaHei"/>
          <w:color w:val="334155"/>
          <w:sz w:val="19"/>
        </w:rPr>
        <w:t>只有同时满足以下四项量化指标时，才批准启动专用时序模型（TAS/TAL）的训练立项：</w:t>
        <w:br/>
        <w:t>① 数据规模达标：该场景已由人工审核确认的完整 Episode &gt; 100 且总帧数 &gt; 200,000 帧；</w:t>
        <w:br/>
        <w:t>② 工序固定度高：相同装配流程的重复度（Sequence Repetition Rate）&gt; 70%；</w:t>
        <w:br/>
        <w:t>③ 视觉误差不可忍受：纯视觉通道生成的候选时间边界误差经统计平均 &gt; 0.5 秒；</w:t>
        <w:br/>
        <w:t>④ ROI 投资回报率明确：专用模型推算节省的人工微调时间成本显著高于算法调优研发成本。</w:t>
      </w:r>
    </w:p>
    <w:p>
      <w:pPr>
        <w:keepNext/>
        <w:spacing w:before="280" w:after="80"/>
        <w:pBdr>
          <w:left w:val="single" w:sz="24" w:space="6" w:color="2563EB"/>
        </w:pBdr>
      </w:pPr>
      <w:r>
        <w:rPr>
          <w:rFonts w:ascii="Microsoft YaHei" w:hAnsi="Microsoft YaHei"/>
          <w:b/>
          <w:color w:val="1E293B"/>
          <w:sz w:val="25"/>
        </w:rPr>
        <w:t>5、如果调优怎么调</w:t>
      </w:r>
    </w:p>
    <w:p>
      <w:pPr>
        <w:keepNext/>
        <w:spacing w:before="160" w:after="60"/>
      </w:pPr>
      <w:r>
        <w:rPr>
          <w:rFonts w:ascii="Microsoft YaHei" w:hAnsi="Microsoft YaHei"/>
          <w:b/>
          <w:color w:val="334155"/>
          <w:sz w:val="21"/>
        </w:rPr>
        <w:t>5.1 严格落实“三层时间线区分”防呆原则</w:t>
      </w:r>
    </w:p>
    <w:p>
      <w:pPr>
        <w:spacing w:before="30" w:after="60" w:line="288" w:lineRule="auto"/>
      </w:pPr>
      <w:r>
        <w:rPr>
          <w:rFonts w:ascii="Microsoft YaHei" w:hAnsi="Microsoft YaHei"/>
          <w:color w:val="334155"/>
          <w:sz w:val="19"/>
        </w:rPr>
        <w:t>针对评审意见，日志通道在调优中严禁将指令时间直接写入标注结果，必须严格拆解为三条独立时间线：</w:t>
        <w:br/>
        <w:t>1. Command Timeline（指令时间线）：控制系统下发 Skill 指令的时刻（记录为 command_start_sec / command_end_sec）；</w:t>
        <w:br/>
        <w:t>2. Physical Event Timeline（物理事件时间线）：Gripper 实际闭合产生夹持力矩的时刻（由传感器信号锚定）；</w:t>
        <w:br/>
        <w:t>3. Semantic Action Timeline（最终动作时间线）：标注平台最终采纳的工步起止点（写入 start_sec / end_sec）。</w:t>
      </w:r>
    </w:p>
    <w:p>
      <w:pPr>
        <w:keepNext/>
        <w:spacing w:before="160" w:after="60"/>
      </w:pPr>
      <w:r>
        <w:rPr>
          <w:rFonts w:ascii="Microsoft YaHei" w:hAnsi="Microsoft YaHei"/>
          <w:b/>
          <w:color w:val="334155"/>
          <w:sz w:val="21"/>
        </w:rPr>
        <w:t>5.2 视觉通道组件的错误驱动触发规则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left w:val="none"/>
          <w:right w:val="none"/>
          <w:insideH w:val="single" w:sz="4" w:space="0" w:color="E2E8F0"/>
          <w:insideV w:val="none"/>
        </w:tblBorders>
      </w:tblPr>
      <w:tblGrid>
        <w:gridCol w:w="3106"/>
        <w:gridCol w:w="3106"/>
        <w:gridCol w:w="3106"/>
      </w:tblGrid>
      <w:tr>
        <w:tc>
          <w:tcPr>
            <w:tcW w:type="dxa" w:w="310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线上触发的具体错误类型</w:t>
            </w:r>
          </w:p>
        </w:tc>
        <w:tc>
          <w:tcPr>
            <w:tcW w:type="dxa" w:w="310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对应唤醒增加的组件/证据</w:t>
            </w:r>
          </w:p>
        </w:tc>
        <w:tc>
          <w:tcPr>
            <w:tcW w:type="dxa" w:w="310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调优与处置动作</w:t>
            </w:r>
          </w:p>
        </w:tc>
      </w:tr>
      <w:tr>
        <w:tc>
          <w:tcPr>
            <w:tcW w:type="dxa" w:w="310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动作语义跳变/不稳定</w:t>
            </w:r>
          </w:p>
        </w:tc>
        <w:tc>
          <w:tcPr>
            <w:tcW w:type="dxa" w:w="310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重叠时间窗口 (Window Overlap)</w:t>
            </w:r>
          </w:p>
        </w:tc>
        <w:tc>
          <w:tcPr>
            <w:tcW w:type="dxa" w:w="310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增加 20% 窗口重叠，触发两模型交叉投票</w:t>
            </w:r>
          </w:p>
        </w:tc>
      </w:tr>
      <w:tr>
        <w:tc>
          <w:tcPr>
            <w:tcW w:type="dxa" w:w="310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工件名称混淆 (如螺丝与螺母)</w:t>
            </w:r>
          </w:p>
        </w:tc>
        <w:tc>
          <w:tcPr>
            <w:tcW w:type="dxa" w:w="310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GroundingDINO 开词表检测</w:t>
            </w:r>
          </w:p>
        </w:tc>
        <w:tc>
          <w:tcPr>
            <w:tcW w:type="dxa" w:w="310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注入装配料盒文本提示词定位独立工件</w:t>
            </w:r>
          </w:p>
        </w:tc>
      </w:tr>
      <w:tr>
        <w:tc>
          <w:tcPr>
            <w:tcW w:type="dxa" w:w="310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同类工件多且跨帧丢失 ID</w:t>
            </w:r>
          </w:p>
        </w:tc>
        <w:tc>
          <w:tcPr>
            <w:tcW w:type="dxa" w:w="310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SAM2 时序掩码跟踪</w:t>
            </w:r>
          </w:p>
        </w:tc>
        <w:tc>
          <w:tcPr>
            <w:tcW w:type="dxa" w:w="310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建立轨迹 ID 持续追踪，锁定工件运动链</w:t>
            </w:r>
          </w:p>
        </w:tc>
      </w:tr>
      <w:tr>
        <w:tc>
          <w:tcPr>
            <w:tcW w:type="dxa" w:w="310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抓取/放置起止边界模糊</w:t>
            </w:r>
          </w:p>
        </w:tc>
        <w:tc>
          <w:tcPr>
            <w:tcW w:type="dxa" w:w="310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机械臂状态信号 (State Signal)</w:t>
            </w:r>
          </w:p>
        </w:tc>
        <w:tc>
          <w:tcPr>
            <w:tcW w:type="dxa" w:w="310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提取夹爪开闭脉冲与末端力矩突变对齐边界</w:t>
            </w:r>
          </w:p>
        </w:tc>
      </w:tr>
      <w:tr>
        <w:tc>
          <w:tcPr>
            <w:tcW w:type="dxa" w:w="310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视频与传感器时码未对齐</w:t>
            </w:r>
          </w:p>
        </w:tc>
        <w:tc>
          <w:tcPr>
            <w:tcW w:type="dxa" w:w="310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时间轴校准队列 (Time Sync)</w:t>
            </w:r>
          </w:p>
        </w:tc>
        <w:tc>
          <w:tcPr>
            <w:tcW w:type="dxa" w:w="310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YaHei" w:hAnsi="Microsoft YaHei"/>
                <w:color w:val="334155"/>
                <w:sz w:val="16"/>
              </w:rPr>
              <w:t>暂停自动化打标，触发两阶段 PTP 硬件时钟对齐</w:t>
            </w:r>
          </w:p>
        </w:tc>
      </w:tr>
    </w:tbl>
    <w:p>
      <w:pPr>
        <w:spacing w:after="60"/>
      </w:pPr>
    </w:p>
    <w:p>
      <w:pPr>
        <w:keepNext/>
        <w:spacing w:before="280" w:after="80"/>
        <w:pBdr>
          <w:left w:val="single" w:sz="24" w:space="6" w:color="2563EB"/>
        </w:pBdr>
      </w:pPr>
      <w:r>
        <w:rPr>
          <w:rFonts w:ascii="Microsoft YaHei" w:hAnsi="Microsoft YaHei"/>
          <w:b/>
          <w:color w:val="1E293B"/>
          <w:sz w:val="25"/>
        </w:rPr>
        <w:t>6、问题点有哪些</w:t>
      </w:r>
    </w:p>
    <w:p>
      <w:pPr>
        <w:spacing w:before="30" w:after="60" w:line="288" w:lineRule="auto"/>
      </w:pPr>
      <w:r>
        <w:rPr>
          <w:rFonts w:ascii="Microsoft YaHei" w:hAnsi="Microsoft YaHei"/>
          <w:color w:val="334155"/>
          <w:sz w:val="19"/>
        </w:rPr>
        <w:t>1. 控制器“虚假繁荣”盲区：工业现场常发生夹爪闭合动作执行完毕，但由于来料工件公差导致滑脱，日志通道会产生“已紧固”的假阳性事件，必须依赖视觉抽样或状态力矩反馈拦截。</w:t>
        <w:br/>
        <w:t>2. 混合 Episode 切换抖动：在人机协同作业中，操作模式频繁在“自动技能”与“手柄接管”之间跳转，分段边缘若无平滑机制易产生工步重叠或时序空白。</w:t>
        <w:br/>
        <w:t>3. 传感器信号丢包与漂移：现场工业总线偶尔出现 50ms~100ms 的偶发丢包，若直接作为硬性门限会导致时序切分产生阶跃错误。</w:t>
      </w:r>
    </w:p>
    <w:p>
      <w:pPr>
        <w:keepNext/>
        <w:spacing w:before="280" w:after="80"/>
        <w:pBdr>
          <w:left w:val="single" w:sz="24" w:space="6" w:color="2563EB"/>
        </w:pBdr>
      </w:pPr>
      <w:r>
        <w:rPr>
          <w:rFonts w:ascii="Microsoft YaHei" w:hAnsi="Microsoft YaHei"/>
          <w:b/>
          <w:color w:val="1E293B"/>
          <w:sz w:val="25"/>
        </w:rPr>
        <w:t>7、或者其他的补充事项</w:t>
      </w:r>
    </w:p>
    <w:p>
      <w:pPr>
        <w:keepNext/>
        <w:spacing w:before="160" w:after="60"/>
      </w:pPr>
      <w:r>
        <w:rPr>
          <w:rFonts w:ascii="Microsoft YaHei" w:hAnsi="Microsoft YaHei"/>
          <w:b/>
          <w:color w:val="334155"/>
          <w:sz w:val="21"/>
        </w:rPr>
        <w:t>7.1 第 0 周战略摸底任务（海量 100+TB 破局基石）</w:t>
      </w:r>
    </w:p>
    <w:p>
      <w:pPr>
        <w:spacing w:before="30" w:after="60" w:line="288" w:lineRule="auto"/>
      </w:pPr>
      <w:r>
        <w:rPr>
          <w:rFonts w:ascii="Microsoft YaHei" w:hAnsi="Microsoft YaHei"/>
          <w:color w:val="334155"/>
          <w:sz w:val="19"/>
        </w:rPr>
        <w:t>项目启动首周必须完成两项量化摸底：</w:t>
        <w:br/>
        <w:t>• 测算全库中【技能驱动 Episode】与【纯遥操作 Episode】的真实分布比例；</w:t>
        <w:br/>
        <w:t>• 若技能驱动占比 &gt; 60%，单卡 4090 的算力压力将降低 3 倍以上，即可按期完成标注排期。</w:t>
      </w:r>
    </w:p>
    <w:p>
      <w:pPr>
        <w:keepNext/>
        <w:spacing w:before="160" w:after="60"/>
      </w:pPr>
      <w:r>
        <w:rPr>
          <w:rFonts w:ascii="Microsoft YaHei" w:hAnsi="Microsoft YaHei"/>
          <w:b/>
          <w:color w:val="334155"/>
          <w:sz w:val="21"/>
        </w:rPr>
        <w:t>7.2 与方案三风险路由的全面收敛</w:t>
      </w:r>
    </w:p>
    <w:p>
      <w:pPr>
        <w:spacing w:before="30" w:after="60" w:line="288" w:lineRule="auto"/>
      </w:pPr>
      <w:r>
        <w:rPr>
          <w:rFonts w:ascii="Microsoft YaHei" w:hAnsi="Microsoft YaHei"/>
          <w:color w:val="334155"/>
          <w:sz w:val="19"/>
        </w:rPr>
        <w:t>方案二不再独立维护一套繁琐的视觉启用规则，而是直接复用《方案三》的风险评分（Risk Score）：技能数据由于具备日志支撑，默认 signal_missingness 极低，直接落入方案三的 L1 快速通道；纯遥操作数据由于缺乏控制先验，天然归入 L2 增强或 L3 人工通道。</w:t>
      </w:r>
    </w:p>
    <w:sectPr w:rsidR="00FC693F" w:rsidRPr="0006063C" w:rsidSect="00034616"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