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具身智能数据平台：AI 视频标注方案（二）</w:t>
      </w:r>
    </w:p>
    <w:p>
      <w:pPr>
        <w:pStyle w:val="Heading2"/>
        <w:pStyle w:val="MdHeading2"/>
      </w:pPr>
      <w:r>
        <w:t xml:space="preserve">按数据类型分流的双通道实施方案</w:t>
      </w:r>
    </w:p>
    <w:p>
      <w:pPr>
        <w:pStyle w:val="Heading2"/>
        <w:pStyle w:val="MdHeading2"/>
      </w:pPr>
      <w:r>
        <w:t xml:space="preserve">0. 方案概述</w:t>
      </w:r>
    </w:p>
    <w:p>
      <w:pPr>
        <w:pStyle w:val="MdParagraph"/>
      </w:pPr>
      <w:r>
        <w:t xml:space="preserve">本方案不采用“所有数据统一经过基础标注层，再逐步叠加融合能力”的建设方式，而是先按 Episode 的数据来源和可用信号进行分类，再为不同类型的数据选择不同处理路径。</w:t>
      </w:r>
    </w:p>
    <w:p>
      <w:pPr>
        <w:pStyle w:val="MdSpace"/>
        <w:spacing w:before="0" w:after="60"/>
      </w:pPr>
    </w:p>
    <w:p>
      <w:pPr>
        <w:pStyle w:val="MdParagraph"/>
      </w:pPr>
      <w:r>
        <w:t xml:space="preserve">核心思路是：</w:t>
      </w:r>
    </w:p>
    <w:p>
      <w:pPr>
        <w:pStyle w:val="MdSpace"/>
        <w:spacing w:before="0" w:after="60"/>
      </w:pPr>
    </w:p>
    <w:p>
      <w:pPr>
        <w:pStyle w:val="MdBlockquote"/>
      </w:pPr>
      <w:r>
        <w:rPr>
          <w:rStyle w:val="MdStrong"/>
          <w:b/>
          <w:bCs/>
        </w:rPr>
        <w:t xml:space="preserve">技能驱动数据优先使用控制层日志，纯遥操作数据优先使用视觉理解；两条通道共用统一标签协议、人工审核和质量评测体系。</w:t>
      </w:r>
    </w:p>
    <w:p>
      <w:pPr>
        <w:pStyle w:val="MdSpace"/>
        <w:spacing w:before="0" w:after="60"/>
      </w:pPr>
    </w:p>
    <w:p>
      <w:pPr>
        <w:pStyle w:val="MdParagraph"/>
      </w:pPr>
      <w:r>
        <w:t xml:space="preserve">这种方式的优点是可以尽早利用已有的高质量控制信号，不必等待整套视觉融合系统建设完成。同时，纯遥操作数据也可以单独推进，不会被技能日志接入问题阻塞。</w:t>
      </w:r>
    </w:p>
    <w:p>
      <w:pPr>
        <w:pStyle w:val="MdSpace"/>
        <w:spacing w:before="0" w:after="60"/>
      </w:pPr>
    </w:p>
    <w:p>
      <w:pPr>
        <w:pStyle w:val="MdParagraph"/>
      </w:pPr>
      <w:r>
        <w:t xml:space="preserve">本方案将系统划分为四类能力，而不是三个按先后建设的方案：</w:t>
      </w:r>
    </w:p>
    <w:p>
      <w:pPr>
        <w:pStyle w:val="MdSpace"/>
        <w:spacing w:before="0" w:after="60"/>
      </w:pPr>
    </w:p>
    <w:p>
      <w:pPr>
        <w:pStyle w:val="MdListItem"/>
        <w:numPr>
          <w:ilvl w:val="0"/>
          <w:numId w:val="2"/>
        </w:numPr>
      </w:pPr>
      <w:r>
        <w:rPr>
          <w:rStyle w:val="MdStrong"/>
          <w:b/>
          <w:bCs/>
        </w:rPr>
        <w:t xml:space="preserve">数据路由能力</w:t>
      </w:r>
      <w:r>
        <w:t xml:space="preserve">：判断 Episode 属于技能驱动、纯遥操作还是混合类型。</w:t>
      </w:r>
    </w:p>
    <w:p>
      <w:pPr>
        <w:pStyle w:val="MdListItem"/>
        <w:numPr>
          <w:ilvl w:val="0"/>
          <w:numId w:val="2"/>
        </w:numPr>
      </w:pPr>
      <w:r>
        <w:rPr>
          <w:rStyle w:val="MdStrong"/>
          <w:b/>
          <w:bCs/>
        </w:rPr>
        <w:t xml:space="preserve">日志标注通道</w:t>
      </w:r>
      <w:r>
        <w:t xml:space="preserve">：对有可靠任务执行日志的数据直接生成高精度动作事件。</w:t>
      </w:r>
    </w:p>
    <w:p>
      <w:pPr>
        <w:pStyle w:val="MdListItem"/>
        <w:numPr>
          <w:ilvl w:val="0"/>
          <w:numId w:val="2"/>
        </w:numPr>
      </w:pPr>
      <w:r>
        <w:rPr>
          <w:rStyle w:val="MdStrong"/>
          <w:b/>
          <w:bCs/>
        </w:rPr>
        <w:t xml:space="preserve">视觉标注通道</w:t>
      </w:r>
      <w:r>
        <w:t xml:space="preserve">：对没有可靠日志的数据使用 VLM、检测跟踪和人工复核完成标注。</w:t>
      </w:r>
    </w:p>
    <w:p>
      <w:pPr>
        <w:pStyle w:val="MdListItem"/>
        <w:numPr>
          <w:ilvl w:val="0"/>
          <w:numId w:val="2"/>
        </w:numPr>
      </w:pPr>
      <w:r>
        <w:rPr>
          <w:rStyle w:val="MdStrong"/>
          <w:b/>
          <w:bCs/>
        </w:rPr>
        <w:t xml:space="preserve">专用优化通道</w:t>
      </w:r>
      <w:r>
        <w:t xml:space="preserve">：只针对数据量足够、动作定义稳定的高频任务训练专用时序模型。</w:t>
      </w:r>
    </w:p>
    <w:p>
      <w:pPr>
        <w:pStyle w:val="MdSpace"/>
        <w:spacing w:before="0" w:after="60"/>
      </w:pPr>
    </w:p>
    <w:p>
      <w:pPr>
        <w:pStyle w:val="MdParagraph"/>
      </w:pPr>
      <w:r>
        <w:t xml:space="preserve">四类能力可以并行建设，但优先级不同。数据路由、统一输出契约和人工审核闭环必须最先完成；日志通道和视觉通道可以同时推进；专用优化通道按任务单独立项。</w:t>
      </w:r>
    </w:p>
    <w:p>
      <w:pPr>
        <w:pStyle w:val="MdSpace"/>
        <w:spacing w:before="0" w:after="60"/>
      </w:pPr>
    </w:p>
    <w:p>
      <w:pPr>
        <w:pStyle w:val="Heading2"/>
        <w:pStyle w:val="MdHeading2"/>
      </w:pPr>
      <w:r>
        <w:t xml:space="preserve">1. 适用前提</w:t>
      </w:r>
    </w:p>
    <w:p>
      <w:pPr>
        <w:pStyle w:val="MdParagraph"/>
      </w:pPr>
      <w:r>
        <w:t xml:space="preserve">本方案适用于以下情况：</w:t>
      </w:r>
    </w:p>
    <w:p>
      <w:pPr>
        <w:pStyle w:val="MdSpace"/>
        <w:spacing w:before="0" w:after="60"/>
      </w:pPr>
    </w:p>
    <w:p>
      <w:pPr>
        <w:pStyle w:val="MdListItem"/>
        <w:numPr>
          <w:ilvl w:val="0"/>
          <w:numId w:val="3"/>
        </w:numPr>
      </w:pPr>
      <w:r>
        <w:t xml:space="preserve">采集数据中同时存在技能驱动 Episode 和纯遥操作 Episode；</w:t>
      </w:r>
    </w:p>
    <w:p>
      <w:pPr>
        <w:pStyle w:val="MdListItem"/>
        <w:numPr>
          <w:ilvl w:val="0"/>
          <w:numId w:val="3"/>
        </w:numPr>
      </w:pPr>
      <w:r>
        <w:t xml:space="preserve">一部分 Episode 具有任务执行日志，另一部分没有可靠的控制层记录；</w:t>
      </w:r>
    </w:p>
    <w:p>
      <w:pPr>
        <w:pStyle w:val="MdListItem"/>
        <w:numPr>
          <w:ilvl w:val="0"/>
          <w:numId w:val="3"/>
        </w:numPr>
      </w:pPr>
      <w:r>
        <w:t xml:space="preserve">不同任务对时间精度的要求不同；</w:t>
      </w:r>
    </w:p>
    <w:p>
      <w:pPr>
        <w:pStyle w:val="MdListItem"/>
        <w:numPr>
          <w:ilvl w:val="0"/>
          <w:numId w:val="3"/>
        </w:numPr>
      </w:pPr>
      <w:r>
        <w:t xml:space="preserve">希望先快速产出高质量标注，而不是等待所有模型组件一次性到位；</w:t>
      </w:r>
    </w:p>
    <w:p>
      <w:pPr>
        <w:pStyle w:val="MdListItem"/>
        <w:numPr>
          <w:ilvl w:val="0"/>
          <w:numId w:val="3"/>
        </w:numPr>
      </w:pPr>
      <w:r>
        <w:t xml:space="preserve">未来可能针对少数高频工序训练专用模型。</w:t>
      </w:r>
    </w:p>
    <w:p>
      <w:pPr>
        <w:pStyle w:val="MdSpace"/>
        <w:spacing w:before="0" w:after="60"/>
      </w:pPr>
    </w:p>
    <w:p>
      <w:pPr>
        <w:pStyle w:val="MdParagraph"/>
      </w:pPr>
      <w:r>
        <w:t xml:space="preserve">如果所有数据都来自同一种采集方式，本方案仍然可用，但数据路由层会退化为固定配置。</w:t>
      </w:r>
    </w:p>
    <w:p>
      <w:pPr>
        <w:pStyle w:val="MdSpace"/>
        <w:spacing w:before="0" w:after="60"/>
      </w:pPr>
    </w:p>
    <w:p>
      <w:pPr>
        <w:pStyle w:val="Heading2"/>
        <w:pStyle w:val="MdHeading2"/>
      </w:pPr>
      <w:r>
        <w:t xml:space="preserve">2. 总体架构</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原始 Episode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数据类型与信号可用性检查</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技能驱动 Episode   纯遥操作 Episode   混合或异常 Episode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日志标注通道       视觉标注通道       人工优先处理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统一事件标准化与质量校验</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AI 候选层</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人工审核确认</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已确认数据集与质量统计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通用标注服务持续运行              高频任务专用模型</w:t>
      </w:r>
    </w:p>
    <w:p>
      <w:pPr>
        <w:pStyle w:val="MdSpace"/>
        <w:spacing w:before="0" w:after="60"/>
      </w:pPr>
    </w:p>
    <w:p>
      <w:pPr>
        <w:pStyle w:val="Heading2"/>
        <w:pStyle w:val="MdHeading2"/>
      </w:pPr>
      <w:r>
        <w:t xml:space="preserve">3. 数据路由层</w:t>
      </w:r>
    </w:p>
    <w:p>
      <w:pPr>
        <w:pStyle w:val="Heading3"/>
        <w:pStyle w:val="MdHeading3"/>
      </w:pPr>
      <w:r>
        <w:t xml:space="preserve">3.1 路由分类</w:t>
      </w:r>
    </w:p>
    <w:p>
      <w:pPr>
        <w:pStyle w:val="MdParagraph"/>
      </w:pPr>
      <w:r>
        <w:t xml:space="preserve">每个 Episode 在进入标注队列时，都应生成一份信号可用性描述：</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类型</w:t>
            </w:r>
          </w:p>
        </w:tc>
        <w:tc>
          <w:tcPr>
            <w:tcMar>
              <w:top w:type="dxa" w:w="100"/>
              <w:left w:type="dxa" w:w="120"/>
              <w:bottom w:type="dxa" w:w="100"/>
              <w:right w:type="dxa" w:w="120"/>
            </w:tcMar>
            <w:vAlign w:val="center"/>
          </w:tcPr>
          <w:p>
            <w:pPr>
              <w:pStyle w:val="MdTableHeader"/>
            </w:pPr>
            <w:r>
              <w:t xml:space="preserve">判断条件</w:t>
            </w:r>
          </w:p>
        </w:tc>
        <w:tc>
          <w:tcPr>
            <w:tcMar>
              <w:top w:type="dxa" w:w="100"/>
              <w:left w:type="dxa" w:w="120"/>
              <w:bottom w:type="dxa" w:w="100"/>
              <w:right w:type="dxa" w:w="120"/>
            </w:tcMar>
            <w:vAlign w:val="center"/>
          </w:tcPr>
          <w:p>
            <w:pPr>
              <w:pStyle w:val="MdTableHeader"/>
            </w:pPr>
            <w:r>
              <w:t xml:space="preserve">默认处理路径</w:t>
            </w:r>
          </w:p>
        </w:tc>
        <w:tc>
          <w:tcPr>
            <w:tcBorders>
              <w:right w:val="none"/>
            </w:tcBorders>
            <w:tcMar>
              <w:top w:type="dxa" w:w="100"/>
              <w:left w:type="dxa" w:w="120"/>
              <w:bottom w:type="dxa" w:w="100"/>
              <w:right w:type="dxa" w:w="120"/>
            </w:tcMar>
            <w:vAlign w:val="center"/>
          </w:tcPr>
          <w:p>
            <w:pPr>
              <w:pStyle w:val="MdTableHeader"/>
            </w:pPr>
            <w:r>
              <w:t xml:space="preserve">说明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技能驱动</w:t>
            </w:r>
          </w:p>
        </w:tc>
        <w:tc>
          <w:tcPr>
            <w:tcMar>
              <w:top w:type="dxa" w:w="80"/>
              <w:left w:type="dxa" w:w="120"/>
              <w:bottom w:type="dxa" w:w="80"/>
              <w:right w:type="dxa" w:w="120"/>
            </w:tcMar>
            <w:vAlign w:val="center"/>
          </w:tcPr>
          <w:p>
            <w:pPr>
              <w:pStyle w:val="MdTableCell"/>
            </w:pPr>
            <w:r>
              <w:t xml:space="preserve">存在有效 skill 名称、开始时间和结束时间，且时钟可与视频对齐</w:t>
            </w:r>
          </w:p>
        </w:tc>
        <w:tc>
          <w:tcPr>
            <w:tcMar>
              <w:top w:type="dxa" w:w="80"/>
              <w:left w:type="dxa" w:w="120"/>
              <w:bottom w:type="dxa" w:w="80"/>
              <w:right w:type="dxa" w:w="120"/>
            </w:tcMar>
            <w:vAlign w:val="center"/>
          </w:tcPr>
          <w:p>
            <w:pPr>
              <w:pStyle w:val="MdTableCell"/>
            </w:pPr>
            <w:r>
              <w:t xml:space="preserve">日志标注通道</w:t>
            </w:r>
          </w:p>
        </w:tc>
        <w:tc>
          <w:tcPr>
            <w:tcBorders>
              <w:right w:val="none"/>
            </w:tcBorders>
            <w:tcMar>
              <w:top w:type="dxa" w:w="80"/>
              <w:left w:type="dxa" w:w="120"/>
              <w:bottom w:type="dxa" w:w="80"/>
              <w:right w:type="dxa" w:w="120"/>
            </w:tcMar>
            <w:vAlign w:val="center"/>
          </w:tcPr>
          <w:p>
            <w:pPr>
              <w:pStyle w:val="MdTableCell"/>
            </w:pPr>
            <w:r>
              <w:t xml:space="preserve">优先使用控制层事件，视觉模型用于对象绑定和异常检查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纯遥操作</w:t>
            </w:r>
          </w:p>
        </w:tc>
        <w:tc>
          <w:tcPr>
            <w:tcMar>
              <w:top w:type="dxa" w:w="80"/>
              <w:left w:type="dxa" w:w="120"/>
              <w:bottom w:type="dxa" w:w="80"/>
              <w:right w:type="dxa" w:w="120"/>
            </w:tcMar>
            <w:vAlign w:val="center"/>
          </w:tcPr>
          <w:p>
            <w:pPr>
              <w:pStyle w:val="MdTableCell"/>
            </w:pPr>
            <w:r>
              <w:t xml:space="preserve">没有可靠 skill 边界，主要依赖人工示教或遥操作</w:t>
            </w:r>
          </w:p>
        </w:tc>
        <w:tc>
          <w:tcPr>
            <w:tcMar>
              <w:top w:type="dxa" w:w="80"/>
              <w:left w:type="dxa" w:w="120"/>
              <w:bottom w:type="dxa" w:w="80"/>
              <w:right w:type="dxa" w:w="120"/>
            </w:tcMar>
            <w:vAlign w:val="center"/>
          </w:tcPr>
          <w:p>
            <w:pPr>
              <w:pStyle w:val="MdTableCell"/>
            </w:pPr>
            <w:r>
              <w:t xml:space="preserve">视觉标注通道</w:t>
            </w:r>
          </w:p>
        </w:tc>
        <w:tc>
          <w:tcPr>
            <w:tcBorders>
              <w:right w:val="none"/>
            </w:tcBorders>
            <w:tcMar>
              <w:top w:type="dxa" w:w="80"/>
              <w:left w:type="dxa" w:w="120"/>
              <w:bottom w:type="dxa" w:w="80"/>
              <w:right w:type="dxa" w:w="120"/>
            </w:tcMar>
            <w:vAlign w:val="center"/>
          </w:tcPr>
          <w:p>
            <w:pPr>
              <w:pStyle w:val="MdTableCell"/>
            </w:pPr>
            <w:r>
              <w:t xml:space="preserve">使用 VLM 识别动作，再按需要补充状态和跟踪证据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混合 Episode</w:t>
            </w:r>
          </w:p>
        </w:tc>
        <w:tc>
          <w:tcPr>
            <w:tcMar>
              <w:top w:type="dxa" w:w="80"/>
              <w:left w:type="dxa" w:w="120"/>
              <w:bottom w:type="dxa" w:w="80"/>
              <w:right w:type="dxa" w:w="120"/>
            </w:tcMar>
            <w:vAlign w:val="center"/>
          </w:tcPr>
          <w:p>
            <w:pPr>
              <w:pStyle w:val="MdTableCell"/>
            </w:pPr>
            <w:r>
              <w:t xml:space="preserve">部分片段有日志，部分片段没有日志</w:t>
            </w:r>
          </w:p>
        </w:tc>
        <w:tc>
          <w:tcPr>
            <w:tcMar>
              <w:top w:type="dxa" w:w="80"/>
              <w:left w:type="dxa" w:w="120"/>
              <w:bottom w:type="dxa" w:w="80"/>
              <w:right w:type="dxa" w:w="120"/>
            </w:tcMar>
            <w:vAlign w:val="center"/>
          </w:tcPr>
          <w:p>
            <w:pPr>
              <w:pStyle w:val="MdTableCell"/>
            </w:pPr>
            <w:r>
              <w:t xml:space="preserve">分段路由</w:t>
            </w:r>
          </w:p>
        </w:tc>
        <w:tc>
          <w:tcPr>
            <w:tcBorders>
              <w:right w:val="none"/>
            </w:tcBorders>
            <w:tcMar>
              <w:top w:type="dxa" w:w="80"/>
              <w:left w:type="dxa" w:w="120"/>
              <w:bottom w:type="dxa" w:w="80"/>
              <w:right w:type="dxa" w:w="120"/>
            </w:tcMar>
            <w:vAlign w:val="center"/>
          </w:tcPr>
          <w:p>
            <w:pPr>
              <w:pStyle w:val="MdTableCell"/>
            </w:pPr>
            <w:r>
              <w:t xml:space="preserve">有日志片段走日志通道，无日志片段走视觉通道</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异常 Episode</w:t>
            </w:r>
          </w:p>
        </w:tc>
        <w:tc>
          <w:tcPr>
            <w:tcBorders>
              <w:bottom w:val="single" w:color="E1E4E8" w:sz="4"/>
            </w:tcBorders>
            <w:tcMar>
              <w:top w:type="dxa" w:w="80"/>
              <w:left w:type="dxa" w:w="120"/>
              <w:bottom w:type="dxa" w:w="80"/>
              <w:right w:type="dxa" w:w="120"/>
            </w:tcMar>
            <w:vAlign w:val="center"/>
          </w:tcPr>
          <w:p>
            <w:pPr>
              <w:pStyle w:val="MdTableCell"/>
            </w:pPr>
            <w:r>
              <w:t xml:space="preserve">日志缺失、字段不完整或时间轴无法对齐</w:t>
            </w:r>
          </w:p>
        </w:tc>
        <w:tc>
          <w:tcPr>
            <w:tcBorders>
              <w:bottom w:val="single" w:color="E1E4E8" w:sz="4"/>
            </w:tcBorders>
            <w:tcMar>
              <w:top w:type="dxa" w:w="80"/>
              <w:left w:type="dxa" w:w="120"/>
              <w:bottom w:type="dxa" w:w="80"/>
              <w:right w:type="dxa" w:w="120"/>
            </w:tcMar>
            <w:vAlign w:val="center"/>
          </w:tcPr>
          <w:p>
            <w:pPr>
              <w:pStyle w:val="MdTableCell"/>
            </w:pPr>
            <w:r>
              <w:t xml:space="preserve">人工优先处理</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不应直接使用日志生成正式候选结果</w:t>
            </w:r>
          </w:p>
        </w:tc>
      </w:tr>
    </w:tbl>
    <w:p>
      <w:pPr>
        <w:pStyle w:val="Heading3"/>
        <w:pStyle w:val="MdHeading3"/>
      </w:pPr>
      <w:r>
        <w:t xml:space="preserve">3.2 路由检查项</w:t>
      </w:r>
    </w:p>
    <w:p>
      <w:pPr>
        <w:pStyle w:val="MdParagraph"/>
      </w:pPr>
      <w:r>
        <w:t xml:space="preserve">路由层不负责判断动作语义，只负责判断某种证据能否被安全使用。至少需要检查：</w:t>
      </w:r>
    </w:p>
    <w:p>
      <w:pPr>
        <w:pStyle w:val="MdSpace"/>
        <w:spacing w:before="0" w:after="60"/>
      </w:pPr>
    </w:p>
    <w:p>
      <w:pPr>
        <w:pStyle w:val="MdListItem"/>
        <w:numPr>
          <w:ilvl w:val="0"/>
          <w:numId w:val="3"/>
        </w:numPr>
      </w:pPr>
      <w:r>
        <w:t xml:space="preserve">是否存在 Episode 唯一 ID；</w:t>
      </w:r>
    </w:p>
    <w:p>
      <w:pPr>
        <w:pStyle w:val="MdListItem"/>
        <w:numPr>
          <w:ilvl w:val="0"/>
          <w:numId w:val="3"/>
        </w:numPr>
      </w:pPr>
      <w:r>
        <w:t xml:space="preserve">视频文件是否完整；</w:t>
      </w:r>
    </w:p>
    <w:p>
      <w:pPr>
        <w:pStyle w:val="MdListItem"/>
        <w:numPr>
          <w:ilvl w:val="0"/>
          <w:numId w:val="3"/>
        </w:numPr>
      </w:pPr>
      <w:r>
        <w:t xml:space="preserve">任务执行日志是否存在；</w:t>
      </w:r>
    </w:p>
    <w:p>
      <w:pPr>
        <w:pStyle w:val="MdListItem"/>
        <w:numPr>
          <w:ilvl w:val="0"/>
          <w:numId w:val="3"/>
        </w:numPr>
      </w:pPr>
      <w:r>
        <w:t xml:space="preserve">skill 名称是否能映射到动作标签枚举；</w:t>
      </w:r>
    </w:p>
    <w:p>
      <w:pPr>
        <w:pStyle w:val="MdListItem"/>
        <w:numPr>
          <w:ilvl w:val="0"/>
          <w:numId w:val="3"/>
        </w:numPr>
      </w:pPr>
      <w:r>
        <w:t xml:space="preserve">日志开始和结束时间是否有效；</w:t>
      </w:r>
    </w:p>
    <w:p>
      <w:pPr>
        <w:pStyle w:val="MdListItem"/>
        <w:numPr>
          <w:ilvl w:val="0"/>
          <w:numId w:val="3"/>
        </w:numPr>
      </w:pPr>
      <w:r>
        <w:t xml:space="preserve">日志时钟与视频 PTS 是否同步或存在可校正偏移；</w:t>
      </w:r>
    </w:p>
    <w:p>
      <w:pPr>
        <w:pStyle w:val="MdListItem"/>
        <w:numPr>
          <w:ilvl w:val="0"/>
          <w:numId w:val="3"/>
        </w:numPr>
      </w:pPr>
      <w:r>
        <w:t xml:space="preserve">日志中的物体 ID 是否能映射到对象库；</w:t>
      </w:r>
    </w:p>
    <w:p>
      <w:pPr>
        <w:pStyle w:val="MdListItem"/>
        <w:numPr>
          <w:ilvl w:val="0"/>
          <w:numId w:val="3"/>
        </w:numPr>
      </w:pPr>
      <w:r>
        <w:t xml:space="preserve">Episode 是否存在明显的日志缺口。</w:t>
      </w:r>
    </w:p>
    <w:p>
      <w:pPr>
        <w:pStyle w:val="MdSpace"/>
        <w:spacing w:before="0" w:after="60"/>
      </w:pPr>
    </w:p>
    <w:p>
      <w:pPr>
        <w:pStyle w:val="MdParagraph"/>
      </w:pPr>
      <w:r>
        <w:t xml:space="preserve">任一关键检查失败，都应记录失败原因，并将该 Episode 路由到视觉通道或人工优先队列，而不是静默使用不完整日志。</w:t>
      </w:r>
    </w:p>
    <w:p>
      <w:pPr>
        <w:pStyle w:val="MdSpace"/>
        <w:spacing w:before="0" w:after="60"/>
      </w:pPr>
    </w:p>
    <w:p>
      <w:pPr>
        <w:pStyle w:val="Heading2"/>
        <w:pStyle w:val="MdHeading2"/>
      </w:pPr>
      <w:r>
        <w:t xml:space="preserve">4. 日志标注通道</w:t>
      </w:r>
    </w:p>
    <w:p>
      <w:pPr>
        <w:pStyle w:val="Heading3"/>
        <w:pStyle w:val="MdHeading3"/>
      </w:pPr>
      <w:r>
        <w:t xml:space="preserve">4.1 处理流程</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任务执行日志</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skill 名称映射为标准动作标签</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校正日志时间戳与视频 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根据物体 ID 或视觉检测结果绑定对象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检查动作区间是否重叠或缺失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生成统一 JSON 候选结果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抽样或异常触发式视觉复核</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人工审核</w:t>
      </w:r>
    </w:p>
    <w:p>
      <w:pPr>
        <w:pStyle w:val="MdSpace"/>
        <w:spacing w:before="0" w:after="60"/>
      </w:pPr>
    </w:p>
    <w:p>
      <w:pPr>
        <w:pStyle w:val="Heading3"/>
        <w:pStyle w:val="MdHeading3"/>
      </w:pPr>
      <w:r>
        <w:t xml:space="preserve">4.2 日志通道的职责边界</w:t>
      </w:r>
    </w:p>
    <w:p>
      <w:pPr>
        <w:pStyle w:val="MdParagraph"/>
      </w:pPr>
      <w:r>
        <w:t xml:space="preserve">日志通道可以直接提供技能或子目标的语义和时间边界，但不能假定它已经解决所有问题：</w:t>
      </w:r>
    </w:p>
    <w:p>
      <w:pPr>
        <w:pStyle w:val="MdSpace"/>
        <w:spacing w:before="0" w:after="60"/>
      </w:pPr>
    </w:p>
    <w:p>
      <w:pPr>
        <w:pStyle w:val="MdListItem"/>
        <w:numPr>
          <w:ilvl w:val="0"/>
          <w:numId w:val="3"/>
        </w:numPr>
      </w:pPr>
      <w:r>
        <w:t xml:space="preserve">日志中的 skill 名称需要映射到平台动作标签；</w:t>
      </w:r>
    </w:p>
    <w:p>
      <w:pPr>
        <w:pStyle w:val="MdListItem"/>
        <w:numPr>
          <w:ilvl w:val="0"/>
          <w:numId w:val="3"/>
        </w:numPr>
      </w:pPr>
      <w:r>
        <w:t xml:space="preserve">日志中的物体 ID 可能需要通过 GroundingDINO 或 SAM2 与视频中的对象绑定；</w:t>
      </w:r>
    </w:p>
    <w:p>
      <w:pPr>
        <w:pStyle w:val="MdListItem"/>
        <w:numPr>
          <w:ilvl w:val="0"/>
          <w:numId w:val="3"/>
        </w:numPr>
      </w:pPr>
      <w:r>
        <w:t xml:space="preserve">日志时间必须与视频时间轴对齐；</w:t>
      </w:r>
    </w:p>
    <w:p>
      <w:pPr>
        <w:pStyle w:val="MdListItem"/>
        <w:numPr>
          <w:ilvl w:val="0"/>
          <w:numId w:val="3"/>
        </w:numPr>
      </w:pPr>
      <w:r>
        <w:t xml:space="preserve">日志记录了控制意图，不一定代表动作在物理世界中已经成功完成；</w:t>
      </w:r>
    </w:p>
    <w:p>
      <w:pPr>
        <w:pStyle w:val="MdListItem"/>
        <w:numPr>
          <w:ilvl w:val="0"/>
          <w:numId w:val="3"/>
        </w:numPr>
      </w:pPr>
      <w:r>
        <w:t xml:space="preserve">日志缺失的片段必须交给视觉通道或人工处理。</w:t>
      </w:r>
    </w:p>
    <w:p>
      <w:pPr>
        <w:pStyle w:val="MdSpace"/>
        <w:spacing w:before="0" w:after="60"/>
      </w:pPr>
    </w:p>
    <w:p>
      <w:pPr>
        <w:pStyle w:val="MdParagraph"/>
      </w:pPr>
      <w:r>
        <w:t xml:space="preserve">因此，日志通道不是“完全跳过视觉”的通道，而是“以日志为主、视觉做校验和对象绑定”的通道。</w:t>
      </w:r>
    </w:p>
    <w:p>
      <w:pPr>
        <w:pStyle w:val="MdSpace"/>
        <w:spacing w:before="0" w:after="60"/>
      </w:pPr>
    </w:p>
    <w:p>
      <w:pPr>
        <w:pStyle w:val="Heading3"/>
        <w:pStyle w:val="MdHeading3"/>
      </w:pPr>
      <w:r>
        <w:t xml:space="preserve">4.3 日志通道的异常规则</w:t>
      </w:r>
    </w:p>
    <w:p>
      <w:pPr>
        <w:pStyle w:val="MdParagraph"/>
      </w:pPr>
      <w:r>
        <w:t xml:space="preserve">以下情况应自动进入复核：</w:t>
      </w:r>
    </w:p>
    <w:p>
      <w:pPr>
        <w:pStyle w:val="MdSpace"/>
        <w:spacing w:before="0" w:after="60"/>
      </w:pPr>
    </w:p>
    <w:p>
      <w:pPr>
        <w:pStyle w:val="MdListItem"/>
        <w:numPr>
          <w:ilvl w:val="0"/>
          <w:numId w:val="3"/>
        </w:numPr>
      </w:pPr>
      <w:r>
        <w:t xml:space="preserve">skill 名称无法映射到动作标签；</w:t>
      </w:r>
    </w:p>
    <w:p>
      <w:pPr>
        <w:pStyle w:val="MdListItem"/>
        <w:numPr>
          <w:ilvl w:val="0"/>
          <w:numId w:val="3"/>
        </w:numPr>
      </w:pPr>
      <w:r>
        <w:t xml:space="preserve">开始时间晚于结束时间；</w:t>
      </w:r>
    </w:p>
    <w:p>
      <w:pPr>
        <w:pStyle w:val="MdListItem"/>
        <w:numPr>
          <w:ilvl w:val="0"/>
          <w:numId w:val="3"/>
        </w:numPr>
      </w:pPr>
      <w:r>
        <w:t xml:space="preserve">相邻动作时间重叠超过设定阈值；</w:t>
      </w:r>
    </w:p>
    <w:p>
      <w:pPr>
        <w:pStyle w:val="MdListItem"/>
        <w:numPr>
          <w:ilvl w:val="0"/>
          <w:numId w:val="3"/>
        </w:numPr>
      </w:pPr>
      <w:r>
        <w:t xml:space="preserve">同一对象在同一时间被绑定到互斥动作；</w:t>
      </w:r>
    </w:p>
    <w:p>
      <w:pPr>
        <w:pStyle w:val="MdListItem"/>
        <w:numPr>
          <w:ilvl w:val="0"/>
          <w:numId w:val="3"/>
        </w:numPr>
      </w:pPr>
      <w:r>
        <w:t xml:space="preserve">日志时间与视觉明显不一致；</w:t>
      </w:r>
    </w:p>
    <w:p>
      <w:pPr>
        <w:pStyle w:val="MdListItem"/>
        <w:numPr>
          <w:ilvl w:val="0"/>
          <w:numId w:val="3"/>
        </w:numPr>
      </w:pPr>
      <w:r>
        <w:t xml:space="preserve">日志宣称动作完成，但视觉中目标对象完全不可见；</w:t>
      </w:r>
    </w:p>
    <w:p>
      <w:pPr>
        <w:pStyle w:val="MdListItem"/>
        <w:numPr>
          <w:ilvl w:val="0"/>
          <w:numId w:val="3"/>
        </w:numPr>
      </w:pPr>
      <w:r>
        <w:t xml:space="preserve">Episode 中存在连续较长的日志空白。</w:t>
      </w:r>
    </w:p>
    <w:p>
      <w:pPr>
        <w:pStyle w:val="MdSpace"/>
        <w:spacing w:before="0" w:after="60"/>
      </w:pPr>
    </w:p>
    <w:p>
      <w:pPr>
        <w:pStyle w:val="MdParagraph"/>
      </w:pPr>
      <w:r>
        <w:t xml:space="preserve">日志通道的目标不是让所有结果自动通过，而是把人工精力集中到日志与实际视频不一致的少数案例上。</w:t>
      </w:r>
    </w:p>
    <w:p>
      <w:pPr>
        <w:pStyle w:val="MdSpace"/>
        <w:spacing w:before="0" w:after="60"/>
      </w:pPr>
    </w:p>
    <w:p>
      <w:pPr>
        <w:pStyle w:val="Heading2"/>
        <w:pStyle w:val="MdHeading2"/>
      </w:pPr>
      <w:r>
        <w:t xml:space="preserve">5. 视觉标注通道</w:t>
      </w:r>
    </w:p>
    <w:p>
      <w:pPr>
        <w:pStyle w:val="Heading3"/>
        <w:pStyle w:val="MdHeading3"/>
      </w:pPr>
      <w:r>
        <w:t xml:space="preserve">5.1 标准流程</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视频</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重叠窗口抽帧</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VLM 判断动作类别和粗时间区间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只对候选边界局部加密抽帧</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需要对象证据时运行 GroundingDINO + SAM2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需要状态证据时解析 gripper、关节速度和力矩</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统一融合</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候选层</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人工审核</w:t>
      </w:r>
    </w:p>
    <w:p>
      <w:pPr>
        <w:pStyle w:val="MdSpace"/>
        <w:spacing w:before="0" w:after="60"/>
      </w:pPr>
    </w:p>
    <w:p>
      <w:pPr>
        <w:pStyle w:val="MdParagraph"/>
      </w:pPr>
      <w:r>
        <w:t xml:space="preserve">视觉通道采用“按需加证据”的方式，而不是对所有 Episode 同时运行全部模型：</w:t>
      </w:r>
    </w:p>
    <w:p>
      <w:pPr>
        <w:pStyle w:val="MdSpace"/>
        <w:spacing w:before="0" w:after="60"/>
      </w:pPr>
    </w:p>
    <w:p>
      <w:pPr>
        <w:pStyle w:val="MdListItem"/>
        <w:numPr>
          <w:ilvl w:val="0"/>
          <w:numId w:val="3"/>
        </w:numPr>
      </w:pPr>
      <w:r>
        <w:t xml:space="preserve">第一轮只运行 VLM，快速得到动作候选；</w:t>
      </w:r>
    </w:p>
    <w:p>
      <w:pPr>
        <w:pStyle w:val="MdListItem"/>
        <w:numPr>
          <w:ilvl w:val="0"/>
          <w:numId w:val="3"/>
        </w:numPr>
      </w:pPr>
      <w:r>
        <w:t xml:space="preserve">如果动作边界满足精度要求，则直接进入候选层；</w:t>
      </w:r>
    </w:p>
    <w:p>
      <w:pPr>
        <w:pStyle w:val="MdListItem"/>
        <w:numPr>
          <w:ilvl w:val="0"/>
          <w:numId w:val="3"/>
        </w:numPr>
      </w:pPr>
      <w:r>
        <w:t xml:space="preserve">如果对象混淆，则增加 GroundingDINO 和 SAM2；</w:t>
      </w:r>
    </w:p>
    <w:p>
      <w:pPr>
        <w:pStyle w:val="MdListItem"/>
        <w:numPr>
          <w:ilvl w:val="0"/>
          <w:numId w:val="3"/>
        </w:numPr>
      </w:pPr>
      <w:r>
        <w:t xml:space="preserve">如果边界精度不足且存在状态信号，则增加状态解析；</w:t>
      </w:r>
    </w:p>
    <w:p>
      <w:pPr>
        <w:pStyle w:val="MdListItem"/>
        <w:numPr>
          <w:ilvl w:val="0"/>
          <w:numId w:val="3"/>
        </w:numPr>
      </w:pPr>
      <w:r>
        <w:t xml:space="preserve">如果证据仍不足，则标记 </w:t>
      </w:r>
      <w:r>
        <w:rPr>
          <w:rStyle w:val="MdCode"/>
          <w:u w:val="single"/>
        </w:rPr>
        <w:t xml:space="preserve">needs_review=true</w:t>
      </w:r>
      <w:r>
        <w:t xml:space="preserve"> 并交给人工。</w:t>
      </w:r>
    </w:p>
    <w:p>
      <w:pPr>
        <w:pStyle w:val="MdSpace"/>
        <w:spacing w:before="0" w:after="60"/>
      </w:pPr>
    </w:p>
    <w:p>
      <w:pPr>
        <w:pStyle w:val="Heading3"/>
        <w:pStyle w:val="MdHeading3"/>
      </w:pPr>
      <w:r>
        <w:t xml:space="preserve">5.2 视觉通道的运行方式</w:t>
      </w:r>
    </w:p>
    <w:p>
      <w:pPr>
        <w:pStyle w:val="MdParagraph"/>
      </w:pPr>
      <w:r>
        <w:t xml:space="preserve">生产主线建议采用 vLLM + 原生视频输入。Ollama 用于快速 Prompt 试错，MLX-VLM 用于 Mac 环境的链路验证。三者是运行环境选择，不是三条业务处理路径。</w:t>
      </w:r>
    </w:p>
    <w:p>
      <w:pPr>
        <w:pStyle w:val="MdSpace"/>
        <w:spacing w:before="0" w:after="60"/>
      </w:pPr>
    </w:p>
    <w:p>
      <w:pPr>
        <w:pStyle w:val="MdParagraph"/>
      </w:pPr>
      <w:r>
        <w:t xml:space="preserve">VLM 输出必须受固定动作标签枚举约束，并通过 JSON Schema 或 Pydantic 做服务端校验。不能允许模型自由生成动作名称。</w:t>
      </w:r>
    </w:p>
    <w:p>
      <w:pPr>
        <w:pStyle w:val="MdSpace"/>
        <w:spacing w:before="0" w:after="60"/>
      </w:pPr>
    </w:p>
    <w:p>
      <w:pPr>
        <w:pStyle w:val="Heading3"/>
        <w:pStyle w:val="MdHeading3"/>
      </w:pPr>
      <w:r>
        <w:t xml:space="preserve">5.3 本地部署清单</w:t>
      </w:r>
    </w:p>
    <w:p>
      <w:pPr>
        <w:pStyle w:val="MdParagraph"/>
      </w:pPr>
      <w:r>
        <w:t xml:space="preserve">方案 2 需要本地部署哪些组件，取决于 Episode 的数据类型和信号可用性。不能把所有组件都视为必需的大模型。</w:t>
      </w:r>
    </w:p>
    <w:p>
      <w:pPr>
        <w:pStyle w:val="MdSpace"/>
        <w:spacing w:before="0" w:after="60"/>
      </w:pPr>
    </w:p>
    <w:p>
      <w:pPr>
        <w:pStyle w:val="Heading4"/>
        <w:pStyle w:val="MdHeading4"/>
      </w:pPr>
      <w:r>
        <w:t xml:space="preserve">技能驱动数据</w:t>
      </w:r>
    </w:p>
    <w:p>
      <w:pPr>
        <w:pStyle w:val="MdParagraph"/>
      </w:pPr>
      <w:r>
        <w:t xml:space="preserve">如果任务执行日志能够提供有效的 skill 名称、动作边界和时间戳，日志标注通道可以先使用日志解析程序、标签映射表和时间轴校准模块完成标注，不一定需要部署 VLM。</w:t>
      </w:r>
    </w:p>
    <w:p>
      <w:pPr>
        <w:pStyle w:val="MdSpace"/>
        <w:spacing w:before="0" w:after="60"/>
      </w:pPr>
    </w:p>
    <w:p>
      <w:pPr>
        <w:pStyle w:val="MdParagraph"/>
      </w:pPr>
      <w:r>
        <w:t xml:space="preserve">这条通道仍然建议保留视觉抽样复核。当日志中的物体 ID 无法直接对应平台对象库，或需要确认控制意图是否在视频中真实发生时，再调用本地视觉模型。</w:t>
      </w:r>
    </w:p>
    <w:p>
      <w:pPr>
        <w:pStyle w:val="MdSpace"/>
        <w:spacing w:before="0" w:after="60"/>
      </w:pPr>
    </w:p>
    <w:p>
      <w:pPr>
        <w:pStyle w:val="Heading4"/>
        <w:pStyle w:val="MdHeading4"/>
      </w:pPr>
      <w:r>
        <w:t xml:space="preserve">纯遥操作数据</w:t>
      </w:r>
    </w:p>
    <w:p>
      <w:pPr>
        <w:pStyle w:val="MdParagraph"/>
      </w:pPr>
      <w:r>
        <w:t xml:space="preserve">纯遥操作数据没有可靠的控制层动作边界，建议本地部署视觉语言模型。生产主线可采用：</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vLLM + Qwen2.5-VL-7B-Instruct</w:t>
      </w:r>
    </w:p>
    <w:p>
      <w:pPr>
        <w:pStyle w:val="MdSpace"/>
        <w:spacing w:before="0" w:after="60"/>
      </w:pPr>
    </w:p>
    <w:p>
      <w:pPr>
        <w:pStyle w:val="MdParagraph"/>
      </w:pPr>
      <w:r>
        <w:t xml:space="preserve">后续可以将 Qwen3-VL-8B-Instruct 作为对照模型。VLM 主要负责动作语义、对象关系和粗时间区间，不负责单独提供最终的精确边界。</w:t>
      </w:r>
    </w:p>
    <w:p>
      <w:pPr>
        <w:pStyle w:val="MdSpace"/>
        <w:spacing w:before="0" w:after="60"/>
      </w:pPr>
    </w:p>
    <w:p>
      <w:pPr>
        <w:pStyle w:val="Heading4"/>
        <w:pStyle w:val="MdHeading4"/>
      </w:pPr>
      <w:r>
        <w:t xml:space="preserve">可选视觉组件</w:t>
      </w:r>
    </w:p>
    <w:p>
      <w:pPr>
        <w:pStyle w:val="MdParagraph"/>
      </w:pPr>
      <w:r>
        <w:t xml:space="preserve">当视觉通道发现对象混淆或跟踪需求时，再按需部署：</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组件</w:t>
            </w:r>
          </w:p>
        </w:tc>
        <w:tc>
          <w:tcPr>
            <w:tcMar>
              <w:top w:type="dxa" w:w="100"/>
              <w:left w:type="dxa" w:w="120"/>
              <w:bottom w:type="dxa" w:w="100"/>
              <w:right w:type="dxa" w:w="120"/>
            </w:tcMar>
            <w:vAlign w:val="center"/>
          </w:tcPr>
          <w:p>
            <w:pPr>
              <w:pStyle w:val="MdTableHeader"/>
            </w:pPr>
            <w:r>
              <w:t xml:space="preserve">本地部署用途</w:t>
            </w:r>
          </w:p>
        </w:tc>
        <w:tc>
          <w:tcPr>
            <w:tcMar>
              <w:top w:type="dxa" w:w="100"/>
              <w:left w:type="dxa" w:w="120"/>
              <w:bottom w:type="dxa" w:w="100"/>
              <w:right w:type="dxa" w:w="120"/>
            </w:tcMar>
            <w:vAlign w:val="center"/>
          </w:tcPr>
          <w:p>
            <w:pPr>
              <w:pStyle w:val="MdTableHeader"/>
            </w:pPr>
            <w:r>
              <w:t xml:space="preserve">是否为大语言模型</w:t>
            </w:r>
          </w:p>
        </w:tc>
        <w:tc>
          <w:tcPr>
            <w:tcBorders>
              <w:right w:val="none"/>
            </w:tcBorders>
            <w:tcMar>
              <w:top w:type="dxa" w:w="100"/>
              <w:left w:type="dxa" w:w="120"/>
              <w:bottom w:type="dxa" w:w="100"/>
              <w:right w:type="dxa" w:w="120"/>
            </w:tcMar>
            <w:vAlign w:val="center"/>
          </w:tcPr>
          <w:p>
            <w:pPr>
              <w:pStyle w:val="MdTableHeader"/>
            </w:pPr>
            <w:r>
              <w:t xml:space="preserve">启用条件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Qwen-VL</w:t>
            </w:r>
          </w:p>
        </w:tc>
        <w:tc>
          <w:tcPr>
            <w:tcMar>
              <w:top w:type="dxa" w:w="80"/>
              <w:left w:type="dxa" w:w="120"/>
              <w:bottom w:type="dxa" w:w="80"/>
              <w:right w:type="dxa" w:w="120"/>
            </w:tcMar>
            <w:vAlign w:val="center"/>
          </w:tcPr>
          <w:p>
            <w:pPr>
              <w:pStyle w:val="MdTableCell"/>
            </w:pPr>
            <w:r>
              <w:t xml:space="preserve">动作语义、对象关系、粗时间区间</w:t>
            </w:r>
          </w:p>
        </w:tc>
        <w:tc>
          <w:tcPr>
            <w:tcMar>
              <w:top w:type="dxa" w:w="80"/>
              <w:left w:type="dxa" w:w="120"/>
              <w:bottom w:type="dxa" w:w="80"/>
              <w:right w:type="dxa" w:w="120"/>
            </w:tcMar>
            <w:vAlign w:val="center"/>
          </w:tcPr>
          <w:p>
            <w:pPr>
              <w:pStyle w:val="MdTableCell"/>
            </w:pPr>
            <w:r>
              <w:t xml:space="preserve">是，视觉语言模型</w:t>
            </w:r>
          </w:p>
        </w:tc>
        <w:tc>
          <w:tcPr>
            <w:tcBorders>
              <w:right w:val="none"/>
            </w:tcBorders>
            <w:tcMar>
              <w:top w:type="dxa" w:w="80"/>
              <w:left w:type="dxa" w:w="120"/>
              <w:bottom w:type="dxa" w:w="80"/>
              <w:right w:type="dxa" w:w="120"/>
            </w:tcMar>
            <w:vAlign w:val="center"/>
          </w:tcPr>
          <w:p>
            <w:pPr>
              <w:pStyle w:val="MdTableCell"/>
            </w:pPr>
            <w:r>
              <w:t xml:space="preserve">纯遥操作数据或日志复核</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GroundingDINO</w:t>
            </w:r>
          </w:p>
        </w:tc>
        <w:tc>
          <w:tcPr>
            <w:tcMar>
              <w:top w:type="dxa" w:w="80"/>
              <w:left w:type="dxa" w:w="120"/>
              <w:bottom w:type="dxa" w:w="80"/>
              <w:right w:type="dxa" w:w="120"/>
            </w:tcMar>
            <w:vAlign w:val="center"/>
          </w:tcPr>
          <w:p>
            <w:pPr>
              <w:pStyle w:val="MdTableCell"/>
            </w:pPr>
            <w:r>
              <w:t xml:space="preserve">根据文字描述检测箱子、瓶子和工具等对象</w:t>
            </w:r>
          </w:p>
        </w:tc>
        <w:tc>
          <w:tcPr>
            <w:tcMar>
              <w:top w:type="dxa" w:w="80"/>
              <w:left w:type="dxa" w:w="120"/>
              <w:bottom w:type="dxa" w:w="80"/>
              <w:right w:type="dxa" w:w="120"/>
            </w:tcMar>
            <w:vAlign w:val="center"/>
          </w:tcPr>
          <w:p>
            <w:pPr>
              <w:pStyle w:val="MdTableCell"/>
            </w:pPr>
            <w:r>
              <w:t xml:space="preserve">否，目标检测模型</w:t>
            </w:r>
          </w:p>
        </w:tc>
        <w:tc>
          <w:tcPr>
            <w:tcBorders>
              <w:right w:val="none"/>
            </w:tcBorders>
            <w:tcMar>
              <w:top w:type="dxa" w:w="80"/>
              <w:left w:type="dxa" w:w="120"/>
              <w:bottom w:type="dxa" w:w="80"/>
              <w:right w:type="dxa" w:w="120"/>
            </w:tcMar>
            <w:vAlign w:val="center"/>
          </w:tcPr>
          <w:p>
            <w:pPr>
              <w:pStyle w:val="MdTableCell"/>
            </w:pPr>
            <w:r>
              <w:t xml:space="preserve">对象名称混淆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SAM2</w:t>
            </w:r>
          </w:p>
        </w:tc>
        <w:tc>
          <w:tcPr>
            <w:tcMar>
              <w:top w:type="dxa" w:w="80"/>
              <w:left w:type="dxa" w:w="120"/>
              <w:bottom w:type="dxa" w:w="80"/>
              <w:right w:type="dxa" w:w="120"/>
            </w:tcMar>
            <w:vAlign w:val="center"/>
          </w:tcPr>
          <w:p>
            <w:pPr>
              <w:pStyle w:val="MdTableCell"/>
            </w:pPr>
            <w:r>
              <w:t xml:space="preserve">跨帧传播掩码并跟踪对象</w:t>
            </w:r>
          </w:p>
        </w:tc>
        <w:tc>
          <w:tcPr>
            <w:tcMar>
              <w:top w:type="dxa" w:w="80"/>
              <w:left w:type="dxa" w:w="120"/>
              <w:bottom w:type="dxa" w:w="80"/>
              <w:right w:type="dxa" w:w="120"/>
            </w:tcMar>
            <w:vAlign w:val="center"/>
          </w:tcPr>
          <w:p>
            <w:pPr>
              <w:pStyle w:val="MdTableCell"/>
            </w:pPr>
            <w:r>
              <w:t xml:space="preserve">否，分割与跟踪模型</w:t>
            </w:r>
          </w:p>
        </w:tc>
        <w:tc>
          <w:tcPr>
            <w:tcBorders>
              <w:right w:val="none"/>
            </w:tcBorders>
            <w:tcMar>
              <w:top w:type="dxa" w:w="80"/>
              <w:left w:type="dxa" w:w="120"/>
              <w:bottom w:type="dxa" w:w="80"/>
              <w:right w:type="dxa" w:w="120"/>
            </w:tcMar>
            <w:vAlign w:val="center"/>
          </w:tcPr>
          <w:p>
            <w:pPr>
              <w:pStyle w:val="MdTableCell"/>
            </w:pPr>
            <w:r>
              <w:t xml:space="preserve">同类对象多或需要保持对象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状态信号解析程序</w:t>
            </w:r>
          </w:p>
        </w:tc>
        <w:tc>
          <w:tcPr>
            <w:tcMar>
              <w:top w:type="dxa" w:w="80"/>
              <w:left w:type="dxa" w:w="120"/>
              <w:bottom w:type="dxa" w:w="80"/>
              <w:right w:type="dxa" w:w="120"/>
            </w:tcMar>
            <w:vAlign w:val="center"/>
          </w:tcPr>
          <w:p>
            <w:pPr>
              <w:pStyle w:val="MdTableCell"/>
            </w:pPr>
            <w:r>
              <w:t xml:space="preserve">解析 gripper、关节速度和力矩</w:t>
            </w:r>
          </w:p>
        </w:tc>
        <w:tc>
          <w:tcPr>
            <w:tcMar>
              <w:top w:type="dxa" w:w="80"/>
              <w:left w:type="dxa" w:w="120"/>
              <w:bottom w:type="dxa" w:w="80"/>
              <w:right w:type="dxa" w:w="120"/>
            </w:tcMar>
            <w:vAlign w:val="center"/>
          </w:tcPr>
          <w:p>
            <w:pPr>
              <w:pStyle w:val="MdTableCell"/>
            </w:pPr>
            <w:r>
              <w:t xml:space="preserve">否，通常用规则实现</w:t>
            </w:r>
          </w:p>
        </w:tc>
        <w:tc>
          <w:tcPr>
            <w:tcBorders>
              <w:right w:val="none"/>
            </w:tcBorders>
            <w:tcMar>
              <w:top w:type="dxa" w:w="80"/>
              <w:left w:type="dxa" w:w="120"/>
              <w:bottom w:type="dxa" w:w="80"/>
              <w:right w:type="dxa" w:w="120"/>
            </w:tcMar>
            <w:vAlign w:val="center"/>
          </w:tcPr>
          <w:p>
            <w:pPr>
              <w:pStyle w:val="MdTableCell"/>
            </w:pPr>
            <w:r>
              <w:t xml:space="preserve">需要提高动作边界精度</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任务执行日志解析程序</w:t>
            </w:r>
          </w:p>
        </w:tc>
        <w:tc>
          <w:tcPr>
            <w:tcBorders>
              <w:bottom w:val="single" w:color="E1E4E8" w:sz="4"/>
            </w:tcBorders>
            <w:tcMar>
              <w:top w:type="dxa" w:w="80"/>
              <w:left w:type="dxa" w:w="120"/>
              <w:bottom w:type="dxa" w:w="80"/>
              <w:right w:type="dxa" w:w="120"/>
            </w:tcMar>
            <w:vAlign w:val="center"/>
          </w:tcPr>
          <w:p>
            <w:pPr>
              <w:pStyle w:val="MdTableCell"/>
            </w:pPr>
            <w:r>
              <w:t xml:space="preserve">映射 skill、时间戳和物体引用</w:t>
            </w:r>
          </w:p>
        </w:tc>
        <w:tc>
          <w:tcPr>
            <w:tcBorders>
              <w:bottom w:val="single" w:color="E1E4E8" w:sz="4"/>
            </w:tcBorders>
            <w:tcMar>
              <w:top w:type="dxa" w:w="80"/>
              <w:left w:type="dxa" w:w="120"/>
              <w:bottom w:type="dxa" w:w="80"/>
              <w:right w:type="dxa" w:w="120"/>
            </w:tcMar>
            <w:vAlign w:val="center"/>
          </w:tcPr>
          <w:p>
            <w:pPr>
              <w:pStyle w:val="MdTableCell"/>
            </w:pPr>
            <w:r>
              <w:t xml:space="preserve">否，通常用规则和映射表实现</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技能驱动数据可用</w:t>
            </w:r>
          </w:p>
        </w:tc>
      </w:tr>
    </w:tbl>
    <w:p>
      <w:pPr>
        <w:pStyle w:val="MdParagraph"/>
      </w:pPr>
      <w:r>
        <w:t xml:space="preserve">因此，方案 2 的最小本地部署版本可以是：</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日志解析 + 标签映射 + 时间轴校准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纯遥操作数据：vLLM + Qwen-VL</w:t>
      </w:r>
    </w:p>
    <w:p>
      <w:pPr>
        <w:pStyle w:val="MdSpace"/>
        <w:spacing w:before="0" w:after="60"/>
      </w:pPr>
    </w:p>
    <w:p>
      <w:pPr>
        <w:pStyle w:val="MdParagraph"/>
      </w:pPr>
      <w:r>
        <w:t xml:space="preserve">如果需要处理对象混淆，再增加 GroundingDINO 和 SAM2；如果需要提高抓取、放置或释放的边界精度，再接入状态信号解析。技能驱动数据不应因为部署了 VLM 就默认全部运行 VLM。</w:t>
      </w:r>
    </w:p>
    <w:p>
      <w:pPr>
        <w:pStyle w:val="MdSpace"/>
        <w:spacing w:before="0" w:after="60"/>
      </w:pPr>
    </w:p>
    <w:p>
      <w:pPr>
        <w:pStyle w:val="Heading3"/>
        <w:pStyle w:val="MdHeading3"/>
      </w:pPr>
      <w:r>
        <w:t xml:space="preserve">5.4 推荐部署顺序</w:t>
      </w:r>
    </w:p>
    <w:p>
      <w:pPr>
        <w:pStyle w:val="MdParagraph"/>
      </w:pPr>
      <w:r>
        <w:t xml:space="preserve">建议按以下顺序进行本地部署和验证：</w:t>
      </w:r>
    </w:p>
    <w:p>
      <w:pPr>
        <w:pStyle w:val="MdSpace"/>
        <w:spacing w:before="0" w:after="60"/>
      </w:pPr>
    </w:p>
    <w:p>
      <w:pPr>
        <w:pStyle w:val="MdListItem"/>
        <w:numPr>
          <w:ilvl w:val="0"/>
          <w:numId w:val="2"/>
        </w:numPr>
      </w:pPr>
      <w:r>
        <w:t xml:space="preserve">先完成日志解析、标签映射、时间轴校准和统一输出契约；</w:t>
      </w:r>
    </w:p>
    <w:p>
      <w:pPr>
        <w:pStyle w:val="MdListItem"/>
        <w:numPr>
          <w:ilvl w:val="0"/>
          <w:numId w:val="2"/>
        </w:numPr>
      </w:pPr>
      <w:r>
        <w:t xml:space="preserve">对纯遥操作数据部署 vLLM + Qwen2.5-VL，打通视觉标注基线；</w:t>
      </w:r>
    </w:p>
    <w:p>
      <w:pPr>
        <w:pStyle w:val="MdListItem"/>
        <w:numPr>
          <w:ilvl w:val="0"/>
          <w:numId w:val="2"/>
        </w:numPr>
      </w:pPr>
      <w:r>
        <w:t xml:space="preserve">对对象错误较多的任务增加 GroundingDINO；</w:t>
      </w:r>
    </w:p>
    <w:p>
      <w:pPr>
        <w:pStyle w:val="MdListItem"/>
        <w:numPr>
          <w:ilvl w:val="0"/>
          <w:numId w:val="2"/>
        </w:numPr>
      </w:pPr>
      <w:r>
        <w:t xml:space="preserve">对同类对象跟踪需求增加 SAM2；</w:t>
      </w:r>
    </w:p>
    <w:p>
      <w:pPr>
        <w:pStyle w:val="MdListItem"/>
        <w:numPr>
          <w:ilvl w:val="0"/>
          <w:numId w:val="2"/>
        </w:numPr>
      </w:pPr>
      <w:r>
        <w:t xml:space="preserve">对边界错误较多的任务接入状态信号解析；</w:t>
      </w:r>
    </w:p>
    <w:p>
      <w:pPr>
        <w:pStyle w:val="MdListItem"/>
        <w:numPr>
          <w:ilvl w:val="0"/>
          <w:numId w:val="2"/>
        </w:numPr>
      </w:pPr>
      <w:r>
        <w:t xml:space="preserve">只有在已有人工确认数据且固定任务收益明确时，才训练专用时序模型。</w:t>
      </w:r>
    </w:p>
    <w:p>
      <w:pPr>
        <w:pStyle w:val="MdSpace"/>
        <w:spacing w:before="0" w:after="60"/>
      </w:pPr>
    </w:p>
    <w:p>
      <w:pPr>
        <w:pStyle w:val="MdParagraph"/>
      </w:pPr>
      <w:r>
        <w:t xml:space="preserve">不建议一开始同时部署所有模型。组件应由实际错误类型触发，以控制 GPU 显存、处理时长和维护成本。</w:t>
      </w:r>
    </w:p>
    <w:p>
      <w:pPr>
        <w:pStyle w:val="MdSpace"/>
        <w:spacing w:before="0" w:after="60"/>
      </w:pPr>
    </w:p>
    <w:p>
      <w:pPr>
        <w:pStyle w:val="Heading3"/>
        <w:pStyle w:val="MdHeading3"/>
      </w:pPr>
      <w:r>
        <w:t xml:space="preserve">5.5 视觉证据的启用规则</w:t>
      </w:r>
    </w:p>
    <w:p>
      <w:pPr>
        <w:pStyle w:val="MdParagraph"/>
      </w:pPr>
      <w:r>
        <w:t xml:space="preserve">可按以下规则决定是否增加组件：</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触发问题</w:t>
            </w:r>
          </w:p>
        </w:tc>
        <w:tc>
          <w:tcPr>
            <w:tcBorders>
              <w:right w:val="none"/>
            </w:tcBorders>
            <w:tcMar>
              <w:top w:type="dxa" w:w="100"/>
              <w:left w:type="dxa" w:w="120"/>
              <w:bottom w:type="dxa" w:w="100"/>
              <w:right w:type="dxa" w:w="120"/>
            </w:tcMar>
            <w:vAlign w:val="center"/>
          </w:tcPr>
          <w:p>
            <w:pPr>
              <w:pStyle w:val="MdTableHeader"/>
            </w:pPr>
            <w:r>
              <w:t xml:space="preserve">增加的证据或组件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动作语义不稳定</w:t>
            </w:r>
          </w:p>
        </w:tc>
        <w:tc>
          <w:tcPr>
            <w:tcBorders>
              <w:right w:val="none"/>
            </w:tcBorders>
            <w:tcMar>
              <w:top w:type="dxa" w:w="80"/>
              <w:left w:type="dxa" w:w="120"/>
              <w:bottom w:type="dxa" w:w="80"/>
              <w:right w:type="dxa" w:w="120"/>
            </w:tcMar>
            <w:vAlign w:val="center"/>
          </w:tcPr>
          <w:p>
            <w:pPr>
              <w:pStyle w:val="MdTableCell"/>
            </w:pPr>
            <w:r>
              <w:t xml:space="preserve">增加重叠窗口、局部高帧率复核或多模型投票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对象名称混淆</w:t>
            </w:r>
          </w:p>
        </w:tc>
        <w:tc>
          <w:tcPr>
            <w:tcBorders>
              <w:right w:val="none"/>
            </w:tcBorders>
            <w:tcMar>
              <w:top w:type="dxa" w:w="80"/>
              <w:left w:type="dxa" w:w="120"/>
              <w:bottom w:type="dxa" w:w="80"/>
              <w:right w:type="dxa" w:w="120"/>
            </w:tcMar>
            <w:vAlign w:val="center"/>
          </w:tcPr>
          <w:p>
            <w:pPr>
              <w:pStyle w:val="MdTableCell"/>
            </w:pPr>
            <w:r>
              <w:t xml:space="preserve">GroundingDINO 检测目标对象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同类对象较多</w:t>
            </w:r>
          </w:p>
        </w:tc>
        <w:tc>
          <w:tcPr>
            <w:tcBorders>
              <w:right w:val="none"/>
            </w:tcBorders>
            <w:tcMar>
              <w:top w:type="dxa" w:w="80"/>
              <w:left w:type="dxa" w:w="120"/>
              <w:bottom w:type="dxa" w:w="80"/>
              <w:right w:type="dxa" w:w="120"/>
            </w:tcMar>
            <w:vAlign w:val="center"/>
          </w:tcPr>
          <w:p>
            <w:pPr>
              <w:pStyle w:val="MdTableCell"/>
            </w:pPr>
            <w:r>
              <w:t xml:space="preserve">SAM2 跨帧跟踪并维护对象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抓取或放置边界不清</w:t>
            </w:r>
          </w:p>
        </w:tc>
        <w:tc>
          <w:tcPr>
            <w:tcBorders>
              <w:right w:val="none"/>
            </w:tcBorders>
            <w:tcMar>
              <w:top w:type="dxa" w:w="80"/>
              <w:left w:type="dxa" w:w="120"/>
              <w:bottom w:type="dxa" w:w="80"/>
              <w:right w:type="dxa" w:w="120"/>
            </w:tcMar>
            <w:vAlign w:val="center"/>
          </w:tcPr>
          <w:p>
            <w:pPr>
              <w:pStyle w:val="MdTableCell"/>
            </w:pPr>
            <w:r>
              <w:t xml:space="preserve">状态信号与接触证据联合判断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视频与状态信号未对齐</w:t>
            </w:r>
          </w:p>
        </w:tc>
        <w:tc>
          <w:tcPr>
            <w:tcBorders>
              <w:right w:val="none"/>
            </w:tcBorders>
            <w:tcMar>
              <w:top w:type="dxa" w:w="80"/>
              <w:left w:type="dxa" w:w="120"/>
              <w:bottom w:type="dxa" w:w="80"/>
              <w:right w:type="dxa" w:w="120"/>
            </w:tcMar>
            <w:vAlign w:val="center"/>
          </w:tcPr>
          <w:p>
            <w:pPr>
              <w:pStyle w:val="MdTableCell"/>
            </w:pPr>
            <w:r>
              <w:t xml:space="preserve">暂停自动融合，先进入时间轴校准队列</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所有视觉证据均不足</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输出粗区间并标记人工复核</w:t>
            </w:r>
          </w:p>
        </w:tc>
      </w:tr>
    </w:tbl>
    <w:p>
      <w:pPr>
        <w:pStyle w:val="Heading2"/>
        <w:pStyle w:val="MdHeading2"/>
      </w:pPr>
      <w:r>
        <w:t xml:space="preserve">6. 混合 Episode 处理</w:t>
      </w:r>
    </w:p>
    <w:p>
      <w:pPr>
        <w:pStyle w:val="MdParagraph"/>
      </w:pPr>
      <w:r>
        <w:t xml:space="preserve">混合 Episode 不应被强行归入日志通道或视觉通道，而应先按时间切分：</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有可靠日志的时间段 → 日志标注通道</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无可靠日志的时间段 → 视觉标注通道</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通道交界处         → 额外检查动作连续性和时间重叠</w:t>
      </w:r>
    </w:p>
    <w:p>
      <w:pPr>
        <w:pStyle w:val="MdSpace"/>
        <w:spacing w:before="0" w:after="60"/>
      </w:pPr>
    </w:p>
    <w:p>
      <w:pPr>
        <w:pStyle w:val="MdParagraph"/>
      </w:pPr>
      <w:r>
        <w:t xml:space="preserve">切分时需要保留前后上下文，避免动作刚好跨越通道边界。例如，日志片段结束前后各保留 1～2 秒视频上下文，供视觉通道检查动作是否提前开始或延后结束。</w:t>
      </w:r>
    </w:p>
    <w:p>
      <w:pPr>
        <w:pStyle w:val="MdSpace"/>
        <w:spacing w:before="0" w:after="60"/>
      </w:pPr>
    </w:p>
    <w:p>
      <w:pPr>
        <w:pStyle w:val="MdParagraph"/>
      </w:pPr>
      <w:r>
        <w:t xml:space="preserve">如果两条通道对同一动作产生冲突，默认处理顺序为：</w:t>
      </w:r>
    </w:p>
    <w:p>
      <w:pPr>
        <w:pStyle w:val="MdSpace"/>
        <w:spacing w:before="0" w:after="60"/>
      </w:pPr>
    </w:p>
    <w:p>
      <w:pPr>
        <w:pStyle w:val="MdListItem"/>
        <w:numPr>
          <w:ilvl w:val="0"/>
          <w:numId w:val="2"/>
        </w:numPr>
      </w:pPr>
      <w:r>
        <w:t xml:space="preserve">检查时间轴是否正确；</w:t>
      </w:r>
    </w:p>
    <w:p>
      <w:pPr>
        <w:pStyle w:val="MdListItem"/>
        <w:numPr>
          <w:ilvl w:val="0"/>
          <w:numId w:val="2"/>
        </w:numPr>
      </w:pPr>
      <w:r>
        <w:t xml:space="preserve">检查日志动作名称是否正确映射；</w:t>
      </w:r>
    </w:p>
    <w:p>
      <w:pPr>
        <w:pStyle w:val="MdListItem"/>
        <w:numPr>
          <w:ilvl w:val="0"/>
          <w:numId w:val="2"/>
        </w:numPr>
      </w:pPr>
      <w:r>
        <w:t xml:space="preserve">检查物体 ID 是否对应；</w:t>
      </w:r>
    </w:p>
    <w:p>
      <w:pPr>
        <w:pStyle w:val="MdListItem"/>
        <w:numPr>
          <w:ilvl w:val="0"/>
          <w:numId w:val="2"/>
        </w:numPr>
      </w:pPr>
      <w:r>
        <w:t xml:space="preserve">使用状态和视觉证据进行复核；</w:t>
      </w:r>
    </w:p>
    <w:p>
      <w:pPr>
        <w:pStyle w:val="MdListItem"/>
        <w:numPr>
          <w:ilvl w:val="0"/>
          <w:numId w:val="2"/>
        </w:numPr>
      </w:pPr>
      <w:r>
        <w:t xml:space="preserve">无法自动判定时交给人工，不强行选择一个结果。</w:t>
      </w:r>
    </w:p>
    <w:p>
      <w:pPr>
        <w:pStyle w:val="MdSpace"/>
        <w:spacing w:before="0" w:after="60"/>
      </w:pPr>
    </w:p>
    <w:p>
      <w:pPr>
        <w:pStyle w:val="Heading2"/>
        <w:pStyle w:val="MdHeading2"/>
      </w:pPr>
      <w:r>
        <w:t xml:space="preserve">7. 统一输出契约</w:t>
      </w:r>
    </w:p>
    <w:p>
      <w:pPr>
        <w:pStyle w:val="MdParagraph"/>
      </w:pPr>
      <w:r>
        <w:t xml:space="preserve">无论结果来自日志通道还是视觉通道，都必须输出相同格式：</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"video_id"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"demo_001"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"episode_type"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"skill_driven"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"events"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"object_id"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"box_01"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"start_frame"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582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"end_frame"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741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"start_sec"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19.4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"end_sec"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24.7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"evidence"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"task_log"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"state_signal"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"visual_object_match"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"needs_review"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"no_target_event"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"model_notes"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建议额外保存以下元数据：</w:t>
      </w:r>
    </w:p>
    <w:p>
      <w:pPr>
        <w:pStyle w:val="MdSpace"/>
        <w:spacing w:before="0" w:after="60"/>
      </w:pPr>
    </w:p>
    <w:p>
      <w:pPr>
        <w:pStyle w:val="MdListItem"/>
        <w:numPr>
          <w:ilvl w:val="0"/>
          <w:numId w:val="3"/>
        </w:numPr>
      </w:pPr>
      <w:r>
        <w:rPr>
          <w:rStyle w:val="MdCode"/>
          <w:u w:val="single"/>
        </w:rPr>
        <w:t xml:space="preserve">episode_type</w:t>
      </w:r>
      <w:r>
        <w:t xml:space="preserve">：技能驱动、纯遥操作、混合或异常；</w:t>
      </w:r>
    </w:p>
    <w:p>
      <w:pPr>
        <w:pStyle w:val="MdListItem"/>
        <w:numPr>
          <w:ilvl w:val="0"/>
          <w:numId w:val="3"/>
        </w:numPr>
      </w:pPr>
      <w:r>
        <w:rPr>
          <w:rStyle w:val="MdCode"/>
          <w:u w:val="single"/>
        </w:rPr>
        <w:t xml:space="preserve">evidence</w:t>
      </w:r>
      <w:r>
        <w:t xml:space="preserve">：该事件实际采用的证据来源；</w:t>
      </w:r>
    </w:p>
    <w:p>
      <w:pPr>
        <w:pStyle w:val="MdListItem"/>
        <w:numPr>
          <w:ilvl w:val="0"/>
          <w:numId w:val="3"/>
        </w:numPr>
      </w:pPr>
      <w:r>
        <w:rPr>
          <w:rStyle w:val="MdCode"/>
          <w:u w:val="single"/>
        </w:rPr>
        <w:t xml:space="preserve">source_channel</w:t>
      </w:r>
      <w:r>
        <w:t xml:space="preserve">：日志通道或视觉通道；</w:t>
      </w:r>
    </w:p>
    <w:p>
      <w:pPr>
        <w:pStyle w:val="MdListItem"/>
        <w:numPr>
          <w:ilvl w:val="0"/>
          <w:numId w:val="3"/>
        </w:numPr>
      </w:pPr>
      <w:r>
        <w:rPr>
          <w:rStyle w:val="MdCode"/>
          <w:u w:val="single"/>
        </w:rPr>
        <w:t xml:space="preserve">review_reason</w:t>
      </w:r>
      <w:r>
        <w:t xml:space="preserve">：进入人工审核的具体原因；</w:t>
      </w:r>
    </w:p>
    <w:p>
      <w:pPr>
        <w:pStyle w:val="MdListItem"/>
        <w:numPr>
          <w:ilvl w:val="0"/>
          <w:numId w:val="3"/>
        </w:numPr>
      </w:pPr>
      <w:r>
        <w:rPr>
          <w:rStyle w:val="MdCode"/>
          <w:u w:val="single"/>
        </w:rPr>
        <w:t xml:space="preserve">schema_version</w:t>
      </w:r>
      <w:r>
        <w:t xml:space="preserve">：输出契约版本；</w:t>
      </w:r>
    </w:p>
    <w:p>
      <w:pPr>
        <w:pStyle w:val="MdListItem"/>
        <w:numPr>
          <w:ilvl w:val="0"/>
          <w:numId w:val="3"/>
        </w:numPr>
      </w:pPr>
      <w:r>
        <w:rPr>
          <w:rStyle w:val="MdCode"/>
          <w:u w:val="single"/>
        </w:rPr>
        <w:t xml:space="preserve">time_alignment_version</w:t>
      </w:r>
      <w:r>
        <w:t xml:space="preserve">：时间轴校准版本。</w:t>
      </w:r>
    </w:p>
    <w:p>
      <w:pPr>
        <w:pStyle w:val="MdSpace"/>
        <w:spacing w:before="0" w:after="60"/>
      </w:pPr>
    </w:p>
    <w:p>
      <w:pPr>
        <w:pStyle w:val="MdParagraph"/>
      </w:pPr>
      <w:r>
        <w:t xml:space="preserve">最终落库建议以帧号为主，以秒数作为辅助展示字段。秒数与帧号必须能够相互校验。</w:t>
      </w:r>
    </w:p>
    <w:p>
      <w:pPr>
        <w:pStyle w:val="MdSpace"/>
        <w:spacing w:before="0" w:after="60"/>
      </w:pPr>
    </w:p>
    <w:p>
      <w:pPr>
        <w:pStyle w:val="Heading2"/>
        <w:pStyle w:val="MdHeading2"/>
      </w:pPr>
      <w:r>
        <w:t xml:space="preserve">8. 专用模型的独立立项规则</w:t>
      </w:r>
    </w:p>
    <w:p>
      <w:pPr>
        <w:pStyle w:val="MdParagraph"/>
      </w:pPr>
      <w:r>
        <w:t xml:space="preserve">在本方案中，专用时序模型不作为所有数据的必经阶段，而是针对特定任务单独立项。</w:t>
      </w:r>
    </w:p>
    <w:p>
      <w:pPr>
        <w:pStyle w:val="MdSpace"/>
        <w:spacing w:before="0" w:after="60"/>
      </w:pPr>
    </w:p>
    <w:p>
      <w:pPr>
        <w:pStyle w:val="MdParagraph"/>
      </w:pPr>
      <w:r>
        <w:t xml:space="preserve">只有同时满足以下条件时，才建议训练专用模型：</w:t>
      </w:r>
    </w:p>
    <w:p>
      <w:pPr>
        <w:pStyle w:val="MdSpace"/>
        <w:spacing w:before="0" w:after="60"/>
      </w:pPr>
    </w:p>
    <w:p>
      <w:pPr>
        <w:pStyle w:val="MdListItem"/>
        <w:numPr>
          <w:ilvl w:val="0"/>
          <w:numId w:val="2"/>
        </w:numPr>
      </w:pPr>
      <w:r>
        <w:t xml:space="preserve">某一任务或工序的样本量达到可训练规模；</w:t>
      </w:r>
    </w:p>
    <w:p>
      <w:pPr>
        <w:pStyle w:val="MdListItem"/>
        <w:numPr>
          <w:ilvl w:val="0"/>
          <w:numId w:val="2"/>
        </w:numPr>
      </w:pPr>
      <w:r>
        <w:t xml:space="preserve">动作标签定义已经稳定；</w:t>
      </w:r>
    </w:p>
    <w:p>
      <w:pPr>
        <w:pStyle w:val="MdListItem"/>
        <w:numPr>
          <w:ilvl w:val="0"/>
          <w:numId w:val="2"/>
        </w:numPr>
      </w:pPr>
      <w:r>
        <w:t xml:space="preserve">已经积累足够多的人工确认边界；</w:t>
      </w:r>
    </w:p>
    <w:p>
      <w:pPr>
        <w:pStyle w:val="MdListItem"/>
        <w:numPr>
          <w:ilvl w:val="0"/>
          <w:numId w:val="2"/>
        </w:numPr>
      </w:pPr>
      <w:r>
        <w:t xml:space="preserve">该任务在整体数据中占比高，人工标注成本明显；</w:t>
      </w:r>
    </w:p>
    <w:p>
      <w:pPr>
        <w:pStyle w:val="MdListItem"/>
        <w:numPr>
          <w:ilvl w:val="0"/>
          <w:numId w:val="2"/>
        </w:numPr>
      </w:pPr>
      <w:r>
        <w:t xml:space="preserve">该任务的动作密度形态已经明确。</w:t>
      </w:r>
    </w:p>
    <w:p>
      <w:pPr>
        <w:pStyle w:val="MdSpace"/>
        <w:spacing w:before="0" w:after="60"/>
      </w:pPr>
    </w:p>
    <w:p>
      <w:pPr>
        <w:pStyle w:val="MdParagraph"/>
      </w:pPr>
      <w:r>
        <w:t xml:space="preserve">如果 Episode 全程连续执行工序，可优先评估 ASFormer 等 Temporal Action Segmentation 模型。如果目标动作在长视频中零星出现，则评估 ActionFormer 或 OpenTAD 等 Temporal Action Localization 模型。</w:t>
      </w:r>
    </w:p>
    <w:p>
      <w:pPr>
        <w:pStyle w:val="MdSpace"/>
        <w:spacing w:before="0" w:after="60"/>
      </w:pPr>
    </w:p>
    <w:p>
      <w:pPr>
        <w:pStyle w:val="MdParagraph"/>
      </w:pPr>
      <w:r>
        <w:t xml:space="preserve">专用模型只负责对应任务的动作候选和时间区间生成，仍然应通过统一输出契约进入候选层，并保留人工审核和异常回退能力。</w:t>
      </w:r>
    </w:p>
    <w:p>
      <w:pPr>
        <w:pStyle w:val="MdSpace"/>
        <w:spacing w:before="0" w:after="60"/>
      </w:pPr>
    </w:p>
    <w:p>
      <w:pPr>
        <w:pStyle w:val="Heading2"/>
        <w:pStyle w:val="MdHeading2"/>
      </w:pPr>
      <w:r>
        <w:t xml:space="preserve">9. 实施计划</w:t>
      </w:r>
    </w:p>
    <w:p>
      <w:pPr>
        <w:pStyle w:val="Heading3"/>
        <w:pStyle w:val="MdHeading3"/>
      </w:pPr>
      <w:r>
        <w:t xml:space="preserve">第 0 周：建立路由和数据盘点</w:t>
      </w:r>
    </w:p>
    <w:p>
      <w:pPr>
        <w:pStyle w:val="MdParagraph"/>
      </w:pPr>
      <w:r>
        <w:t xml:space="preserve">完成 Episode 清单、数据类型统计和时间轴现状盘点。为每个 Episode 标注是否存在任务执行日志、状态信号、对象库 ID 和可用的时间对齐信息。</w:t>
      </w:r>
    </w:p>
    <w:p>
      <w:pPr>
        <w:pStyle w:val="MdSpace"/>
        <w:spacing w:before="0" w:after="60"/>
      </w:pPr>
    </w:p>
    <w:p>
      <w:pPr>
        <w:pStyle w:val="MdParagraph"/>
      </w:pPr>
      <w:r>
        <w:t xml:space="preserve">同时确定统一动作标签枚举、JSON Schema、候选层状态和人工审核结果的存储格式。</w:t>
      </w:r>
    </w:p>
    <w:p>
      <w:pPr>
        <w:pStyle w:val="MdSpace"/>
        <w:spacing w:before="0" w:after="60"/>
      </w:pPr>
    </w:p>
    <w:p>
      <w:pPr>
        <w:pStyle w:val="Heading3"/>
        <w:pStyle w:val="MdHeading3"/>
      </w:pPr>
      <w:r>
        <w:t xml:space="preserve">第 1～2 周：并行打通两条通道</w:t>
      </w:r>
    </w:p>
    <w:p>
      <w:pPr>
        <w:pStyle w:val="MdParagraph"/>
      </w:pPr>
      <w:r>
        <w:t xml:space="preserve">日志通道先选取少量技能驱动 Episode 做最小验证，重点核对 skill 名称、时间戳和物体 ID。</w:t>
      </w:r>
    </w:p>
    <w:p>
      <w:pPr>
        <w:pStyle w:val="MdSpace"/>
        <w:spacing w:before="0" w:after="60"/>
      </w:pPr>
    </w:p>
    <w:p>
      <w:pPr>
        <w:pStyle w:val="MdParagraph"/>
      </w:pPr>
      <w:r>
        <w:t xml:space="preserve">视觉通道使用 vLLM + Qwen2.5-VL 建立基础 VLM 标注服务，完成分窗、边界复核和候选层接入。</w:t>
      </w:r>
    </w:p>
    <w:p>
      <w:pPr>
        <w:pStyle w:val="MdSpace"/>
        <w:spacing w:before="0" w:after="60"/>
      </w:pPr>
    </w:p>
    <w:p>
      <w:pPr>
        <w:pStyle w:val="MdParagraph"/>
      </w:pPr>
      <w:r>
        <w:t xml:space="preserve">两条通道必须在本阶段输出相同格式的数据，不能为不同通道设计两套互不兼容的结果结构。</w:t>
      </w:r>
    </w:p>
    <w:p>
      <w:pPr>
        <w:pStyle w:val="MdSpace"/>
        <w:spacing w:before="0" w:after="60"/>
      </w:pPr>
    </w:p>
    <w:p>
      <w:pPr>
        <w:pStyle w:val="Heading3"/>
        <w:pStyle w:val="MdHeading3"/>
      </w:pPr>
      <w:r>
        <w:t xml:space="preserve">第 3～4 周：增加按需证据和质量路由</w:t>
      </w:r>
    </w:p>
    <w:p>
      <w:pPr>
        <w:pStyle w:val="MdParagraph"/>
      </w:pPr>
      <w:r>
        <w:t xml:space="preserve">对视觉通道中对象混淆较多的任务增加 GroundingDINO 和 SAM2。对边界误差较大的任务验证状态信号。对日志通道建立异常触发式视觉复核。</w:t>
      </w:r>
    </w:p>
    <w:p>
      <w:pPr>
        <w:pStyle w:val="MdSpace"/>
        <w:spacing w:before="0" w:after="60"/>
      </w:pPr>
    </w:p>
    <w:p>
      <w:pPr>
        <w:pStyle w:val="MdParagraph"/>
      </w:pPr>
      <w:r>
        <w:t xml:space="preserve">同时统计不同通道的人工修改率、时间边界误差、对象绑定错误率和人工审核耗时。</w:t>
      </w:r>
    </w:p>
    <w:p>
      <w:pPr>
        <w:pStyle w:val="MdSpace"/>
        <w:spacing w:before="0" w:after="60"/>
      </w:pPr>
    </w:p>
    <w:p>
      <w:pPr>
        <w:pStyle w:val="Heading3"/>
        <w:pStyle w:val="MdHeading3"/>
      </w:pPr>
      <w:r>
        <w:t xml:space="preserve">第 5 周以后：按任务成本决定专用优化</w:t>
      </w:r>
    </w:p>
    <w:p>
      <w:pPr>
        <w:pStyle w:val="MdParagraph"/>
      </w:pPr>
      <w:r>
        <w:t xml:space="preserve">对人工审核量最高、数据量最大且动作定义稳定的任务进行单独评估。如果训练专用时序模型的收益不明显，则继续优化路由规则、边界复核和证据触发条件，不为了“使用模型”而训练模型。</w:t>
      </w:r>
    </w:p>
    <w:p>
      <w:pPr>
        <w:pStyle w:val="MdSpace"/>
        <w:spacing w:before="0" w:after="60"/>
      </w:pPr>
    </w:p>
    <w:p>
      <w:pPr>
        <w:pStyle w:val="Heading2"/>
        <w:pStyle w:val="MdHeading2"/>
      </w:pPr>
      <w:r>
        <w:t xml:space="preserve">10. 验收指标</w:t>
      </w:r>
    </w:p>
    <w:p>
      <w:pPr>
        <w:pStyle w:val="Heading3"/>
        <w:pStyle w:val="MdHeading3"/>
      </w:pPr>
      <w:r>
        <w:t xml:space="preserve">10.1 路由正确性</w:t>
      </w:r>
    </w:p>
    <w:p>
      <w:pPr>
        <w:pStyle w:val="MdListItem"/>
        <w:numPr>
          <w:ilvl w:val="0"/>
          <w:numId w:val="3"/>
        </w:numPr>
      </w:pPr>
      <w:r>
        <w:t xml:space="preserve">Episode 类型识别准确率；</w:t>
      </w:r>
    </w:p>
    <w:p>
      <w:pPr>
        <w:pStyle w:val="MdListItem"/>
        <w:numPr>
          <w:ilvl w:val="0"/>
          <w:numId w:val="3"/>
        </w:numPr>
      </w:pPr>
      <w:r>
        <w:t xml:space="preserve">有日志但被错误送入视觉通道的比例；</w:t>
      </w:r>
    </w:p>
    <w:p>
      <w:pPr>
        <w:pStyle w:val="MdListItem"/>
        <w:numPr>
          <w:ilvl w:val="0"/>
          <w:numId w:val="3"/>
        </w:numPr>
      </w:pPr>
      <w:r>
        <w:t xml:space="preserve">无可靠日志但被错误送入日志通道的比例；</w:t>
      </w:r>
    </w:p>
    <w:p>
      <w:pPr>
        <w:pStyle w:val="MdListItem"/>
        <w:numPr>
          <w:ilvl w:val="0"/>
          <w:numId w:val="3"/>
        </w:numPr>
      </w:pPr>
      <w:r>
        <w:t xml:space="preserve">混合 Episode 的切分错误率。</w:t>
      </w:r>
    </w:p>
    <w:p>
      <w:pPr>
        <w:pStyle w:val="MdSpace"/>
        <w:spacing w:before="0" w:after="60"/>
      </w:pPr>
    </w:p>
    <w:p>
      <w:pPr>
        <w:pStyle w:val="Heading3"/>
        <w:pStyle w:val="MdHeading3"/>
      </w:pPr>
      <w:r>
        <w:t xml:space="preserve">10.2 标注质量</w:t>
      </w:r>
    </w:p>
    <w:p>
      <w:pPr>
        <w:pStyle w:val="MdListItem"/>
        <w:numPr>
          <w:ilvl w:val="0"/>
          <w:numId w:val="3"/>
        </w:numPr>
      </w:pPr>
      <w:r>
        <w:t xml:space="preserve">动作标签准确率；</w:t>
      </w:r>
    </w:p>
    <w:p>
      <w:pPr>
        <w:pStyle w:val="MdListItem"/>
        <w:numPr>
          <w:ilvl w:val="0"/>
          <w:numId w:val="3"/>
        </w:numPr>
      </w:pPr>
      <w:r>
        <w:t xml:space="preserve">起止边界平均绝对误差；</w:t>
      </w:r>
    </w:p>
    <w:p>
      <w:pPr>
        <w:pStyle w:val="MdListItem"/>
        <w:numPr>
          <w:ilvl w:val="0"/>
          <w:numId w:val="3"/>
        </w:numPr>
      </w:pPr>
      <w:r>
        <w:t xml:space="preserve">对象绑定准确率；</w:t>
      </w:r>
    </w:p>
    <w:p>
      <w:pPr>
        <w:pStyle w:val="MdListItem"/>
        <w:numPr>
          <w:ilvl w:val="0"/>
          <w:numId w:val="3"/>
        </w:numPr>
      </w:pPr>
      <w:r>
        <w:rPr>
          <w:rStyle w:val="MdCode"/>
          <w:u w:val="single"/>
        </w:rPr>
        <w:t xml:space="preserve">needs_review=true</w:t>
      </w:r>
      <w:r>
        <w:t xml:space="preserve"> 的比例；</w:t>
      </w:r>
    </w:p>
    <w:p>
      <w:pPr>
        <w:pStyle w:val="MdListItem"/>
        <w:numPr>
          <w:ilvl w:val="0"/>
          <w:numId w:val="3"/>
        </w:numPr>
      </w:pPr>
      <w:r>
        <w:t xml:space="preserve">人工修改后的最终通过率。</w:t>
      </w:r>
    </w:p>
    <w:p>
      <w:pPr>
        <w:pStyle w:val="MdSpace"/>
        <w:spacing w:before="0" w:after="60"/>
      </w:pPr>
    </w:p>
    <w:p>
      <w:pPr>
        <w:pStyle w:val="Heading3"/>
        <w:pStyle w:val="MdHeading3"/>
      </w:pPr>
      <w:r>
        <w:t xml:space="preserve">10.3 工程效率</w:t>
      </w:r>
    </w:p>
    <w:p>
      <w:pPr>
        <w:pStyle w:val="MdListItem"/>
        <w:numPr>
          <w:ilvl w:val="0"/>
          <w:numId w:val="3"/>
        </w:numPr>
      </w:pPr>
      <w:r>
        <w:t xml:space="preserve">单个 Episode 平均处理时长；</w:t>
      </w:r>
    </w:p>
    <w:p>
      <w:pPr>
        <w:pStyle w:val="MdListItem"/>
        <w:numPr>
          <w:ilvl w:val="0"/>
          <w:numId w:val="3"/>
        </w:numPr>
      </w:pPr>
      <w:r>
        <w:t xml:space="preserve">单个 Episode 的 GPU 使用时长；</w:t>
      </w:r>
    </w:p>
    <w:p>
      <w:pPr>
        <w:pStyle w:val="MdListItem"/>
        <w:numPr>
          <w:ilvl w:val="0"/>
          <w:numId w:val="3"/>
        </w:numPr>
      </w:pPr>
      <w:r>
        <w:t xml:space="preserve">人工审核平均耗时；</w:t>
      </w:r>
    </w:p>
    <w:p>
      <w:pPr>
        <w:pStyle w:val="MdListItem"/>
        <w:numPr>
          <w:ilvl w:val="0"/>
          <w:numId w:val="3"/>
        </w:numPr>
      </w:pPr>
      <w:r>
        <w:t xml:space="preserve">日志通道和视觉通道的单位成本；</w:t>
      </w:r>
    </w:p>
    <w:p>
      <w:pPr>
        <w:pStyle w:val="MdListItem"/>
        <w:numPr>
          <w:ilvl w:val="0"/>
          <w:numId w:val="3"/>
        </w:numPr>
      </w:pPr>
      <w:r>
        <w:t xml:space="preserve">异常 Episode 的自动发现率。</w:t>
      </w:r>
    </w:p>
    <w:p>
      <w:pPr>
        <w:pStyle w:val="MdSpace"/>
        <w:spacing w:before="0" w:after="60"/>
      </w:pPr>
    </w:p>
    <w:p>
      <w:pPr>
        <w:pStyle w:val="Heading3"/>
        <w:pStyle w:val="MdHeading3"/>
      </w:pPr>
      <w:r>
        <w:t xml:space="preserve">10.4 建议验收目标</w:t>
      </w:r>
    </w:p>
    <w:p>
      <w:pPr>
        <w:pStyle w:val="MdParagraph"/>
      </w:pPr>
      <w:r>
        <w:t xml:space="preserve">初期不建议只设一个全局准确率目标，而应按通道分别验收：</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通道</w:t>
            </w:r>
          </w:p>
        </w:tc>
        <w:tc>
          <w:tcPr>
            <w:tcBorders>
              <w:right w:val="none"/>
            </w:tcBorders>
            <w:tcMar>
              <w:top w:type="dxa" w:w="100"/>
              <w:left w:type="dxa" w:w="120"/>
              <w:bottom w:type="dxa" w:w="100"/>
              <w:right w:type="dxa" w:w="120"/>
            </w:tcMar>
            <w:vAlign w:val="center"/>
          </w:tcPr>
          <w:p>
            <w:pPr>
              <w:pStyle w:val="MdTableHeader"/>
            </w:pPr>
            <w:r>
              <w:t xml:space="preserve">初期目标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日志标注通道</w:t>
            </w:r>
          </w:p>
        </w:tc>
        <w:tc>
          <w:tcPr>
            <w:tcBorders>
              <w:right w:val="none"/>
            </w:tcBorders>
            <w:tcMar>
              <w:top w:type="dxa" w:w="80"/>
              <w:left w:type="dxa" w:w="120"/>
              <w:bottom w:type="dxa" w:w="80"/>
              <w:right w:type="dxa" w:w="120"/>
            </w:tcMar>
            <w:vAlign w:val="center"/>
          </w:tcPr>
          <w:p>
            <w:pPr>
              <w:pStyle w:val="MdTableCell"/>
            </w:pPr>
            <w:r>
              <w:t xml:space="preserve">日志时间与视频对齐可靠；动作映射错误可被发现；高风险异常进入人工审核</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视觉标注通道</w:t>
            </w:r>
          </w:p>
        </w:tc>
        <w:tc>
          <w:tcPr>
            <w:tcBorders>
              <w:right w:val="none"/>
            </w:tcBorders>
            <w:tcMar>
              <w:top w:type="dxa" w:w="80"/>
              <w:left w:type="dxa" w:w="120"/>
              <w:bottom w:type="dxa" w:w="80"/>
              <w:right w:type="dxa" w:w="120"/>
            </w:tcMar>
            <w:vAlign w:val="center"/>
          </w:tcPr>
          <w:p>
            <w:pPr>
              <w:pStyle w:val="MdTableCell"/>
            </w:pPr>
            <w:r>
              <w:t xml:space="preserve">能稳定输出固定枚举标签和候选时间区间；边界不确定时正确标记人工复核</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混合路由</w:t>
            </w:r>
          </w:p>
        </w:tc>
        <w:tc>
          <w:tcPr>
            <w:tcBorders>
              <w:right w:val="none"/>
            </w:tcBorders>
            <w:tcMar>
              <w:top w:type="dxa" w:w="80"/>
              <w:left w:type="dxa" w:w="120"/>
              <w:bottom w:type="dxa" w:w="80"/>
              <w:right w:type="dxa" w:w="120"/>
            </w:tcMar>
            <w:vAlign w:val="center"/>
          </w:tcPr>
          <w:p>
            <w:pPr>
              <w:pStyle w:val="MdTableCell"/>
            </w:pPr>
            <w:r>
              <w:t xml:space="preserve">通道切换处不产生重复、遗漏或时间重叠事件</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专用模型</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在明确任务上相对通用视觉通道有可量化的人工成本或边界精度收益</w:t>
            </w:r>
          </w:p>
        </w:tc>
      </w:tr>
    </w:tbl>
    <w:p>
      <w:pPr>
        <w:pStyle w:val="Heading2"/>
        <w:pStyle w:val="MdHeading2"/>
      </w:pPr>
      <w:r>
        <w:t xml:space="preserve">11. 方案优劣</w:t>
      </w:r>
    </w:p>
    <w:p>
      <w:pPr>
        <w:pStyle w:val="Heading3"/>
        <w:pStyle w:val="MdHeading3"/>
      </w:pPr>
      <w:r>
        <w:t xml:space="preserve">11.1 优点</w:t>
      </w:r>
    </w:p>
    <w:p>
      <w:pPr>
        <w:pStyle w:val="MdParagraph"/>
      </w:pPr>
      <w:r>
        <w:t xml:space="preserve">第一，本方案可以直接利用已有任务执行日志，不必等视觉融合系统全部完成后才获得高精度结果。</w:t>
      </w:r>
    </w:p>
    <w:p>
      <w:pPr>
        <w:pStyle w:val="MdSpace"/>
        <w:spacing w:before="0" w:after="60"/>
      </w:pPr>
    </w:p>
    <w:p>
      <w:pPr>
        <w:pStyle w:val="MdParagraph"/>
      </w:pPr>
      <w:r>
        <w:t xml:space="preserve">第二，技能驱动数据和纯遥操作数据可以同时推进。某一路径遇到问题时，不会阻塞另一类数据。</w:t>
      </w:r>
    </w:p>
    <w:p>
      <w:pPr>
        <w:pStyle w:val="MdSpace"/>
        <w:spacing w:before="0" w:after="60"/>
      </w:pPr>
    </w:p>
    <w:p>
      <w:pPr>
        <w:pStyle w:val="MdParagraph"/>
      </w:pPr>
      <w:r>
        <w:t xml:space="preserve">第三，计算资源可以按数据类型和风险分配。日志可靠的数据不必默认运行完整的 VLM、GroundingDINO 和 SAM2 流程。</w:t>
      </w:r>
    </w:p>
    <w:p>
      <w:pPr>
        <w:pStyle w:val="MdSpace"/>
        <w:spacing w:before="0" w:after="60"/>
      </w:pPr>
    </w:p>
    <w:p>
      <w:pPr>
        <w:pStyle w:val="MdParagraph"/>
      </w:pPr>
      <w:r>
        <w:t xml:space="preserve">第四，专用模型按照任务收益单独立项，避免对所有数据强行训练同一种模型。</w:t>
      </w:r>
    </w:p>
    <w:p>
      <w:pPr>
        <w:pStyle w:val="MdSpace"/>
        <w:spacing w:before="0" w:after="60"/>
      </w:pPr>
    </w:p>
    <w:p>
      <w:pPr>
        <w:pStyle w:val="Heading3"/>
        <w:pStyle w:val="MdHeading3"/>
      </w:pPr>
      <w:r>
        <w:t xml:space="preserve">11.2 局限</w:t>
      </w:r>
    </w:p>
    <w:p>
      <w:pPr>
        <w:pStyle w:val="MdParagraph"/>
      </w:pPr>
      <w:r>
        <w:t xml:space="preserve">第一，系统需要维护数据路由、两条标注通道和通道冲突处理逻辑，工程组织复杂度高于单一路径。</w:t>
      </w:r>
    </w:p>
    <w:p>
      <w:pPr>
        <w:pStyle w:val="MdSpace"/>
        <w:spacing w:before="0" w:after="60"/>
      </w:pPr>
    </w:p>
    <w:p>
      <w:pPr>
        <w:pStyle w:val="MdParagraph"/>
      </w:pPr>
      <w:r>
        <w:t xml:space="preserve">第二，日志通道和视觉通道可能产生不同的误差类型，因此必须建立统一评测体系，不能只比较最终准确率。</w:t>
      </w:r>
    </w:p>
    <w:p>
      <w:pPr>
        <w:pStyle w:val="MdSpace"/>
        <w:spacing w:before="0" w:after="60"/>
      </w:pPr>
    </w:p>
    <w:p>
      <w:pPr>
        <w:pStyle w:val="MdParagraph"/>
      </w:pPr>
      <w:r>
        <w:t xml:space="preserve">第三，混合 Episode 的通道切换需要额外处理上下文和边界连续性。</w:t>
      </w:r>
    </w:p>
    <w:p>
      <w:pPr>
        <w:pStyle w:val="MdSpace"/>
        <w:spacing w:before="0" w:after="60"/>
      </w:pPr>
    </w:p>
    <w:p>
      <w:pPr>
        <w:pStyle w:val="MdParagraph"/>
      </w:pPr>
      <w:r>
        <w:t xml:space="preserve">第四，如果数据类型判断不准确，路由错误可能把本应使用高质量日志的数据送入较弱的视觉路径，或者错误使用不可靠日志。</w:t>
      </w:r>
    </w:p>
    <w:p>
      <w:pPr>
        <w:pStyle w:val="MdSpace"/>
        <w:spacing w:before="0" w:after="60"/>
      </w:pPr>
    </w:p>
    <w:p>
      <w:pPr>
        <w:pStyle w:val="Heading2"/>
        <w:pStyle w:val="MdHeading2"/>
      </w:pPr>
      <w:r>
        <w:t xml:space="preserve">12. 与上一版递进式方案的区别</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对比项</w:t>
            </w:r>
          </w:p>
        </w:tc>
        <w:tc>
          <w:tcPr>
            <w:tcMar>
              <w:top w:type="dxa" w:w="100"/>
              <w:left w:type="dxa" w:w="120"/>
              <w:bottom w:type="dxa" w:w="100"/>
              <w:right w:type="dxa" w:w="120"/>
            </w:tcMar>
            <w:vAlign w:val="center"/>
          </w:tcPr>
          <w:p>
            <w:pPr>
              <w:pStyle w:val="MdTableHeader"/>
            </w:pPr>
            <w:r>
              <w:t xml:space="preserve">上一版：递进式能力层</w:t>
            </w:r>
          </w:p>
        </w:tc>
        <w:tc>
          <w:tcPr>
            <w:tcBorders>
              <w:right w:val="none"/>
            </w:tcBorders>
            <w:tcMar>
              <w:top w:type="dxa" w:w="100"/>
              <w:left w:type="dxa" w:w="120"/>
              <w:bottom w:type="dxa" w:w="100"/>
              <w:right w:type="dxa" w:w="120"/>
            </w:tcMar>
            <w:vAlign w:val="center"/>
          </w:tcPr>
          <w:p>
            <w:pPr>
              <w:pStyle w:val="MdTableHeader"/>
            </w:pPr>
            <w:r>
              <w:t xml:space="preserve">本版：按数据类型分流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主要组织方式</w:t>
            </w:r>
          </w:p>
        </w:tc>
        <w:tc>
          <w:tcPr>
            <w:tcMar>
              <w:top w:type="dxa" w:w="80"/>
              <w:left w:type="dxa" w:w="120"/>
              <w:bottom w:type="dxa" w:w="80"/>
              <w:right w:type="dxa" w:w="120"/>
            </w:tcMar>
            <w:vAlign w:val="center"/>
          </w:tcPr>
          <w:p>
            <w:pPr>
              <w:pStyle w:val="MdTableCell"/>
            </w:pPr>
            <w:r>
              <w:t xml:space="preserve">按系统能力成熟度递进</w:t>
            </w:r>
          </w:p>
        </w:tc>
        <w:tc>
          <w:tcPr>
            <w:tcBorders>
              <w:right w:val="none"/>
            </w:tcBorders>
            <w:tcMar>
              <w:top w:type="dxa" w:w="80"/>
              <w:left w:type="dxa" w:w="120"/>
              <w:bottom w:type="dxa" w:w="80"/>
              <w:right w:type="dxa" w:w="120"/>
            </w:tcMar>
            <w:vAlign w:val="center"/>
          </w:tcPr>
          <w:p>
            <w:pPr>
              <w:pStyle w:val="MdTableCell"/>
            </w:pPr>
            <w:r>
              <w:t xml:space="preserve">按 Episode 的数据来源和证据可用性分流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主要路径</w:t>
            </w:r>
          </w:p>
        </w:tc>
        <w:tc>
          <w:tcPr>
            <w:tcMar>
              <w:top w:type="dxa" w:w="80"/>
              <w:left w:type="dxa" w:w="120"/>
              <w:bottom w:type="dxa" w:w="80"/>
              <w:right w:type="dxa" w:w="120"/>
            </w:tcMar>
            <w:vAlign w:val="center"/>
          </w:tcPr>
          <w:p>
            <w:pPr>
              <w:pStyle w:val="MdTableCell"/>
            </w:pPr>
            <w:r>
              <w:t xml:space="preserve">基础标注 → 多证据融合 → 专用模型</w:t>
            </w:r>
          </w:p>
        </w:tc>
        <w:tc>
          <w:tcPr>
            <w:tcBorders>
              <w:right w:val="none"/>
            </w:tcBorders>
            <w:tcMar>
              <w:top w:type="dxa" w:w="80"/>
              <w:left w:type="dxa" w:w="120"/>
              <w:bottom w:type="dxa" w:w="80"/>
              <w:right w:type="dxa" w:w="120"/>
            </w:tcMar>
            <w:vAlign w:val="center"/>
          </w:tcPr>
          <w:p>
            <w:pPr>
              <w:pStyle w:val="MdTableCell"/>
            </w:pPr>
            <w:r>
              <w:t xml:space="preserve">日志通道与视觉通道并行，专用模型按任务单独接入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日志使用方式</w:t>
            </w:r>
          </w:p>
        </w:tc>
        <w:tc>
          <w:tcPr>
            <w:tcMar>
              <w:top w:type="dxa" w:w="80"/>
              <w:left w:type="dxa" w:w="120"/>
              <w:bottom w:type="dxa" w:w="80"/>
              <w:right w:type="dxa" w:w="120"/>
            </w:tcMar>
            <w:vAlign w:val="center"/>
          </w:tcPr>
          <w:p>
            <w:pPr>
              <w:pStyle w:val="MdTableCell"/>
            </w:pPr>
            <w:r>
              <w:t xml:space="preserve">作为多证据融合层的一部分</w:t>
            </w:r>
          </w:p>
        </w:tc>
        <w:tc>
          <w:tcPr>
            <w:tcBorders>
              <w:right w:val="none"/>
            </w:tcBorders>
            <w:tcMar>
              <w:top w:type="dxa" w:w="80"/>
              <w:left w:type="dxa" w:w="120"/>
              <w:bottom w:type="dxa" w:w="80"/>
              <w:right w:type="dxa" w:w="120"/>
            </w:tcMar>
            <w:vAlign w:val="center"/>
          </w:tcPr>
          <w:p>
            <w:pPr>
              <w:pStyle w:val="MdTableCell"/>
            </w:pPr>
            <w:r>
              <w:t xml:space="preserve">作为技能驱动数据的首选主通道</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纯遥操作数据</w:t>
            </w:r>
          </w:p>
        </w:tc>
        <w:tc>
          <w:tcPr>
            <w:tcMar>
              <w:top w:type="dxa" w:w="80"/>
              <w:left w:type="dxa" w:w="120"/>
              <w:bottom w:type="dxa" w:w="80"/>
              <w:right w:type="dxa" w:w="120"/>
            </w:tcMar>
            <w:vAlign w:val="center"/>
          </w:tcPr>
          <w:p>
            <w:pPr>
              <w:pStyle w:val="MdTableCell"/>
            </w:pPr>
            <w:r>
              <w:t xml:space="preserve">与其他数据共用基础路径</w:t>
            </w:r>
          </w:p>
        </w:tc>
        <w:tc>
          <w:tcPr>
            <w:tcBorders>
              <w:right w:val="none"/>
            </w:tcBorders>
            <w:tcMar>
              <w:top w:type="dxa" w:w="80"/>
              <w:left w:type="dxa" w:w="120"/>
              <w:bottom w:type="dxa" w:w="80"/>
              <w:right w:type="dxa" w:w="120"/>
            </w:tcMar>
            <w:vAlign w:val="center"/>
          </w:tcPr>
          <w:p>
            <w:pPr>
              <w:pStyle w:val="MdTableCell"/>
            </w:pPr>
            <w:r>
              <w:t xml:space="preserve">直接进入视觉标注通道</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专用模型</w:t>
            </w:r>
          </w:p>
        </w:tc>
        <w:tc>
          <w:tcPr>
            <w:tcMar>
              <w:top w:type="dxa" w:w="80"/>
              <w:left w:type="dxa" w:w="120"/>
              <w:bottom w:type="dxa" w:w="80"/>
              <w:right w:type="dxa" w:w="120"/>
            </w:tcMar>
            <w:vAlign w:val="center"/>
          </w:tcPr>
          <w:p>
            <w:pPr>
              <w:pStyle w:val="MdTableCell"/>
            </w:pPr>
            <w:r>
              <w:t xml:space="preserve">第三阶段建设</w:t>
            </w:r>
          </w:p>
        </w:tc>
        <w:tc>
          <w:tcPr>
            <w:tcBorders>
              <w:right w:val="none"/>
            </w:tcBorders>
            <w:tcMar>
              <w:top w:type="dxa" w:w="80"/>
              <w:left w:type="dxa" w:w="120"/>
              <w:bottom w:type="dxa" w:w="80"/>
              <w:right w:type="dxa" w:w="120"/>
            </w:tcMar>
            <w:vAlign w:val="center"/>
          </w:tcPr>
          <w:p>
            <w:pPr>
              <w:pStyle w:val="MdTableCell"/>
            </w:pPr>
            <w:r>
              <w:t xml:space="preserve">仅对高收益任务单独立项</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适合情况</w:t>
            </w:r>
          </w:p>
        </w:tc>
        <w:tc>
          <w:tcPr>
            <w:tcBorders>
              <w:bottom w:val="single" w:color="E1E4E8" w:sz="4"/>
            </w:tcBorders>
            <w:tcMar>
              <w:top w:type="dxa" w:w="80"/>
              <w:left w:type="dxa" w:w="120"/>
              <w:bottom w:type="dxa" w:w="80"/>
              <w:right w:type="dxa" w:w="120"/>
            </w:tcMar>
            <w:vAlign w:val="center"/>
          </w:tcPr>
          <w:p>
            <w:pPr>
              <w:pStyle w:val="MdTableCell"/>
            </w:pPr>
            <w:r>
              <w:t xml:space="preserve">希望逐步建设统一平台能力</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数据来源复杂，且希望尽快利用已有日志</w:t>
            </w:r>
          </w:p>
        </w:tc>
      </w:tr>
    </w:tbl>
    <w:p>
      <w:pPr>
        <w:pStyle w:val="Heading2"/>
        <w:pStyle w:val="MdHeading2"/>
      </w:pPr>
      <w:r>
        <w:t xml:space="preserve">13. 最终建议</w:t>
      </w:r>
    </w:p>
    <w:p>
      <w:pPr>
        <w:pStyle w:val="MdParagraph"/>
      </w:pPr>
      <w:r>
        <w:t xml:space="preserve">如果当前数据中技能驱动 Episode 占比高，建议优先采用本方案。先用日志通道快速产出一批高质量数据，同时用视觉通道覆盖纯遥操作数据，再根据两类数据的人工修改率和边界误差决定后续投入方向。</w:t>
      </w:r>
    </w:p>
    <w:p>
      <w:pPr>
        <w:pStyle w:val="MdSpace"/>
        <w:spacing w:before="0" w:after="60"/>
      </w:pPr>
    </w:p>
    <w:p>
      <w:pPr>
        <w:pStyle w:val="MdParagraph"/>
      </w:pPr>
      <w:r>
        <w:t xml:space="preserve">如果当前几乎没有可靠任务执行日志，或日志字段无法与视频和对象库稳定对应，则应将日志通道降级为辅助校验，视觉通道作为主通道。此时仍可保留本方案的路由框架，以便未来接入控制层日志。</w:t>
      </w:r>
    </w:p>
    <w:p>
      <w:pPr>
        <w:pStyle w:val="MdSpace"/>
        <w:spacing w:before="0" w:after="60"/>
      </w:pPr>
    </w:p>
    <w:p>
      <w:pPr>
        <w:pStyle w:val="MdParagraph"/>
      </w:pPr>
      <w:r>
        <w:t xml:space="preserve">本方案的核心不是“日志替代视觉”，也不是“所有数据都运行完整模型”，而是：</w:t>
      </w:r>
    </w:p>
    <w:p>
      <w:pPr>
        <w:pStyle w:val="MdSpace"/>
        <w:spacing w:before="0" w:after="60"/>
      </w:pPr>
    </w:p>
    <w:p>
      <w:pPr>
        <w:pStyle w:val="MdBlockquote"/>
      </w:pPr>
      <w:r>
        <w:rPr>
          <w:rStyle w:val="MdStrong"/>
          <w:b/>
          <w:bCs/>
        </w:rPr>
        <w:t xml:space="preserve">让每个 Episode 使用当前可获得的最可靠证据，并通过统一输出、统一审核和统一评测保证系统最终可维护。</w:t>
      </w:r>
    </w:p>
    <w:p>
      <w:pPr>
        <w:pStyle w:val="MdSpace"/>
        <w:spacing w:before="0" w:after="60"/>
      </w:pPr>
    </w:p>
    <w:p>
      <w:pPr>
        <w:pStyle w:val="Heading2"/>
        <w:pStyle w:val="MdHeading2"/>
      </w:pPr>
      <w:r>
        <w:t xml:space="preserve">References</w:t>
      </w:r>
    </w:p>
    <w:p>
      <w:pPr>
        <w:pStyle w:val="MdParagraph"/>
      </w:pPr>
      <w:r>
        <w:t xml:space="preserve">本文为内部技术方案文档，未引用外部资料。后续如确定具体模型版本、代码仓库或数据协议，应在对应章节补充正式来源及版本信息。</w:t>
      </w:r>
    </w:p>
    <w:p>
      <w:pPr>
        <w:pStyle w:val="Heading1"/>
      </w:pPr>
      <w:r>
        <w:t xml:space="preserve">附录：三份方案交叉评审后需要修改的地方</w:t>
      </w:r>
    </w:p>
    <w:p>
      <w:pPr>
        <w:pStyle w:val="FirstParagraph"/>
      </w:pPr>
      <w:r>
        <w:t xml:space="preserve">本文与《方案一：整合修订版》《方案三：按难度和风险分级》是同一批交叉评审的产物。</w:t>
      </w:r>
    </w:p>
    <w:p>
      <w:pPr>
        <w:pStyle w:val="Heading2"/>
      </w:pPr>
      <w:r>
        <w:t xml:space="preserve">1. 需要在文档开头补充：本方案与方案一、方案三是不同维度</w:t>
      </w:r>
    </w:p>
    <w:p>
      <w:pPr>
        <w:pStyle w:val="FirstParagraph"/>
      </w:pPr>
      <w:r>
        <w:t xml:space="preserve">本文按”数据来源”（技能驱动/纯遥操作/混合/异常）做路由，方案一按”能力成熟度”组织，方案三按”风险等级”（L1/L2/L3）做路由。三者是正交维度，不是互斥的技术路线。</w:t>
      </w:r>
    </w:p>
    <w:p>
      <w:pPr>
        <w:pStyle w:val="BodyText"/>
      </w:pPr>
      <w:r>
        <w:t xml:space="preserve">本文的数据路由和方案三的风险路由理论上应该组合使用，而不是二选一：例如技能驱动 Episode 因为有日志佐证，默认风险更低、更容易进方案三的 L1；纯遥操作 Episode 缺少日志佐证，默认风险更高，更容易进 L2/L3。目前文档没有提到这层结合，容易让读者以为要在方案二和方案三之间选一个。建议在 0. 方案概述末尾补充一段说明这个组合关系。</w:t>
      </w:r>
    </w:p>
    <w:p>
      <w:pPr>
        <w:pStyle w:val="Heading2"/>
      </w:pPr>
      <w:r>
        <w:t xml:space="preserve">2. 统一输出契约需要向方案一看齐</w:t>
      </w:r>
    </w:p>
    <w:p>
      <w:pPr>
        <w:pStyle w:val="FirstParagraph"/>
      </w:pPr>
      <w:r>
        <w:t xml:space="preserve">本文 §7 的</w:t>
      </w:r>
      <w:r>
        <w:t xml:space="preserve"> </w:t>
      </w:r>
      <w:r>
        <w:rPr>
          <w:rStyle w:val="VerbatimChar"/>
        </w:rPr>
        <w:t xml:space="preserve">confidence</w:t>
      </w:r>
      <w:r>
        <w:t xml:space="preserve"> </w:t>
      </w:r>
      <w:r>
        <w:t xml:space="preserve">是单一浮点数（如</w:t>
      </w:r>
      <w:r>
        <w:t xml:space="preserve"> </w:t>
      </w:r>
      <w:r>
        <w:rPr>
          <w:rStyle w:val="VerbatimChar"/>
        </w:rPr>
        <w:t xml:space="preserve">0.94</w:t>
      </w:r>
      <w:r>
        <w:t xml:space="preserve">），</w:t>
      </w:r>
      <w:r>
        <w:rPr>
          <w:rStyle w:val="VerbatimChar"/>
        </w:rPr>
        <w:t xml:space="preserve">evidence</w:t>
      </w:r>
      <w:r>
        <w:t xml:space="preserve"> </w:t>
      </w:r>
      <w:r>
        <w:t xml:space="preserve">是字符串数组（如</w:t>
      </w:r>
      <w:r>
        <w:t xml:space="preserve"> </w:t>
      </w:r>
      <w:r>
        <w:rPr>
          <w:rStyle w:val="VerbatimChar"/>
        </w:rPr>
        <w:t xml:space="preserve">["task_log", "state_signal", "visual_object_match"]</w:t>
      </w:r>
      <w:r>
        <w:t xml:space="preserve">）。方案一把</w:t>
      </w:r>
      <w:r>
        <w:t xml:space="preserve"> </w:t>
      </w:r>
      <w:r>
        <w:rPr>
          <w:rStyle w:val="VerbatimChar"/>
        </w:rPr>
        <w:t xml:space="preserve">confidence</w:t>
      </w:r>
      <w:r>
        <w:t xml:space="preserve"> </w:t>
      </w:r>
      <w:r>
        <w:t xml:space="preserve">拆成</w:t>
      </w:r>
      <w:r>
        <w:t xml:space="preserve"> </w:t>
      </w:r>
      <w:r>
        <w:rPr>
          <w:rStyle w:val="VerbatimChar"/>
        </w:rPr>
        <w:t xml:space="preserve">semantic</w:t>
      </w:r>
      <w:r>
        <w:t xml:space="preserve">/</w:t>
      </w:r>
      <w:r>
        <w:rPr>
          <w:rStyle w:val="VerbatimChar"/>
        </w:rPr>
        <w:t xml:space="preserve">boundary</w:t>
      </w:r>
      <w:r>
        <w:t xml:space="preserve">/</w:t>
      </w:r>
      <w:r>
        <w:rPr>
          <w:rStyle w:val="VerbatimChar"/>
        </w:rPr>
        <w:t xml:space="preserve">object</w:t>
      </w:r>
      <w:r>
        <w:t xml:space="preserve"> </w:t>
      </w:r>
      <w:r>
        <w:t xml:space="preserve">三个维度，</w:t>
      </w:r>
      <w:r>
        <w:rPr>
          <w:rStyle w:val="VerbatimChar"/>
        </w:rPr>
        <w:t xml:space="preserve">evidence</w:t>
      </w:r>
      <w:r>
        <w:t xml:space="preserve"> </w:t>
      </w:r>
      <w:r>
        <w:t xml:space="preserve">是带</w:t>
      </w:r>
      <w:r>
        <w:t xml:space="preserve"> </w:t>
      </w:r>
      <w:r>
        <w:rPr>
          <w:rStyle w:val="VerbatimChar"/>
        </w:rPr>
        <w:t xml:space="preserve">description</w:t>
      </w:r>
      <w:r>
        <w:t xml:space="preserve"> </w:t>
      </w:r>
      <w:r>
        <w:t xml:space="preserve">的对象数组，粒度更细。</w:t>
      </w:r>
    </w:p>
    <w:p>
      <w:pPr>
        <w:pStyle w:val="BodyText"/>
      </w:pPr>
      <w:r>
        <w:t xml:space="preserve">三份文档最终要用同一套后端处理，建议本文的 Schema 向方案一收敛，不要各自维护一套字段定义。</w:t>
      </w:r>
    </w:p>
    <w:p>
      <w:pPr>
        <w:pStyle w:val="Heading2"/>
      </w:pPr>
      <w:r>
        <w:t xml:space="preserve">3. 日志通道缺少”控制意图 ≠ 物理真值”的严格三层区分</w:t>
      </w:r>
    </w:p>
    <w:p>
      <w:pPr>
        <w:pStyle w:val="FirstParagraph"/>
      </w:pPr>
      <w:r>
        <w:t xml:space="preserve">本文 §4.2 提到”日志记录了控制意图，不一定代表动作在物理世界中已经成功完成”，方向是对的，但没有像方案一 §1.2、§4.2 那样明确拆成三条独立时间线：</w:t>
      </w:r>
    </w:p>
    <w:p>
      <w:pPr>
        <w:pStyle w:val="Compact"/>
        <w:numPr>
          <w:ilvl w:val="0"/>
          <w:numId w:val="1001"/>
        </w:numPr>
      </w:pPr>
      <w:r>
        <w:t xml:space="preserve">Command Timeline（控制层下发指令的时间）</w:t>
      </w:r>
    </w:p>
    <w:p>
      <w:pPr>
        <w:pStyle w:val="Compact"/>
        <w:numPr>
          <w:ilvl w:val="0"/>
          <w:numId w:val="1001"/>
        </w:numPr>
      </w:pPr>
      <w:r>
        <w:t xml:space="preserve">Physical Event Timeline（gripper/关节等物理事件真实发生的时间）</w:t>
      </w:r>
    </w:p>
    <w:p>
      <w:pPr>
        <w:pStyle w:val="Compact"/>
        <w:numPr>
          <w:ilvl w:val="0"/>
          <w:numId w:val="1001"/>
        </w:numPr>
      </w:pPr>
      <w:r>
        <w:t xml:space="preserve">Semantic Action Timeline（标注平台最终采信的动作语义时间）</w:t>
      </w:r>
    </w:p>
    <w:p>
      <w:pPr>
        <w:pStyle w:val="FirstParagraph"/>
      </w:pPr>
      <w:r>
        <w:t xml:space="preserve">没有这层拆分，日志通道的工程实现很容易在无意中把 skill 的 start/end 直接当成最终的物理边界写入结果。建议把方案一 §4.2 的这部分内容合并进本文 §4，并在 §7 的输出契约里补充</w:t>
      </w:r>
      <w:r>
        <w:t xml:space="preserve"> </w:t>
      </w:r>
      <w:r>
        <w:rPr>
          <w:rStyle w:val="VerbatimChar"/>
        </w:rPr>
        <w:t xml:space="preserve">command_start</w:t>
      </w:r>
      <w:r>
        <w:t xml:space="preserve">/</w:t>
      </w:r>
      <w:r>
        <w:rPr>
          <w:rStyle w:val="VerbatimChar"/>
        </w:rPr>
        <w:t xml:space="preserve">command_end</w:t>
      </w:r>
      <w:r>
        <w:t xml:space="preserve"> </w:t>
      </w:r>
      <w:r>
        <w:t xml:space="preserve">与最终</w:t>
      </w:r>
      <w:r>
        <w:t xml:space="preserve"> </w:t>
      </w:r>
      <w:r>
        <w:rPr>
          <w:rStyle w:val="VerbatimChar"/>
        </w:rPr>
        <w:t xml:space="preserve">start_sec</w:t>
      </w:r>
      <w:r>
        <w:t xml:space="preserve">/</w:t>
      </w:r>
      <w:r>
        <w:rPr>
          <w:rStyle w:val="VerbatimChar"/>
        </w:rPr>
        <w:t xml:space="preserve">end_sec</w:t>
      </w:r>
      <w:r>
        <w:t xml:space="preserve"> </w:t>
      </w:r>
      <w:r>
        <w:t xml:space="preserve">分开存储。</w:t>
      </w:r>
    </w:p>
    <w:p>
      <w:pPr>
        <w:pStyle w:val="Heading2"/>
      </w:pPr>
      <w:r>
        <w:t xml:space="preserve">4. TAS / TAL 选型依据需要量化，不能只凭主观判断</w:t>
      </w:r>
    </w:p>
    <w:p>
      <w:pPr>
        <w:pStyle w:val="FirstParagraph"/>
      </w:pPr>
      <w:r>
        <w:t xml:space="preserve">本文 §8 只写”若 Episode 全程连续执行工序，优先评估 ASFormer；若目标动作零星出现，则评估 ActionFormer/OpenTAD”，没有给出判断标准。方案一 §5.2 要求先统计动作覆盖率、平均动作时长、背景占比、动作密度等量化指标再做选型，建议把这部分要求补充进本文 §8，避免凭经验判断选错模型范式、后期返工。</w:t>
      </w:r>
    </w:p>
    <w:p>
      <w:pPr>
        <w:pStyle w:val="Heading1"/>
      </w:pPr>
      <w:r>
        <w:t xml:space="preserve">附录二：基于数据规模（100+TB，单卡 4090/3090）的修订</w:t>
      </w:r>
    </w:p>
    <w:p>
      <w:pPr>
        <w:pStyle w:val="FirstParagraph"/>
      </w:pPr>
      <w:r>
        <w:t xml:space="preserve">采集数据规模已明确为 100 余 TB，硬件为单卡 4090/3090。这个前提提升了本文数据路由层的优先级，需要做以下修订。</w:t>
      </w:r>
    </w:p>
    <w:p>
      <w:pPr>
        <w:pStyle w:val="Heading2"/>
      </w:pPr>
      <w:r>
        <w:t xml:space="preserve">1. §0”方案概述”需要修改优先级表述</w:t>
      </w:r>
    </w:p>
    <w:p>
      <w:pPr>
        <w:pStyle w:val="FirstParagraph"/>
      </w:pPr>
      <w:r>
        <w:t xml:space="preserve">原文说”数据路由、统一输出契约和人工审核闭环必须最先完成；日志通道和视觉通道可以同时推进”。在 100TB 规模下，这句话需要更明确：</w:t>
      </w:r>
      <w:r>
        <w:rPr>
          <w:bCs/>
          <w:b/>
        </w:rPr>
        <w:t xml:space="preserve">日志通道能覆盖的那部分数据（技能驱动 Episode），是这个数据量级下唯一能大幅省掉视觉推理成本的路径</w:t>
      </w:r>
      <w:r>
        <w:t xml:space="preserve">——纯视觉链路（VLM+GroundingDINO+SAM2）在单卡上处理 100TB 级别数据的总耗时会非常可观，而日志通道对能覆盖的部分几乎不需要跑重量级视觉组件。因此技能驱动/纯遥操作的比例摸底，应该是整个项目启动后第一周就要拿到的数字，直接决定资源分配方式，不能和其他常规筹备工作并列处理。</w:t>
      </w:r>
    </w:p>
    <w:p>
      <w:pPr>
        <w:pStyle w:val="Heading2"/>
      </w:pPr>
      <w:r>
        <w:t xml:space="preserve">2. §9”第 0 周”需要提高摸底优先级</w:t>
      </w:r>
    </w:p>
    <w:p>
      <w:pPr>
        <w:pStyle w:val="FirstParagraph"/>
      </w:pPr>
      <w:r>
        <w:t xml:space="preserve">原文第 0 周的工作是”完成 Episode 清单、数据类型统计和时间轴现状盘点”，建议明确这一项在 100TB 规模下是全项目最高优先级的任务，且需要给出具体数字（不只是”存在”或”不存在”日志，而是”多大比例”），因为这个比例直接决定后续 GPU 资源预算和处理排期能不能对上采集速度。</w:t>
      </w:r>
    </w:p>
    <w:p>
      <w:pPr>
        <w:pStyle w:val="Heading2"/>
      </w:pPr>
      <w:r>
        <w:t xml:space="preserve">3. 需要补充与《方案三》风险路由的衔接</w:t>
      </w:r>
    </w:p>
    <w:p>
      <w:pPr>
        <w:pStyle w:val="FirstParagraph"/>
      </w:pPr>
      <w:r>
        <w:t xml:space="preserve">本文目前把”专用优化通道”排在最后，且只针对高频任务单独立项。但在这个数据规模下，</w:t>
      </w:r>
      <w:r>
        <w:rPr>
          <w:bCs/>
          <w:b/>
        </w:rPr>
        <w:t xml:space="preserve">风险分级路由（方案三）应该覆盖视觉通道处理的全部数据，而不只是少数高频任务</w:t>
      </w:r>
      <w:r>
        <w:t xml:space="preserve">——否则视觉通道要对着 100TB 里所有非日志覆盖的部分都跑全量证据融合，单卡吞吐撑不住。建议在 §5 视觉标注通道流程里明确注明：视觉通道的”按需加证据”规则，应该直接复用《方案三》的风险评分机制来判断加不加证据，而不是各自维护一套触发条件。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2026-09-16T09:24:48.277Z</dcterms:created>
  <dcterms:modified xsi:type="dcterms:W3CDTF">2026-09-16T09:24:48.277Z</dcterms:modified>
</cp:coreProperties>
</file>

<file path=docProps/custom.xml><?xml version="1.0" encoding="utf-8"?>
<Properties xmlns="http://schemas.openxmlformats.org/officeDocument/2006/custom-properties" xmlns:vt="http://schemas.openxmlformats.org/officeDocument/2006/docPropsVTypes"/>
</file>