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客户分级标准说明</w:t>
      </w:r>
    </w:p>
    <w:p>
      <w:r>
        <w:t>A 级客户为月采购超过五千件的核心经销商，享受优先排产权益。</w:t>
      </w:r>
    </w:p>
    <w:p>
      <w:r>
        <w:t>B 级客户为月采购五百至五千件的稳定客户，按标准交期安排生产。</w:t>
      </w:r>
    </w:p>
    <w:p>
      <w:r>
        <w:t>C 级客户为偶发询盘客户，首单建议样品确认后再批量。</w:t>
      </w:r>
    </w:p>
    <w:p>
      <w:r>
        <w:t>D 级客户为长期无互动或存在拖账风险的客户，新订单须预付定金。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