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丢单复盘：交期承诺失误</w:t>
      </w:r>
    </w:p>
    <w:p>
      <w:r>
        <w:t>案例概况：向欧洲经销商承诺十五天交货，实际排产需要二十八天。</w:t>
      </w:r>
    </w:p>
    <w:p>
      <w:r>
        <w:t>直接后果：客户错过本地销售旺季，转向竞品供应商下单。</w:t>
      </w:r>
    </w:p>
    <w:p>
      <w:r>
        <w:t>根因分析：报价阶段未与生产部门确认排产能力，交期口径凭经验估计。</w:t>
      </w:r>
    </w:p>
    <w:p>
      <w:r>
        <w:t>改进措施：交期承诺必须走排产确认流程，加急需求单独评估。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