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SIM0403 案例复盘</w:t>
      </w:r>
    </w:p>
    <w:p>
      <w:r>
        <w:t>SIM0403 丢单复盘 根因是排产口径未确认 改进措施为流程双签。</w:t>
      </w:r>
    </w:p>
    <w:p>
      <w:r>
        <w:t>错误话术示例 交期口头承诺十五天 实际需要二十八天。</w:t>
      </w:r>
    </w:p>
    <w:p>
      <w:r>
        <w:t>直接后果 错过当地销售旺季 损失一个季度订单。</w:t>
      </w:r>
    </w:p>
    <w:p>
      <w:r>
        <w:t>改进措施 交期承诺必须走排产确认流程 加急单独评估。</w:t>
      </w:r>
    </w:p>
    <w:p>
      <w:r>
        <w:t>案例概况 交期承诺与排产能力脱节 客户转向竞品。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