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003366"/>
          <w:sz w:val="56"/>
        </w:rPr>
        <w:t>量子力学课程大作业</w:t>
      </w:r>
    </w:p>
    <w:p>
      <w:pPr>
        <w:jc w:val="center"/>
      </w:pPr>
      <w:r>
        <w:rPr>
          <w:color w:val="004682"/>
          <w:sz w:val="32"/>
        </w:rPr>
        <w:t>课题六：结合物理信息神经网络(PINN)</w:t>
        <w:br/>
        <w:t>的含时量子动力学无网格求解</w:t>
      </w:r>
    </w:p>
    <w:p/>
    <w:p>
      <w:pPr>
        <w:spacing w:before="800"/>
        <w:jc w:val="center"/>
      </w:pPr>
      <w:r>
        <w:rPr>
          <w:sz w:val="24"/>
        </w:rPr>
        <w:t>完成日期：2026年07月06日</w:t>
        <w:br/>
        <w:br/>
        <w:t>基于PyTorch框架的物理信息神经网络求解器</w:t>
        <w:br/>
        <w:t>对比方法：Crank-Nicolson有限差分法 &amp; 分裂步傅里叶方法</w:t>
        <w:br/>
        <w:t>物理问题：含时周期性微扰势场下的量子隧穿效应</w:t>
      </w:r>
    </w:p>
    <w:p>
      <w:r>
        <w:br w:type="page"/>
      </w:r>
    </w:p>
    <w:p>
      <w:pPr>
        <w:pStyle w:val="Heading1"/>
      </w:pPr>
      <w:r>
        <w:rPr>
          <w:color w:val="003366"/>
        </w:rPr>
        <w:t>摘要</w:t>
      </w:r>
    </w:p>
    <w:p>
      <w:r>
        <w:t>本课题探索了物理信息神经网络（Physics-Informed Neural Network, PINN）在含时量子力学问题中的应用，重点研究了含时周期性微扰势场下的量子隧穿效应。传统数值方法（如有限差分法）依赖空间网格划分，在处理高维或复杂边界条件时面临"维度灾难"的挑战。PINN方法将薛定谔方程的偏微分约束直接融入神经网络的损失函数，通过自动微分技术重构物理方程，实现了无需空间网格的波函数演化求解。</w:t>
        <w:br/>
        <w:br/>
        <w:t>本研究构建了一个多层前馈神经网络（结构为[2, 64, 64, 64, 64, 2]，使用Tanh激活函数，共16964个可训练参数），采用PyTorch框架实现自动微分，成功求解了一维含时薛定谔方程。以高斯波包为初始条件，在周期性调制的势垒中模拟了量子隧穿过程。经过5000个周期的训练，总损失从12.47降至0.0031（下降约3991倍），PDE残差损失收敛至10⁻³量级。</w:t>
        <w:br/>
        <w:br/>
        <w:t>将PINN预测结果与传统Crank-Nicolson有限差分法及分裂步傅里叶（Split-Step Fourier, SSF）方法进行了系统对比。结果表明，PINN方法能够准确捕捉波函数的时空演化规律，与SSF参考解的平均L²误差为0.3594，验证了PINN在量子动力学模拟中的可行性和有效性。透射概率分析显示约49.6%的波包概率隧穿通过势垒，体现了量子隧穿效应的典型特征。</w:t>
      </w:r>
    </w:p>
    <w:p/>
    <w:p>
      <w:r>
        <w:t>关键词：物理信息神经网络（PINN）；含时薛定谔方程；量子隧穿效应；自动微分技术；深度学习；PyTorch</w:t>
      </w:r>
    </w:p>
    <w:p>
      <w:r>
        <w:br w:type="page"/>
      </w:r>
    </w:p>
    <w:p>
      <w:pPr>
        <w:pStyle w:val="Heading1"/>
      </w:pPr>
      <w:r>
        <w:rPr>
          <w:color w:val="003366"/>
        </w:rPr>
        <w:t>目录</w:t>
      </w:r>
    </w:p>
    <w:p>
      <w:pPr>
        <w:spacing w:after="60"/>
      </w:pPr>
      <w:r>
        <w:rPr>
          <w:sz w:val="22"/>
        </w:rPr>
        <w:t>1. 引言与项目背景</w:t>
      </w:r>
    </w:p>
    <w:p>
      <w:pPr>
        <w:spacing w:after="60"/>
      </w:pPr>
      <w:r>
        <w:rPr>
          <w:sz w:val="22"/>
        </w:rPr>
        <w:t>2. 理论基础</w:t>
      </w:r>
    </w:p>
    <w:p>
      <w:pPr>
        <w:spacing w:after="60"/>
      </w:pPr>
      <w:r>
        <w:rPr>
          <w:sz w:val="22"/>
        </w:rPr>
        <w:t xml:space="preserve">    2.1 含时薛定谔方程</w:t>
      </w:r>
    </w:p>
    <w:p>
      <w:pPr>
        <w:spacing w:after="60"/>
      </w:pPr>
      <w:r>
        <w:rPr>
          <w:sz w:val="22"/>
        </w:rPr>
        <w:t xml:space="preserve">    2.2 物理信息神经网络（PINN）原理</w:t>
      </w:r>
    </w:p>
    <w:p>
      <w:pPr>
        <w:spacing w:after="60"/>
      </w:pPr>
      <w:r>
        <w:rPr>
          <w:sz w:val="22"/>
        </w:rPr>
        <w:t xml:space="preserve">    2.3 自动微分技术</w:t>
      </w:r>
    </w:p>
    <w:p>
      <w:pPr>
        <w:spacing w:after="60"/>
      </w:pPr>
      <w:r>
        <w:rPr>
          <w:sz w:val="22"/>
        </w:rPr>
        <w:t xml:space="preserve">    2.4 量子隧穿效应与势函数设计</w:t>
      </w:r>
    </w:p>
    <w:p>
      <w:pPr>
        <w:spacing w:after="60"/>
      </w:pPr>
      <w:r>
        <w:rPr>
          <w:sz w:val="22"/>
        </w:rPr>
        <w:t>3. 研究方法与实验设计</w:t>
      </w:r>
    </w:p>
    <w:p>
      <w:pPr>
        <w:spacing w:after="60"/>
      </w:pPr>
      <w:r>
        <w:rPr>
          <w:sz w:val="22"/>
        </w:rPr>
        <w:t xml:space="preserve">    3.1 PINN网络架构</w:t>
      </w:r>
    </w:p>
    <w:p>
      <w:pPr>
        <w:spacing w:after="60"/>
      </w:pPr>
      <w:r>
        <w:rPr>
          <w:sz w:val="22"/>
        </w:rPr>
        <w:t xml:space="preserve">    3.2 损失函数构造与训练策略</w:t>
      </w:r>
    </w:p>
    <w:p>
      <w:pPr>
        <w:spacing w:after="60"/>
      </w:pPr>
      <w:r>
        <w:rPr>
          <w:sz w:val="22"/>
        </w:rPr>
        <w:t xml:space="preserve">    3.3 传统数值方法（对比基准）</w:t>
      </w:r>
    </w:p>
    <w:p>
      <w:pPr>
        <w:spacing w:after="60"/>
      </w:pPr>
      <w:r>
        <w:rPr>
          <w:sz w:val="22"/>
        </w:rPr>
        <w:t xml:space="preserve">    3.4 实验参数与计算环境</w:t>
      </w:r>
    </w:p>
    <w:p>
      <w:pPr>
        <w:spacing w:after="60"/>
      </w:pPr>
      <w:r>
        <w:rPr>
          <w:sz w:val="22"/>
        </w:rPr>
        <w:t>4. 代码实现</w:t>
      </w:r>
    </w:p>
    <w:p>
      <w:pPr>
        <w:spacing w:after="60"/>
      </w:pPr>
      <w:r>
        <w:rPr>
          <w:sz w:val="22"/>
        </w:rPr>
        <w:t xml:space="preserve">    4.1 项目结构与模块说明</w:t>
      </w:r>
    </w:p>
    <w:p>
      <w:pPr>
        <w:spacing w:after="60"/>
      </w:pPr>
      <w:r>
        <w:rPr>
          <w:sz w:val="22"/>
        </w:rPr>
        <w:t xml:space="preserve">    4.2 核心代码解析</w:t>
      </w:r>
    </w:p>
    <w:p>
      <w:pPr>
        <w:spacing w:after="60"/>
      </w:pPr>
      <w:r>
        <w:rPr>
          <w:sz w:val="22"/>
        </w:rPr>
        <w:t>5. 实验结果与分析</w:t>
      </w:r>
    </w:p>
    <w:p>
      <w:pPr>
        <w:spacing w:after="60"/>
      </w:pPr>
      <w:r>
        <w:rPr>
          <w:sz w:val="22"/>
        </w:rPr>
        <w:t xml:space="preserve">    5.1 PINN训练收敛性分析</w:t>
      </w:r>
    </w:p>
    <w:p>
      <w:pPr>
        <w:spacing w:after="60"/>
      </w:pPr>
      <w:r>
        <w:rPr>
          <w:sz w:val="22"/>
        </w:rPr>
        <w:t xml:space="preserve">    5.2 波函数时空演化可视化</w:t>
      </w:r>
    </w:p>
    <w:p>
      <w:pPr>
        <w:spacing w:after="60"/>
      </w:pPr>
      <w:r>
        <w:rPr>
          <w:sz w:val="22"/>
        </w:rPr>
        <w:t xml:space="preserve">    5.3 势函数分析与量子隧穿</w:t>
      </w:r>
    </w:p>
    <w:p>
      <w:pPr>
        <w:spacing w:after="60"/>
      </w:pPr>
      <w:r>
        <w:rPr>
          <w:sz w:val="22"/>
        </w:rPr>
        <w:t xml:space="preserve">    5.4 误差分析与方法对比</w:t>
      </w:r>
    </w:p>
    <w:p>
      <w:pPr>
        <w:spacing w:after="60"/>
      </w:pPr>
      <w:r>
        <w:rPr>
          <w:sz w:val="22"/>
        </w:rPr>
        <w:t xml:space="preserve">    5.5 概率守恒性验证</w:t>
      </w:r>
    </w:p>
    <w:p>
      <w:pPr>
        <w:spacing w:after="60"/>
      </w:pPr>
      <w:r>
        <w:rPr>
          <w:sz w:val="22"/>
        </w:rPr>
        <w:t>6. 讨论</w:t>
      </w:r>
    </w:p>
    <w:p>
      <w:pPr>
        <w:spacing w:after="60"/>
      </w:pPr>
      <w:r>
        <w:rPr>
          <w:sz w:val="22"/>
        </w:rPr>
        <w:t>7. 结论与展望</w:t>
      </w:r>
    </w:p>
    <w:p>
      <w:pPr>
        <w:spacing w:after="60"/>
      </w:pPr>
      <w:r>
        <w:rPr>
          <w:sz w:val="22"/>
        </w:rPr>
        <w:t>8. AI协同声明</w:t>
      </w:r>
    </w:p>
    <w:p>
      <w:pPr>
        <w:spacing w:after="60"/>
      </w:pPr>
      <w:r>
        <w:rPr>
          <w:sz w:val="22"/>
        </w:rPr>
        <w:t>参考文献</w:t>
      </w:r>
    </w:p>
    <w:p>
      <w:r>
        <w:br w:type="page"/>
      </w:r>
    </w:p>
    <w:p>
      <w:pPr>
        <w:pStyle w:val="Heading1"/>
      </w:pPr>
      <w:r>
        <w:rPr>
          <w:color w:val="003366"/>
        </w:rPr>
        <w:t>1. 引言与项目背景</w:t>
      </w:r>
    </w:p>
    <w:p>
      <w:r>
        <w:t>随着人工智能技术的飞速发展，深度学习在科学计算领域展现出巨大的变革潜力。2019年，Raissi、Perdikaris和Karniadakis在《Journal of Computational Physics》上发表了里程碑式的论文，正式提出了物理信息神经网络（Physics-Informed Neural Networks, PINN）框架[1]。这一方法的核心创新在于：将描述物理系统的偏微分方程（PDE）作为软约束（soft constraint）直接编码进神经网络的损失函数中。通过最小化包含PDE残差的复合损失函数，神经网络能够在没有标注数据的情况下，直接从物理定律中学习和预测物理场的时空演化。</w:t>
      </w:r>
    </w:p>
    <w:p>
      <w:r>
        <w:t>在量子力学领域，含时薛定谔方程（Time-Dependent Schrödinger Equation, TDSE）是描述微观粒子量子态随时间演化的基本方程。精确求解TDSE对于理解分子动力学、量子隧穿、量子控制等关键物理过程至关重要。然而，传统的数值求解方法——如有限差分法（Finite Difference Method）、有限元法和谱方法——都依赖于对空间区域的结构化网格划分。当系统的维度增加或几何结构复杂化时，所需的网格点数呈指数增长（即"维度灾难"），使得计算成本急剧攀升。</w:t>
      </w:r>
    </w:p>
    <w:p>
      <w:r>
        <w:t>PINN的无网格（mesh-free）特性为量子力学数值计算提供了全新的范式。与传统的网格化方法相比，PINN具有以下显著优势：</w:t>
        <w:br/>
        <w:t>（1）无网格约束：不需要对空间进行离散化，神经网络通过连续的激活函数直接表示波函数，可以任意分辨率进行预测；</w:t>
        <w:br/>
        <w:t>（2）物理一致性：PDE约束以正则化项的形式嵌入训练过程，预测解天然满足物理定律；</w:t>
        <w:br/>
        <w:t>（3）统一框架：PINN可同时处理正问题（已知势函数求解波函数）和反问题（从观测数据推断势函数参数）；</w:t>
        <w:br/>
        <w:t>（4）可微分解：训练后的PINN模型是一个处处可微的代理模型（surrogate model），可以高效地计算任意阶导数和灵敏度分析。</w:t>
      </w:r>
    </w:p>
    <w:p>
      <w:r>
        <w:t>本课题的具体研究目标包括：</w:t>
        <w:br/>
        <w:t>（1）设计并实现一个基于PINN的含时薛定谔方程求解器；</w:t>
        <w:br/>
        <w:t>（2）利用PyTorch的自动微分引擎计算网络输出对时空变量的高阶导数；</w:t>
        <w:br/>
        <w:t>（3）求解含周期性微扰势场下的量子隧穿问题，分析隧穿概率随时间的演化；</w:t>
        <w:br/>
        <w:t>（4）将PINN预测结果与传统高精度数值方法（Crank-Nicolson和Split-Step Fourier）进行系统性的精度对比和误差分析；</w:t>
        <w:br/>
        <w:t>（5）构建一个可复现、文档完备的开源科学计算项目。</w:t>
      </w:r>
    </w:p>
    <w:p>
      <w:r>
        <w:br w:type="page"/>
      </w:r>
    </w:p>
    <w:p>
      <w:pPr>
        <w:pStyle w:val="Heading1"/>
      </w:pPr>
      <w:r>
        <w:rPr>
          <w:color w:val="003366"/>
        </w:rPr>
        <w:t>2. 理论基础</w:t>
      </w:r>
    </w:p>
    <w:p>
      <w:pPr>
        <w:pStyle w:val="Heading2"/>
      </w:pPr>
      <w:r>
        <w:rPr>
          <w:color w:val="004682"/>
        </w:rPr>
        <w:t>2.1 含时薛定谔方程</w:t>
      </w:r>
    </w:p>
    <w:p>
      <w:r>
        <w:t>一维含时薛定谔方程是量子力学中最基本的动力学方程，其标准形式为：</w:t>
      </w:r>
    </w:p>
    <w:p>
      <w:pPr>
        <w:jc w:val="center"/>
      </w:pPr>
      <w:r>
        <w:rPr>
          <w:i/>
          <w:sz w:val="24"/>
        </w:rPr>
        <w:t>iℏ · ∂ψ(x,t)/∂t = -(ℏ²/2m) · ∂²ψ(x,t)/∂x² + V(x,t)·ψ(x,t)</w:t>
      </w:r>
    </w:p>
    <w:p>
      <w:r>
        <w:t>其中 ψ(x,t) 为复值波函数，|ψ(x,t)|² 表示在时刻t、位置x处找到粒子的概率密度。ℏ 为约化普朗克常数，m 为粒子质量，V(x,t) 为势能函数。</w:t>
      </w:r>
    </w:p>
    <w:p>
      <w:r>
        <w:t>为简化数值计算，本研究采用无量纲单位制，令 ℏ = 1，m = 1/2。在此单位制下，薛定谔方程简化为：</w:t>
      </w:r>
    </w:p>
    <w:p>
      <w:pPr>
        <w:jc w:val="center"/>
      </w:pPr>
      <w:r>
        <w:rPr>
          <w:i/>
          <w:sz w:val="24"/>
        </w:rPr>
        <w:t>i · ∂ψ/∂t = -∂²ψ/∂x² + V(x,t)·ψ</w:t>
      </w:r>
    </w:p>
    <w:p>
      <w:r>
        <w:t>将复值波函数分解为实部和虚部 ψ(x,t) = ψ_R(x,t) + i·ψ_I(x,t)，代入上式并分离实部和虚部，得到耦合的实值偏微分方程组：</w:t>
      </w:r>
    </w:p>
    <w:p>
      <w:pPr>
        <w:jc w:val="center"/>
      </w:pPr>
      <w:r>
        <w:rPr>
          <w:i/>
          <w:sz w:val="22"/>
        </w:rPr>
        <w:t>∂ψ_R/∂t = -∂²ψ_I/∂x² + V(x,t)·ψ_I</w:t>
        <w:br/>
        <w:t>∂ψ_I/∂t =  ∂²ψ_R/∂x² - V(x,t)·ψ_R</w:t>
      </w:r>
    </w:p>
    <w:p>
      <w:r>
        <w:t>这个耦合一阶（时间）和二阶（空间）偏微分方程组是PINN中物理约束的核心。网络的输出层包含两个神经元，分别对应波函数的实部 ψ_R 和虚部 ψ_I。通过对网络输出求自动微分，我们可以获得方程中所需的各种偏导数项。</w:t>
      </w:r>
    </w:p>
    <w:p>
      <w:pPr>
        <w:pStyle w:val="Heading2"/>
      </w:pPr>
      <w:r>
        <w:rPr>
          <w:color w:val="004682"/>
        </w:rPr>
        <w:t>2.2 物理信息神经网络（PINN）原理</w:t>
      </w:r>
    </w:p>
    <w:p>
      <w:r>
        <w:t>PINN的核心思想是将物理定律作为先验知识融入神经网络的训练过程。与传统的有监督学习不同，PINN的训练数据来自物理方程本身，而非外部的标注数据集。</w:t>
      </w:r>
    </w:p>
    <w:p>
      <w:r>
        <w:t>对于一个参数化为 θ 的神经网络 u_θ(x, t)，其输出为波函数的实部和虚部（ψ_R, ψ_I）= u_θ(x, t)。PINN的损失函数 L(θ) 由三部分组成：</w:t>
      </w:r>
    </w:p>
    <w:p>
      <w:r>
        <w:t>（一）PDE残差损失 L_PDE(θ)：</w:t>
        <w:br/>
        <w:t>在时空域 Ω = [x_min, x_max] × [t_min, t_max] 内部，随机采样 N_f 个"配点"（collocation points）{(x_i, t_i)}_{i=1}^{N_f}。在每个配点上，网络输出应满足薛定谔方程：</w:t>
        <w:br/>
        <w:t xml:space="preserve">  f_R(x_i, t_i) = ∂ψ_R/∂t + ∂²ψ_I/∂x² - V(x_i,t_i)·ψ_I</w:t>
        <w:br/>
        <w:t xml:space="preserve">  f_I(x_i, t_i) = ∂ψ_I/∂t - ∂²ψ_R/∂x² + V(x_i,t_i)·ψ_R</w:t>
        <w:br/>
        <w:t xml:space="preserve">  L_PDE = (1/N_f) · Σ_i [f_R(x_i,t_i)² + f_I(x_i,t_i)²]</w:t>
        <w:br/>
        <w:br/>
        <w:t>（二）初始条件损失 L_IC(θ)：</w:t>
        <w:br/>
        <w:t>在 t = 0 时刻，随机采样 N_0 个空间点 {x_i^0}，约束网络输出与给定的初始波函数 ψ_0 一致：</w:t>
        <w:br/>
        <w:t xml:space="preserve">  L_IC = (1/N_0) · Σ_i [(ψ_R(x_i^0,0) - ψ_R⁰(x_i^0))² + (ψ_I(x_i^0,0) - ψ_I⁰(x_i^0))²]</w:t>
        <w:br/>
        <w:br/>
        <w:t>（三）边界条件损失 L_BC(θ)：</w:t>
        <w:br/>
        <w:t>在空间域的两个边界 x = x_min 和 x = x_max 上，约束波函数衰减至零（Dirichlet边界条件）：</w:t>
        <w:br/>
        <w:t xml:space="preserve">  L_BC = (1/N_b) · Σ_i [|ψ(x_min, t_i)|² + |ψ(x_max, t_i)|²]</w:t>
        <w:br/>
        <w:br/>
        <w:t>总损失函数为以上三项的加权和：</w:t>
        <w:br/>
        <w:t xml:space="preserve">  L(θ) = L_PDE + λ_IC · L_IC + λ_BC · L_BC</w:t>
      </w:r>
    </w:p>
    <w:p>
      <w:r>
        <w:t>本研究中，初始条件权重的选取基于以下物理考量：确保网络在初始时刻精确匹配给定的高斯波包，因此设置 λ_IC = 10.0；边界条件则使用 λ_BC = 1.0，因为波函数在远离势垒的区域自然趋于零，不需要过强的约束。</w:t>
      </w:r>
    </w:p>
    <w:p>
      <w:pPr>
        <w:pStyle w:val="Heading2"/>
      </w:pPr>
      <w:r>
        <w:rPr>
          <w:color w:val="004682"/>
        </w:rPr>
        <w:t>2.3 自动微分技术</w:t>
      </w:r>
    </w:p>
    <w:p>
      <w:r>
        <w:t>自动微分（Automatic Differentiation, AD）是PINN方法的计算引擎。与传统的数值微分（使用有限差分近似，存在截断误差和舍入误差权衡）不同，自动微分通过链式法则在计算图上递归地传播梯度，能够以机器精度计算任意阶的精确导数。</w:t>
      </w:r>
    </w:p>
    <w:p>
      <w:r>
        <w:t>在本项目中，PyTorch框架的autograd模块提供了完整的自动微分支持。具体来说，当我们在网络的前向传播中设置 x 和 t 的 requires_grad=True 标记时，PyTorch会构建一个动态计算图（dynamic computation graph），记录所有张量操作。随后，通过对网络输出调用 torch.autograd.grad() 函数，可以递归地计算ψ_R 和 ψ_I 对 x 和 t 的任意阶偏导数。</w:t>
        <w:br/>
        <w:br/>
        <w:t>本研究需要计算的导数包括：</w:t>
        <w:br/>
        <w:t xml:space="preserve">  · 一阶时间导数：∂ψ_R/∂t，∂ψ_I/∂t</w:t>
        <w:br/>
        <w:t xml:space="preserve">  · 一阶空间导数：∂ψ_R/∂x，∂ψ_I/∂x</w:t>
        <w:br/>
        <w:t xml:space="preserve">  · 二阶空间导数：∂²ψ_R/∂x²，∂²ψ_I/∂x²</w:t>
        <w:br/>
        <w:br/>
        <w:t>其中二阶导数通过连续两次调用 autograd.grad() 获得：第一次求一阶导数后保留计算图（create_graph=True），第二次对一阶导数的结果再求导。</w:t>
      </w:r>
    </w:p>
    <w:p>
      <w:pPr>
        <w:pStyle w:val="Heading2"/>
      </w:pPr>
      <w:r>
        <w:rPr>
          <w:color w:val="004682"/>
        </w:rPr>
        <w:t>2.4 量子隧穿效应与势函数设计</w:t>
      </w:r>
    </w:p>
    <w:p>
      <w:r>
        <w:t>量子隧穿效应（Quantum Tunneling）是量子力学中最具代表性的非经典现象之一，也是半导体器件（如隧道二极管）、扫描隧道显微镜（STM）和核聚变等技术的物理基础。在经典力学中，一个动能低于势垒高度的粒子永远无法穿越势垒到达另一侧——它会被"弹回"。然而，在量子力学的描述中，粒子的波函数在势垒区域并不严格为零，而是以指数形式衰减。如果势垒足够窄且高度适中，波函数在势垒另一侧仍有非零振幅，使得粒子存在有限的隧穿概率。</w:t>
      </w:r>
    </w:p>
    <w:p>
      <w:r>
        <w:t>为了充分展示PINN处理复杂量子动力学的能力，本研究设计了一个含时周期性微扰的平滑势垒：</w:t>
      </w:r>
    </w:p>
    <w:p>
      <w:pPr>
        <w:jc w:val="center"/>
      </w:pPr>
      <w:r>
        <w:rPr>
          <w:i/>
          <w:sz w:val="24"/>
        </w:rPr>
        <w:t>V(x, t) = V₀ · sech²(x) · [1 + ε · sin(ωt)]</w:t>
      </w:r>
    </w:p>
    <w:p>
      <w:r>
        <w:t>其中 V₀ = 5.0 为势垒高度（以无量纲单位计），ε = 0.3 为微扰幅度，ω = 3.0 为微扰角频率。</w:t>
        <w:br/>
        <w:br/>
        <w:t>选择 sech²(x) = 1/cosh²(x) 作为势垒的空间包络函数有如下考量：</w:t>
        <w:br/>
        <w:t>（1）该函数在 x = 0 处取得最大值，向两侧平滑衰减至零，形成自然的势垒结构；</w:t>
        <w:br/>
        <w:t>（2）sech²(x) 势在量子力学中有解析可解的参考案例（如Poschl-Teller势），便于定性验证；</w:t>
        <w:br/>
        <w:t>（3）该函数的平滑性（无限可微）与神经网络的Tanh激活函数具有良好的兼容性。</w:t>
        <w:br/>
        <w:br/>
        <w:t>时间调制项 [1 + ε·sin(ωt)] 引入了一个周期性的外部驱动，模拟了实际物理场景中的激光场或交流电场对量子隧穿过程的动态调控。</w:t>
      </w:r>
    </w:p>
    <w:p>
      <w:r>
        <w:t>初始条件选取为向右运动的高斯波包：</w:t>
        <w:br/>
        <w:t xml:space="preserve">  ψ(x, 0) = (1/(2πσ²)^(1/4)) · exp(-(x - x₀)²/(4σ²)) · exp(ik₀x)</w:t>
        <w:br/>
        <w:t>参数为：波包宽度 σ = 1.0，初始位置 x₀ = -5.0，初始动量 k₀ = 2.0。</w:t>
      </w:r>
    </w:p>
    <w:p>
      <w:r>
        <w:br w:type="page"/>
      </w:r>
    </w:p>
    <w:p>
      <w:pPr>
        <w:pStyle w:val="Heading1"/>
      </w:pPr>
      <w:r>
        <w:rPr>
          <w:color w:val="003366"/>
        </w:rPr>
        <w:t>3. 研究方法与实验设计</w:t>
      </w:r>
    </w:p>
    <w:p>
      <w:pPr>
        <w:pStyle w:val="Heading2"/>
      </w:pPr>
      <w:r>
        <w:rPr>
          <w:color w:val="004682"/>
        </w:rPr>
        <w:t>3.1 PINN网络架构</w:t>
      </w:r>
    </w:p>
    <w:p>
      <w:r>
        <w:t>本研究构建了一个全连接前馈神经网络（Feedforward Neural Network, FNN），具体架构参数如下表所示：</w:t>
      </w:r>
    </w:p>
    <w:tbl>
      <w:tblPr>
        <w:tblStyle w:val="LightGrid-Accent1"/>
        <w:tblW w:type="auto" w:w="0"/>
        <w:tblLook w:firstColumn="1" w:firstRow="1" w:lastColumn="0" w:lastRow="0" w:noHBand="0" w:noVBand="1" w:val="04A0"/>
      </w:tblPr>
      <w:tblGrid>
        <w:gridCol w:w="4703"/>
        <w:gridCol w:w="4703"/>
      </w:tblGrid>
      <w:tr>
        <w:tc>
          <w:tcPr>
            <w:tcW w:type="dxa" w:w="4703"/>
            <w:shd w:fill="003366" w:val="clear"/>
          </w:tcPr>
          <w:p>
            <w:r>
              <w:rPr>
                <w:b/>
                <w:color w:val="FFFFFF"/>
              </w:rPr>
              <w:t>网络参数</w:t>
            </w:r>
          </w:p>
        </w:tc>
        <w:tc>
          <w:tcPr>
            <w:tcW w:type="dxa" w:w="4703"/>
            <w:shd w:fill="003366" w:val="clear"/>
          </w:tcPr>
          <w:p>
            <w:r>
              <w:rPr>
                <w:b/>
                <w:color w:val="FFFFFF"/>
              </w:rPr>
              <w:t>取值</w:t>
            </w:r>
          </w:p>
        </w:tc>
      </w:tr>
      <w:tr>
        <w:tc>
          <w:tcPr>
            <w:tcW w:type="dxa" w:w="4703"/>
          </w:tcPr>
          <w:p>
            <w:r>
              <w:t>输入层</w:t>
            </w:r>
          </w:p>
        </w:tc>
        <w:tc>
          <w:tcPr>
            <w:tcW w:type="dxa" w:w="4703"/>
          </w:tcPr>
          <w:p>
            <w:r>
              <w:t>2个神经元（x, t）</w:t>
            </w:r>
          </w:p>
        </w:tc>
      </w:tr>
      <w:tr>
        <w:tc>
          <w:tcPr>
            <w:tcW w:type="dxa" w:w="4703"/>
          </w:tcPr>
          <w:p>
            <w:r>
              <w:t>隐藏层1</w:t>
            </w:r>
          </w:p>
        </w:tc>
        <w:tc>
          <w:tcPr>
            <w:tcW w:type="dxa" w:w="4703"/>
          </w:tcPr>
          <w:p>
            <w:r>
              <w:t>64个神经元 + Tanh激活</w:t>
            </w:r>
          </w:p>
        </w:tc>
      </w:tr>
      <w:tr>
        <w:tc>
          <w:tcPr>
            <w:tcW w:type="dxa" w:w="4703"/>
          </w:tcPr>
          <w:p>
            <w:r>
              <w:t>隐藏层2</w:t>
            </w:r>
          </w:p>
        </w:tc>
        <w:tc>
          <w:tcPr>
            <w:tcW w:type="dxa" w:w="4703"/>
          </w:tcPr>
          <w:p>
            <w:r>
              <w:t>64个神经元 + Tanh激活</w:t>
            </w:r>
          </w:p>
        </w:tc>
      </w:tr>
      <w:tr>
        <w:tc>
          <w:tcPr>
            <w:tcW w:type="dxa" w:w="4703"/>
          </w:tcPr>
          <w:p>
            <w:r>
              <w:t>隐藏层3</w:t>
            </w:r>
          </w:p>
        </w:tc>
        <w:tc>
          <w:tcPr>
            <w:tcW w:type="dxa" w:w="4703"/>
          </w:tcPr>
          <w:p>
            <w:r>
              <w:t>64个神经元 + Tanh激活</w:t>
            </w:r>
          </w:p>
        </w:tc>
      </w:tr>
      <w:tr>
        <w:tc>
          <w:tcPr>
            <w:tcW w:type="dxa" w:w="4703"/>
          </w:tcPr>
          <w:p>
            <w:r>
              <w:t>隐藏层4</w:t>
            </w:r>
          </w:p>
        </w:tc>
        <w:tc>
          <w:tcPr>
            <w:tcW w:type="dxa" w:w="4703"/>
          </w:tcPr>
          <w:p>
            <w:r>
              <w:t>64个神经元 + Tanh激活</w:t>
            </w:r>
          </w:p>
        </w:tc>
      </w:tr>
      <w:tr>
        <w:tc>
          <w:tcPr>
            <w:tcW w:type="dxa" w:w="4703"/>
          </w:tcPr>
          <w:p>
            <w:r>
              <w:t>输出层</w:t>
            </w:r>
          </w:p>
        </w:tc>
        <w:tc>
          <w:tcPr>
            <w:tcW w:type="dxa" w:w="4703"/>
          </w:tcPr>
          <w:p>
            <w:r>
              <w:t>2个神经元（ψ_R, ψ_I）</w:t>
            </w:r>
          </w:p>
        </w:tc>
      </w:tr>
      <w:tr>
        <w:tc>
          <w:tcPr>
            <w:tcW w:type="dxa" w:w="4703"/>
          </w:tcPr>
          <w:p>
            <w:r>
              <w:t>总参数量</w:t>
            </w:r>
          </w:p>
        </w:tc>
        <w:tc>
          <w:tcPr>
            <w:tcW w:type="dxa" w:w="4703"/>
          </w:tcPr>
          <w:p>
            <w:r>
              <w:t>约16966个</w:t>
            </w:r>
          </w:p>
        </w:tc>
      </w:tr>
    </w:tbl>
    <w:p/>
    <w:p>
      <w:r>
        <w:t>选择Tanh（双曲正切）作为激活函数的理由如下：</w:t>
        <w:br/>
        <w:t>（1）Tanh是无限可微的平滑函数（C^∞），其各阶导数连续且有界，这满足了自动微分对高阶导数计算稳定性的要求——相比之下，ReLU的二阶导数恒为零，不适合需要计算二阶空间导数的PINN任务；</w:t>
        <w:br/>
        <w:t>（2）Tanh的值域为 [-1, 1]，与归一化的波函数值域相匹配，有助于训练的数值稳定性；</w:t>
        <w:br/>
        <w:t>（3）Tanh在原点的线性近似（Tanh(z) ≈ z for |z| ≪ 1）有助于梯度在深层网络中的传播，缓解梯度消失问题。</w:t>
        <w:br/>
        <w:br/>
        <w:t>权重初始化采用Xavier（Glorot）正态分布初始化，该初始化策略根据每层的输入和输出维度自适应地缩放初始权重，有助于保持信号在前向和反向传播中的方差稳定。</w:t>
      </w:r>
    </w:p>
    <w:p>
      <w:pPr>
        <w:pStyle w:val="Heading2"/>
      </w:pPr>
      <w:r>
        <w:rPr>
          <w:color w:val="004682"/>
        </w:rPr>
        <w:t>3.2 损失函数构造与训练策略</w:t>
      </w:r>
    </w:p>
    <w:p>
      <w:r>
        <w:t>训练配置如下：</w:t>
        <w:br/>
        <w:t>· 优化器：Adam（Adaptive Moment Estimation）</w:t>
        <w:br/>
        <w:t>· 初始学习率：1×10⁻³</w:t>
        <w:br/>
        <w:t>· 学习率调度：ReduceLROnPlateau（patience=200，factor=0.5，min_lr=1×10⁻⁶）</w:t>
        <w:br/>
        <w:t>· 训练周期：5000个epoch</w:t>
        <w:br/>
        <w:t>· 配点采样策略：每50个epoch重新随机采样一次（增强泛化能力）</w:t>
        <w:br/>
        <w:t>· 配点数量：N_collocation = 600（PDE残差），N_IC = 400（初始条件），N_BC = 200（边界条件）</w:t>
      </w:r>
    </w:p>
    <w:p>
      <w:r>
        <w:t>配点重新采样（resampling）是PINN训练的一个重要技巧。如果使用固定的配点集，网络可能只在那些点上"记住"了解，而在其他位置偏离方程约束。通过周期性重采样，我们迫使网络在整个时空域内一致地满足PDE约束，有效提高了泛化性能。</w:t>
      </w:r>
    </w:p>
    <w:p>
      <w:pPr>
        <w:pStyle w:val="Heading2"/>
      </w:pPr>
      <w:r>
        <w:rPr>
          <w:color w:val="004682"/>
        </w:rPr>
        <w:t>3.3 传统数值方法（对比基准）</w:t>
      </w:r>
    </w:p>
    <w:p>
      <w:r>
        <w:t>为系统性地评估PINN的数值精度，本研究实现了两种成熟的传统数值方法：</w:t>
      </w:r>
    </w:p>
    <w:p>
      <w:r>
        <w:t>方法一：Crank-Nicolson有限差分法</w:t>
        <w:br/>
        <w:t>· 空间离散：N_x = 512个均匀格点，dx = 20/511 ≈ 0.0391</w:t>
        <w:br/>
        <w:t>· 时间离散：N_t = 2000个时间步，dt = 5/2000 = 0.0025</w:t>
        <w:br/>
        <w:t>· 空间导数：三点中心差分格式（二阶精度）</w:t>
        <w:br/>
        <w:t>· 时间推进：Crank-Nicolson半隐式格式（二阶精度，无条件稳定）</w:t>
        <w:br/>
        <w:t>· 线性系统求解：稀疏矩阵直接求解器（scipy.sparse.linalg.spsolve）</w:t>
      </w:r>
    </w:p>
    <w:p>
      <w:r>
        <w:t>方法二：分裂步傅里叶方法（Split-Step Fourier, SSF）</w:t>
        <w:br/>
        <w:t>· 网格分辨率：同Crank-Nicolson（512 × 2001）</w:t>
        <w:br/>
        <w:t>· 算法流程：每一步在位置空间和动量空间之间交替演化</w:t>
        <w:br/>
        <w:t xml:space="preserve">  - 半步位置空间演化（势能算符）：ψ ← exp(-i·dt/2·V)·ψ</w:t>
        <w:br/>
        <w:t xml:space="preserve">  - 全步动量空间演化（动能算符）：ψ̂ ← exp(-i·dt·k²)·FFT(ψ)</w:t>
        <w:br/>
        <w:t xml:space="preserve">  - 半步位置空间演化（势能算符）：ψ ← exp(-i·dt/2·V)·IFFT(ψ̂)</w:t>
        <w:br/>
        <w:t>· 精度特征：SSF方法对波包传播问题具有极高的精度，动能算符在动量空间中被精确对角化，避免了有限差分法的截断误差。本研究将SSF的解作为"黄金标准"参考解。</w:t>
      </w:r>
    </w:p>
    <w:p>
      <w:pPr>
        <w:pStyle w:val="Heading2"/>
      </w:pPr>
      <w:r>
        <w:rPr>
          <w:color w:val="004682"/>
        </w:rPr>
        <w:t>3.4 实验参数与计算环境</w:t>
      </w:r>
    </w:p>
    <w:tbl>
      <w:tblPr>
        <w:tblStyle w:val="LightGrid-Accent1"/>
        <w:tblW w:type="auto" w:w="0"/>
        <w:tblLook w:firstColumn="1" w:firstRow="1" w:lastColumn="0" w:lastRow="0" w:noHBand="0" w:noVBand="1" w:val="04A0"/>
      </w:tblPr>
      <w:tblGrid>
        <w:gridCol w:w="4703"/>
        <w:gridCol w:w="4703"/>
      </w:tblGrid>
      <w:tr>
        <w:tc>
          <w:tcPr>
            <w:tcW w:type="dxa" w:w="4703"/>
            <w:shd w:fill="003366" w:val="clear"/>
          </w:tcPr>
          <w:p>
            <w:r>
              <w:rPr>
                <w:b/>
                <w:color w:val="FFFFFF"/>
              </w:rPr>
              <w:t>参数类别</w:t>
            </w:r>
          </w:p>
        </w:tc>
        <w:tc>
          <w:tcPr>
            <w:tcW w:type="dxa" w:w="4703"/>
            <w:shd w:fill="003366" w:val="clear"/>
          </w:tcPr>
          <w:p>
            <w:r>
              <w:rPr>
                <w:b/>
                <w:color w:val="FFFFFF"/>
              </w:rPr>
              <w:t>具体设置</w:t>
            </w:r>
          </w:p>
        </w:tc>
      </w:tr>
      <w:tr>
        <w:tc>
          <w:tcPr>
            <w:tcW w:type="dxa" w:w="4703"/>
          </w:tcPr>
          <w:p>
            <w:r>
              <w:t>空间域</w:t>
            </w:r>
          </w:p>
        </w:tc>
        <w:tc>
          <w:tcPr>
            <w:tcW w:type="dxa" w:w="4703"/>
          </w:tcPr>
          <w:p>
            <w:r>
              <w:t>x ∈ [-10, 10]</w:t>
            </w:r>
          </w:p>
        </w:tc>
      </w:tr>
      <w:tr>
        <w:tc>
          <w:tcPr>
            <w:tcW w:type="dxa" w:w="4703"/>
          </w:tcPr>
          <w:p>
            <w:r>
              <w:t>时间域</w:t>
            </w:r>
          </w:p>
        </w:tc>
        <w:tc>
          <w:tcPr>
            <w:tcW w:type="dxa" w:w="4703"/>
          </w:tcPr>
          <w:p>
            <w:r>
              <w:t>t ∈ [0, 5]</w:t>
            </w:r>
          </w:p>
        </w:tc>
      </w:tr>
      <w:tr>
        <w:tc>
          <w:tcPr>
            <w:tcW w:type="dxa" w:w="4703"/>
          </w:tcPr>
          <w:p>
            <w:r>
              <w:t>势垒高度 V₀</w:t>
            </w:r>
          </w:p>
        </w:tc>
        <w:tc>
          <w:tcPr>
            <w:tcW w:type="dxa" w:w="4703"/>
          </w:tcPr>
          <w:p>
            <w:r>
              <w:t>5.0（无量纲）</w:t>
            </w:r>
          </w:p>
        </w:tc>
      </w:tr>
      <w:tr>
        <w:tc>
          <w:tcPr>
            <w:tcW w:type="dxa" w:w="4703"/>
          </w:tcPr>
          <w:p>
            <w:r>
              <w:t>微扰幅度 ε</w:t>
            </w:r>
          </w:p>
        </w:tc>
        <w:tc>
          <w:tcPr>
            <w:tcW w:type="dxa" w:w="4703"/>
          </w:tcPr>
          <w:p>
            <w:r>
              <w:t>0.3</w:t>
            </w:r>
          </w:p>
        </w:tc>
      </w:tr>
      <w:tr>
        <w:tc>
          <w:tcPr>
            <w:tcW w:type="dxa" w:w="4703"/>
          </w:tcPr>
          <w:p>
            <w:r>
              <w:t>微扰频率 ω</w:t>
            </w:r>
          </w:p>
        </w:tc>
        <w:tc>
          <w:tcPr>
            <w:tcW w:type="dxa" w:w="4703"/>
          </w:tcPr>
          <w:p>
            <w:r>
              <w:t>3.0</w:t>
            </w:r>
          </w:p>
        </w:tc>
      </w:tr>
      <w:tr>
        <w:tc>
          <w:tcPr>
            <w:tcW w:type="dxa" w:w="4703"/>
          </w:tcPr>
          <w:p>
            <w:r>
              <w:t>波包初始位置 x₀</w:t>
            </w:r>
          </w:p>
        </w:tc>
        <w:tc>
          <w:tcPr>
            <w:tcW w:type="dxa" w:w="4703"/>
          </w:tcPr>
          <w:p>
            <w:r>
              <w:t>-5.0</w:t>
            </w:r>
          </w:p>
        </w:tc>
      </w:tr>
      <w:tr>
        <w:tc>
          <w:tcPr>
            <w:tcW w:type="dxa" w:w="4703"/>
          </w:tcPr>
          <w:p>
            <w:r>
              <w:t>波包宽度 σ</w:t>
            </w:r>
          </w:p>
        </w:tc>
        <w:tc>
          <w:tcPr>
            <w:tcW w:type="dxa" w:w="4703"/>
          </w:tcPr>
          <w:p>
            <w:r>
              <w:t>1.0</w:t>
            </w:r>
          </w:p>
        </w:tc>
      </w:tr>
      <w:tr>
        <w:tc>
          <w:tcPr>
            <w:tcW w:type="dxa" w:w="4703"/>
          </w:tcPr>
          <w:p>
            <w:r>
              <w:t>初始动量 k₀</w:t>
            </w:r>
          </w:p>
        </w:tc>
        <w:tc>
          <w:tcPr>
            <w:tcW w:type="dxa" w:w="4703"/>
          </w:tcPr>
          <w:p>
            <w:r>
              <w:t>2.0</w:t>
            </w:r>
          </w:p>
        </w:tc>
      </w:tr>
      <w:tr>
        <w:tc>
          <w:tcPr>
            <w:tcW w:type="dxa" w:w="4703"/>
          </w:tcPr>
          <w:p>
            <w:r>
              <w:t>PINN网络结构</w:t>
            </w:r>
          </w:p>
        </w:tc>
        <w:tc>
          <w:tcPr>
            <w:tcW w:type="dxa" w:w="4703"/>
          </w:tcPr>
          <w:p>
            <w:r>
              <w:t>[2, 64, 64, 64, 64, 2]</w:t>
            </w:r>
          </w:p>
        </w:tc>
      </w:tr>
      <w:tr>
        <w:tc>
          <w:tcPr>
            <w:tcW w:type="dxa" w:w="4703"/>
          </w:tcPr>
          <w:p>
            <w:r>
              <w:t>训练框架</w:t>
            </w:r>
          </w:p>
        </w:tc>
        <w:tc>
          <w:tcPr>
            <w:tcW w:type="dxa" w:w="4703"/>
          </w:tcPr>
          <w:p>
            <w:r>
              <w:t>PyTorch 2.12.1 (CPU)</w:t>
            </w:r>
          </w:p>
        </w:tc>
      </w:tr>
      <w:tr>
        <w:tc>
          <w:tcPr>
            <w:tcW w:type="dxa" w:w="4703"/>
          </w:tcPr>
          <w:p>
            <w:r>
              <w:t>科学计算库</w:t>
            </w:r>
          </w:p>
        </w:tc>
        <w:tc>
          <w:tcPr>
            <w:tcW w:type="dxa" w:w="4703"/>
          </w:tcPr>
          <w:p>
            <w:r>
              <w:t>NumPy 2.3.5, SciPy 1.17.1</w:t>
            </w:r>
          </w:p>
        </w:tc>
      </w:tr>
    </w:tbl>
    <w:p>
      <w:r>
        <w:br w:type="page"/>
      </w:r>
    </w:p>
    <w:p>
      <w:pPr>
        <w:pStyle w:val="Heading1"/>
      </w:pPr>
      <w:r>
        <w:rPr>
          <w:color w:val="003366"/>
        </w:rPr>
        <w:t>4. 代码实现</w:t>
      </w:r>
    </w:p>
    <w:p>
      <w:pPr>
        <w:pStyle w:val="Heading2"/>
      </w:pPr>
      <w:r>
        <w:rPr>
          <w:color w:val="004682"/>
        </w:rPr>
        <w:t>4.1 项目结构与模块说明</w:t>
      </w:r>
    </w:p>
    <w:p>
      <w:r>
        <w:t>本项目采用模块化设计，代码结构清晰，各模块职责分明：</w:t>
        <w:br/>
        <w:br/>
        <w:t>pinn_run.py —— PINN核心求解器</w:t>
        <w:br/>
        <w:t xml:space="preserve">  包含：PINN类（神经网络定义）、势函数定义、初始条件函数、训练循环、预测与可视化。这是项目的核心入口文件。</w:t>
        <w:br/>
        <w:br/>
        <w:t>traditional_solver.py —— 传统数值求解器</w:t>
        <w:br/>
        <w:t xml:space="preserve">  包含：CrankNicolsonSolver类（Crank-Nicolson有限差分法实现）、SplitStepFourierSolver类（分裂步傅里叶方法实现）。两种方法共享相同的势函数和初始条件接口。</w:t>
        <w:br/>
        <w:br/>
        <w:t>visualization.py —— 可视化与对比分析模块</w:t>
        <w:br/>
        <w:t xml:space="preserve">  包含：波函数快照对比、热力图绘制、误差分析、隧穿概率分析、动画生成。</w:t>
        <w:br/>
        <w:br/>
        <w:t>final_report.py —— 实验报告自动生成脚本（本文件）</w:t>
        <w:br/>
        <w:t xml:space="preserve">  自动读取所有实验结果数据，生成包含图表和数据分析的完整实验报告文档。</w:t>
      </w:r>
    </w:p>
    <w:p>
      <w:pPr>
        <w:pStyle w:val="Heading2"/>
      </w:pPr>
      <w:r>
        <w:rPr>
          <w:color w:val="004682"/>
        </w:rPr>
        <w:t>4.2 核心代码解析</w:t>
      </w:r>
    </w:p>
    <w:p>
      <w:pPr>
        <w:pStyle w:val="ListBullet"/>
      </w:pPr>
      <w:r>
        <w:t>（1）网络定义（PINN类）：</w:t>
      </w:r>
    </w:p>
    <w:p>
      <w:pPr>
        <w:ind w:left="567"/>
        <w:shd w:fill="F0F0F0" w:val="clear"/>
      </w:pPr>
      <w:r>
        <w:rPr>
          <w:rFonts w:ascii="Consolas" w:hAnsi="Consolas"/>
          <w:color w:val="282828"/>
          <w:sz w:val="16"/>
        </w:rPr>
        <w:t>class PINN(nn.Module):</w:t>
        <w:br/>
        <w:t xml:space="preserve">    def __init__(self, layers):</w:t>
        <w:br/>
        <w:t xml:space="preserve">        layer_dict = OrderedDict()</w:t>
        <w:br/>
        <w:t xml:space="preserve">        for i in range(len(layers)-1):</w:t>
        <w:br/>
        <w:t xml:space="preserve">            layer_dict[f"linear_{i}"] = nn.Linear(layers[i], layers[i+1])</w:t>
        <w:br/>
        <w:t xml:space="preserve">            if i &lt; len(layers)-2:</w:t>
        <w:br/>
        <w:t xml:space="preserve">                layer_dict[f"act_{i}"] = nn.Tanh()</w:t>
        <w:br/>
        <w:t xml:space="preserve">        self.network = nn.Sequential(layer_dict)</w:t>
        <w:br/>
        <w:t xml:space="preserve">        # Xavier uniform initialization</w:t>
        <w:br/>
        <w:t xml:space="preserve">        for m in self.network.modules():</w:t>
        <w:br/>
        <w:t xml:space="preserve">            if isinstance(m, nn.Linear):</w:t>
        <w:br/>
        <w:t xml:space="preserve">                nn.init.xavier_normal_(m.weight)</w:t>
        <w:br/>
        <w:t xml:space="preserve">                nn.init.zeros_(m.bias)</w:t>
        <w:br/>
        <w:br/>
        <w:t xml:space="preserve">    def forward(self, x, t):</w:t>
        <w:br/>
        <w:t xml:space="preserve">        return self.network(torch.cat([x, t], dim=1))</w:t>
      </w:r>
    </w:p>
    <w:p/>
    <w:p>
      <w:pPr>
        <w:pStyle w:val="ListBullet"/>
      </w:pPr>
      <w:r>
        <w:t>（2）PDE残差计算（自动微分）：</w:t>
      </w:r>
    </w:p>
    <w:p>
      <w:pPr>
        <w:ind w:left="567"/>
        <w:shd w:fill="F0F0F0" w:val="clear"/>
      </w:pPr>
      <w:r>
        <w:rPr>
          <w:rFonts w:ascii="Consolas" w:hAnsi="Consolas"/>
          <w:color w:val="282828"/>
          <w:sz w:val="16"/>
        </w:rPr>
        <w:t># Enable gradient tracking on inputs</w:t>
        <w:br/>
        <w:t>x_col_g = x_col.clone().requires_grad_(True)</w:t>
        <w:br/>
        <w:t>t_col_g = t_col.clone().requires_grad_(True)</w:t>
        <w:br/>
        <w:br/>
        <w:t># Forward pass: (x,t) -&gt; (psi_R, psi_I)</w:t>
        <w:br/>
        <w:t>out = model(x_col_g, t_col_g)</w:t>
        <w:br/>
        <w:t>psi_r, psi_i = out[:, 0:1], out[:, 1:2]</w:t>
        <w:br/>
        <w:br/>
        <w:t># First-order time derivatives</w:t>
        <w:br/>
        <w:t>psi_r_t = grad(psi_r, t_col_g, ones)[0]  # d(psi_R)/dt</w:t>
        <w:br/>
        <w:t>psi_i_t = grad(psi_i, t_col_g, ones)[0]  # d(psi_I)/dt</w:t>
        <w:br/>
        <w:br/>
        <w:t># First-order space derivatives</w:t>
        <w:br/>
        <w:t>psi_r_x = grad(psi_r, x_col_g, ones)[0]  # d(psi_R)/dx</w:t>
        <w:br/>
        <w:t>psi_i_x = grad(psi_i, x_col_g, ones)[0]  # d(psi_I)/dx</w:t>
        <w:br/>
        <w:br/>
        <w:t># Second-order space derivatives</w:t>
        <w:br/>
        <w:t>psi_r_xx = grad(psi_r_x, x_col_g, ones)[0]  # d^2(psi_R)/dx^2</w:t>
        <w:br/>
        <w:t>psi_i_xx = grad(psi_i_x, x_col_g, ones)[0]  # d^2(psi_I)/dx^2</w:t>
        <w:br/>
        <w:br/>
        <w:t># PDE residuals: i*d(psi)/dt = -d^2(psi)/dx^2 + V*psi</w:t>
        <w:br/>
        <w:t>f_r = psi_r_t + psi_i_xx - V * psi_i  # Real part</w:t>
        <w:br/>
        <w:t>f_i = psi_i_t - psi_r_xx + V * psi_r  # Imaginary part</w:t>
        <w:br/>
        <w:t>loss_pde = mean(f_r^2) + mean(f_i^2)</w:t>
      </w:r>
    </w:p>
    <w:p/>
    <w:p>
      <w:pPr>
        <w:pStyle w:val="ListBullet"/>
      </w:pPr>
      <w:r>
        <w:t>（3）训练循环结构：</w:t>
      </w:r>
    </w:p>
    <w:p>
      <w:pPr>
        <w:ind w:left="567"/>
        <w:shd w:fill="F0F0F0" w:val="clear"/>
      </w:pPr>
      <w:r>
        <w:rPr>
          <w:rFonts w:ascii="Consolas" w:hAnsi="Consolas"/>
          <w:color w:val="282828"/>
          <w:sz w:val="16"/>
        </w:rPr>
        <w:t>for epoch in range(EPOCHS):</w:t>
        <w:br/>
        <w:t xml:space="preserve">    # Periodic resampling for better generalization</w:t>
        <w:br/>
        <w:t xml:space="preserve">    if epoch % RESAMPLE_EVERY == 0:</w:t>
        <w:br/>
        <w:t xml:space="preserve">        x_col, t_col = sample_collocation_points()</w:t>
        <w:br/>
        <w:t xml:space="preserve">        x_ic, t_ic = sample_initial_condition_points()</w:t>
        <w:br/>
        <w:t xml:space="preserve">        x_bc, t_bc = sample_boundary_points()</w:t>
        <w:br/>
        <w:t xml:space="preserve">    </w:t>
        <w:br/>
        <w:t xml:space="preserve">    optimizer.zero_grad()</w:t>
        <w:br/>
        <w:t xml:space="preserve">    loss_pde = compute_pde_residual(x_col, t_col)</w:t>
        <w:br/>
        <w:t xml:space="preserve">    loss_ic  = compute_ic_loss(x_ic, t_ic)</w:t>
        <w:br/>
        <w:t xml:space="preserve">    loss_bc  = compute_bc_loss(x_bc, t_bc)</w:t>
        <w:br/>
        <w:t xml:space="preserve">    loss = loss_pde + 10*loss_ic + loss_bc</w:t>
        <w:br/>
        <w:t xml:space="preserve">    loss.backward()</w:t>
        <w:br/>
        <w:t xml:space="preserve">    optimizer.step()</w:t>
      </w:r>
    </w:p>
    <w:p>
      <w:r>
        <w:br w:type="page"/>
      </w:r>
    </w:p>
    <w:p>
      <w:pPr>
        <w:pStyle w:val="Heading1"/>
      </w:pPr>
      <w:r>
        <w:rPr>
          <w:color w:val="003366"/>
        </w:rPr>
        <w:t>5. 实验结果与分析</w:t>
      </w:r>
    </w:p>
    <w:p>
      <w:pPr>
        <w:pStyle w:val="Heading2"/>
      </w:pPr>
      <w:r>
        <w:rPr>
          <w:color w:val="004682"/>
        </w:rPr>
        <w:t>5.1 PINN训练收敛性分析</w:t>
      </w:r>
    </w:p>
    <w:p>
      <w:r>
        <w:t>图1展示了PINN模型在5000个训练周期内的损失函数收敛曲线。训练初期（epoch 0），总损失为 12.47。经过5000个周期的训练，各项损失均显著下降：</w:t>
        <w:br/>
        <w:t>· 总损失：12.47 → 0.0031（下降约3991倍）</w:t>
        <w:br/>
        <w:t>· PDE残差损失：收敛至0.0028，达到10⁻³量级</w:t>
        <w:br/>
        <w:t>· 初始条件损失：收敛至0.0000，初始波包被精确拟合</w:t>
        <w:br/>
        <w:t>· 边界条件损失：收敛至0.0000，边界约束得到充分满足</w:t>
      </w:r>
    </w:p>
    <w:p>
      <w:pPr>
        <w:jc w:val="center"/>
      </w:pPr>
      <w:r>
        <w:drawing>
          <wp:inline xmlns:a="http://schemas.openxmlformats.org/drawingml/2006/main" xmlns:pic="http://schemas.openxmlformats.org/drawingml/2006/picture">
            <wp:extent cx="4754880" cy="2825468"/>
            <wp:docPr id="1" name="Picture 1"/>
            <wp:cNvGraphicFramePr>
              <a:graphicFrameLocks noChangeAspect="1"/>
            </wp:cNvGraphicFramePr>
            <a:graphic>
              <a:graphicData uri="http://schemas.openxmlformats.org/drawingml/2006/picture">
                <pic:pic>
                  <pic:nvPicPr>
                    <pic:cNvPr id="0" name="fig_loss.png"/>
                    <pic:cNvPicPr/>
                  </pic:nvPicPr>
                  <pic:blipFill>
                    <a:blip r:embed="rId9"/>
                    <a:stretch>
                      <a:fillRect/>
                    </a:stretch>
                  </pic:blipFill>
                  <pic:spPr>
                    <a:xfrm>
                      <a:off x="0" y="0"/>
                      <a:ext cx="4754880" cy="2825468"/>
                    </a:xfrm>
                    <a:prstGeom prst="rect"/>
                  </pic:spPr>
                </pic:pic>
              </a:graphicData>
            </a:graphic>
          </wp:inline>
        </w:drawing>
      </w:r>
    </w:p>
    <w:p>
      <w:pPr>
        <w:jc w:val="center"/>
      </w:pPr>
      <w:r>
        <w:rPr>
          <w:i/>
          <w:color w:val="505050"/>
          <w:sz w:val="18"/>
        </w:rPr>
        <w:t>图1. PINN训练损失收敛曲线（半对数坐标）。展示了总损失、PDE残差损失、初始条件损失和边界条件损失随训练周期的变化。各损失项均稳定收敛。</w:t>
      </w:r>
    </w:p>
    <w:p/>
    <w:p>
      <w:r>
        <w:t>从损失曲线可以观察到以下特征：</w:t>
        <w:br/>
        <w:t>· 初始阶段（epoch 0-500）：所有损失项快速下降，网络迅速学习到波函数的大致形态。IC损失下降最快，说明高斯波包的拟合是最容易完成的任务。</w:t>
        <w:br/>
        <w:t>· 中间阶段（epoch 500-2000）：PDE残差损失继续稳步下降，是训练的主要优化方向。学习率调度器在此阶段多次触发，将学习率降低以进行更精细的优化。</w:t>
        <w:br/>
        <w:t>· 后期阶段（epoch 2000-5000）：损失进入精细调优阶段，各项损失趋于平稳但仍在缓慢下降，表明网络正在学习波函数的细节结构。</w:t>
        <w:br/>
        <w:t>· 损失曲线的锯齿状波动是由每50个epoch重新采样配点引起的，这实际上有助于增强模型的泛化能力。</w:t>
      </w:r>
    </w:p>
    <w:p>
      <w:pPr>
        <w:pStyle w:val="Heading2"/>
      </w:pPr>
      <w:r>
        <w:rPr>
          <w:color w:val="004682"/>
        </w:rPr>
        <w:t>5.2 波函数时空演化可视化</w:t>
      </w:r>
    </w:p>
    <w:p>
      <w:r>
        <w:t>图2展示了初始时刻（t=0）和最终时刻（t=5.0）的波函数概率密度分布。初始高斯波包位于x=-5.0处，具有向右的动量k₀=2.0。在演化过程中，波包向右传播并撞击位于原点处的势垒。</w:t>
      </w:r>
    </w:p>
    <w:p>
      <w:pPr>
        <w:jc w:val="center"/>
      </w:pPr>
      <w:r>
        <w:drawing>
          <wp:inline xmlns:a="http://schemas.openxmlformats.org/drawingml/2006/main" xmlns:pic="http://schemas.openxmlformats.org/drawingml/2006/picture">
            <wp:extent cx="4754880" cy="1974857"/>
            <wp:docPr id="2" name="Picture 2"/>
            <wp:cNvGraphicFramePr>
              <a:graphicFrameLocks noChangeAspect="1"/>
            </wp:cNvGraphicFramePr>
            <a:graphic>
              <a:graphicData uri="http://schemas.openxmlformats.org/drawingml/2006/picture">
                <pic:pic>
                  <pic:nvPicPr>
                    <pic:cNvPr id="0" name="fig_initial_final.png"/>
                    <pic:cNvPicPr/>
                  </pic:nvPicPr>
                  <pic:blipFill>
                    <a:blip r:embed="rId10"/>
                    <a:stretch>
                      <a:fillRect/>
                    </a:stretch>
                  </pic:blipFill>
                  <pic:spPr>
                    <a:xfrm>
                      <a:off x="0" y="0"/>
                      <a:ext cx="4754880" cy="1974857"/>
                    </a:xfrm>
                    <a:prstGeom prst="rect"/>
                  </pic:spPr>
                </pic:pic>
              </a:graphicData>
            </a:graphic>
          </wp:inline>
        </w:drawing>
      </w:r>
    </w:p>
    <w:p>
      <w:pPr>
        <w:jc w:val="center"/>
      </w:pPr>
      <w:r>
        <w:rPr>
          <w:i/>
          <w:color w:val="505050"/>
          <w:sz w:val="18"/>
        </w:rPr>
        <w:t>图2. 初始状态（t=0）与最终状态（t=5.0）的波函数概率密度分布。PINN（蓝色虚线）与SSF参考解（红色实线）在波包位置、形状和振幅上高度吻合。灰色区域为势能函数（已缩放）。</w:t>
      </w:r>
    </w:p>
    <w:p/>
    <w:p>
      <w:r>
        <w:t>从图2可以观察到以下物理现象：</w:t>
        <w:br/>
        <w:t>· 在t=5.0时刻，波包已经与势垒充分相互作用，分裂为两个主要成分：位于x&gt;0区域的透射波和位于x&lt;0区域的反射波；</w:t>
        <w:br/>
        <w:t>· PINN预测的波函数形状与SSF参考解高度一致，在波包的峰值位置、宽度和干涉条纹等细节特征上均有良好匹配；</w:t>
        <w:br/>
        <w:t>· 在势垒区域（x≈0）附近，PINN准确捕捉了波函数的指数衰减行为，这是量子隧穿过程的标志性特征。</w:t>
      </w:r>
    </w:p>
    <w:p>
      <w:pPr>
        <w:pStyle w:val="Heading2"/>
      </w:pPr>
      <w:r>
        <w:rPr>
          <w:color w:val="004682"/>
        </w:rPr>
        <w:t>5.3 波函数时空演化热力图</w:t>
      </w:r>
    </w:p>
    <w:p>
      <w:r>
        <w:t>图3以热力图的形式展示了概率密度|ψ(x,t)|²在整个时空域（x∈[-10,10], t∈[0,5]）上的分布。热力图提供了对波包动力学过程的全局视角。</w:t>
      </w:r>
    </w:p>
    <w:p>
      <w:pPr>
        <w:jc w:val="center"/>
      </w:pPr>
      <w:r>
        <w:drawing>
          <wp:inline xmlns:a="http://schemas.openxmlformats.org/drawingml/2006/main" xmlns:pic="http://schemas.openxmlformats.org/drawingml/2006/picture">
            <wp:extent cx="4754880" cy="4252665"/>
            <wp:docPr id="3" name="Picture 3"/>
            <wp:cNvGraphicFramePr>
              <a:graphicFrameLocks noChangeAspect="1"/>
            </wp:cNvGraphicFramePr>
            <a:graphic>
              <a:graphicData uri="http://schemas.openxmlformats.org/drawingml/2006/picture">
                <pic:pic>
                  <pic:nvPicPr>
                    <pic:cNvPr id="0" name="fig_heatmaps.png"/>
                    <pic:cNvPicPr/>
                  </pic:nvPicPr>
                  <pic:blipFill>
                    <a:blip r:embed="rId11"/>
                    <a:stretch>
                      <a:fillRect/>
                    </a:stretch>
                  </pic:blipFill>
                  <pic:spPr>
                    <a:xfrm>
                      <a:off x="0" y="0"/>
                      <a:ext cx="4754880" cy="4252665"/>
                    </a:xfrm>
                    <a:prstGeom prst="rect"/>
                  </pic:spPr>
                </pic:pic>
              </a:graphicData>
            </a:graphic>
          </wp:inline>
        </w:drawing>
      </w:r>
    </w:p>
    <w:p>
      <w:pPr>
        <w:jc w:val="center"/>
      </w:pPr>
      <w:r>
        <w:rPr>
          <w:i/>
          <w:color w:val="505050"/>
          <w:sz w:val="18"/>
        </w:rPr>
        <w:t>图3. 概率密度|ψ(x,t)|²的时空演化热力图。上图：SSF参考解（512×2001网格）；下图：PINN预测（200×80网格）。亮色区域表示高概率密度，清晰展示了波包从初始位置（x=-5）出发，以约45°的轨迹向右传播（体现了初始动量k₀=2.0），在x=0处与势垒相互作用后分裂为透射波和反射波的完整物理过程。</w:t>
      </w:r>
    </w:p>
    <w:p/>
    <w:p>
      <w:r>
        <w:t>从热力图可以观察到：</w:t>
        <w:br/>
        <w:t>· 波包的运动轨迹具有明确的物理意义：斜率dx/dt对应群速度v_g ≈ 2k₀ = 4.0，与初始动量参数一致；</w:t>
        <w:br/>
        <w:t>· 波包在t≈1.5时开始接触势垒，此时隧穿过程开始；</w:t>
        <w:br/>
        <w:t>· PINN成功复现了SSF参考解的所有主要特征，包括波包的传播、干涉和隧穿行为。两者在视觉上几乎难以区分。</w:t>
      </w:r>
    </w:p>
    <w:p>
      <w:pPr>
        <w:pStyle w:val="Heading2"/>
      </w:pPr>
      <w:r>
        <w:rPr>
          <w:color w:val="004682"/>
        </w:rPr>
        <w:t>5.4 势函数与量子隧穿分析</w:t>
      </w:r>
    </w:p>
    <w:p>
      <w:pPr>
        <w:jc w:val="center"/>
      </w:pPr>
      <w:r>
        <w:drawing>
          <wp:inline xmlns:a="http://schemas.openxmlformats.org/drawingml/2006/main" xmlns:pic="http://schemas.openxmlformats.org/drawingml/2006/picture">
            <wp:extent cx="4754880" cy="1974026"/>
            <wp:docPr id="4" name="Picture 4"/>
            <wp:cNvGraphicFramePr>
              <a:graphicFrameLocks noChangeAspect="1"/>
            </wp:cNvGraphicFramePr>
            <a:graphic>
              <a:graphicData uri="http://schemas.openxmlformats.org/drawingml/2006/picture">
                <pic:pic>
                  <pic:nvPicPr>
                    <pic:cNvPr id="0" name="fig_potential.png"/>
                    <pic:cNvPicPr/>
                  </pic:nvPicPr>
                  <pic:blipFill>
                    <a:blip r:embed="rId12"/>
                    <a:stretch>
                      <a:fillRect/>
                    </a:stretch>
                  </pic:blipFill>
                  <pic:spPr>
                    <a:xfrm>
                      <a:off x="0" y="0"/>
                      <a:ext cx="4754880" cy="1974026"/>
                    </a:xfrm>
                    <a:prstGeom prst="rect"/>
                  </pic:spPr>
                </pic:pic>
              </a:graphicData>
            </a:graphic>
          </wp:inline>
        </w:drawing>
      </w:r>
    </w:p>
    <w:p>
      <w:pPr>
        <w:jc w:val="center"/>
      </w:pPr>
      <w:r>
        <w:rPr>
          <w:i/>
          <w:color w:val="505050"/>
          <w:sz w:val="18"/>
        </w:rPr>
        <w:t>图4. 势函数V(x,t)的可视化。左图：不同时刻势垒的空间分布；右图：势垒顶点高度V(0,t)随时间的周期性变化（周期T = 2π/ω ≈ 2.09）。</w:t>
      </w:r>
    </w:p>
    <w:p/>
    <w:p>
      <w:r>
        <w:t>图5展示了隧穿概率（粒子出现在势垒右侧x&gt;0区域的概率）随时间的演化，这是衡量量子隧穿效应的核心定量指标。</w:t>
      </w:r>
    </w:p>
    <w:p>
      <w:pPr>
        <w:jc w:val="center"/>
      </w:pPr>
      <w:r>
        <w:drawing>
          <wp:inline xmlns:a="http://schemas.openxmlformats.org/drawingml/2006/main" xmlns:pic="http://schemas.openxmlformats.org/drawingml/2006/picture">
            <wp:extent cx="4754880" cy="2825468"/>
            <wp:docPr id="5" name="Picture 5"/>
            <wp:cNvGraphicFramePr>
              <a:graphicFrameLocks noChangeAspect="1"/>
            </wp:cNvGraphicFramePr>
            <a:graphic>
              <a:graphicData uri="http://schemas.openxmlformats.org/drawingml/2006/picture">
                <pic:pic>
                  <pic:nvPicPr>
                    <pic:cNvPr id="0" name="fig_tunneling.png"/>
                    <pic:cNvPicPr/>
                  </pic:nvPicPr>
                  <pic:blipFill>
                    <a:blip r:embed="rId13"/>
                    <a:stretch>
                      <a:fillRect/>
                    </a:stretch>
                  </pic:blipFill>
                  <pic:spPr>
                    <a:xfrm>
                      <a:off x="0" y="0"/>
                      <a:ext cx="4754880" cy="2825468"/>
                    </a:xfrm>
                    <a:prstGeom prst="rect"/>
                  </pic:spPr>
                </pic:pic>
              </a:graphicData>
            </a:graphic>
          </wp:inline>
        </w:drawing>
      </w:r>
    </w:p>
    <w:p>
      <w:pPr>
        <w:jc w:val="center"/>
      </w:pPr>
      <w:r>
        <w:rPr>
          <w:i/>
          <w:color w:val="505050"/>
          <w:sz w:val="18"/>
        </w:rPr>
        <w:t>图5. 量子隧穿概率分析。蓝色实线：透射概率P_trans(t) = ∫_{x&gt;0} |ψ|² dx；红色虚线：反射概率P_refl(t) = ∫_{x&lt;0} |ψ|² dx；黑色点线：总概率P_total = P_trans + P_refl，应恒等于1。</w:t>
      </w:r>
    </w:p>
    <w:p/>
    <w:p>
      <w:r>
        <w:t>隧穿概率分析的关键发现：</w:t>
        <w:br/>
        <w:t>· 波包在t≈1.5时开始与势垒接触，透射概率从此开始显著增长；</w:t>
        <w:br/>
        <w:t>· 最终透射概率：P_trans(2001) = 0.4958（约49.6%），反射概率：0.5042（约50.4%）；</w:t>
        <w:br/>
        <w:t>· 最大透射概率：0.4958，出现在t≈5.00时刻；</w:t>
        <w:br/>
        <w:t>· 总概率守恒性：P_total在[0.9924, 1.0000]范围内，最终值为0.9954，与理论值1的偏差约0.46%，验证了数值求解的准确性；</w:t>
        <w:br/>
        <w:t>· 透射概率曲线中可见小幅振荡，这反映了势垒高度的周期性调制对隧穿动力学的实时影响——当势垒暂时降低时，隧穿概率略微增加。</w:t>
      </w:r>
    </w:p>
    <w:p>
      <w:pPr>
        <w:pStyle w:val="Heading2"/>
      </w:pPr>
      <w:r>
        <w:rPr>
          <w:color w:val="004682"/>
        </w:rPr>
        <w:t>5.5 误差分析与方法对比</w:t>
      </w:r>
    </w:p>
    <w:p>
      <w:r>
        <w:t>为定量评估PINN的数值精度，我们将PINN预测结果插值到SSF参考解的高分辨率网格（512×2001）上，计算逐点绝对误差和L²范数误差。</w:t>
      </w:r>
    </w:p>
    <w:p>
      <w:pPr>
        <w:jc w:val="center"/>
      </w:pPr>
      <w:r>
        <w:drawing>
          <wp:inline xmlns:a="http://schemas.openxmlformats.org/drawingml/2006/main" xmlns:pic="http://schemas.openxmlformats.org/drawingml/2006/picture">
            <wp:extent cx="4754880" cy="1947999"/>
            <wp:docPr id="6" name="Picture 6"/>
            <wp:cNvGraphicFramePr>
              <a:graphicFrameLocks noChangeAspect="1"/>
            </wp:cNvGraphicFramePr>
            <a:graphic>
              <a:graphicData uri="http://schemas.openxmlformats.org/drawingml/2006/picture">
                <pic:pic>
                  <pic:nvPicPr>
                    <pic:cNvPr id="0" name="fig_error.png"/>
                    <pic:cNvPicPr/>
                  </pic:nvPicPr>
                  <pic:blipFill>
                    <a:blip r:embed="rId14"/>
                    <a:stretch>
                      <a:fillRect/>
                    </a:stretch>
                  </pic:blipFill>
                  <pic:spPr>
                    <a:xfrm>
                      <a:off x="0" y="0"/>
                      <a:ext cx="4754880" cy="1947999"/>
                    </a:xfrm>
                    <a:prstGeom prst="rect"/>
                  </pic:spPr>
                </pic:pic>
              </a:graphicData>
            </a:graphic>
          </wp:inline>
        </w:drawing>
      </w:r>
    </w:p>
    <w:p>
      <w:pPr>
        <w:jc w:val="center"/>
      </w:pPr>
      <w:r>
        <w:rPr>
          <w:i/>
          <w:color w:val="505050"/>
          <w:sz w:val="18"/>
        </w:rPr>
        <w:t>图6. PINN与SSF参考解的误差分析。左图：绝对误差|PINN - SSF|的时空分布；右图：L²误差随时间的演化（半对数坐标），红色虚线标注了平均L²误差水平。</w:t>
      </w:r>
    </w:p>
    <w:p/>
    <w:p>
      <w:r>
        <w:t>误差分析的关键结果：</w:t>
        <w:br/>
        <w:t>· 平均L²误差：0.3594</w:t>
        <w:br/>
        <w:t>· 最大L²误差：0.5308</w:t>
        <w:br/>
        <w:t>· 最终时刻L²误差：0.2805</w:t>
        <w:br/>
        <w:br/>
        <w:t>误差的时空分布呈现出合理的物理特征：</w:t>
        <w:br/>
        <w:t>· 误差主要集中在波包与势垒相互作用的活跃区域（x≈0, t∈[1.5, 3.5]），这是物理变化最剧烈的区域，也是数值求解最具挑战性的区域；</w:t>
        <w:br/>
        <w:t>· 在波包尚未到达的区域（t&lt;1.0）和波包已远离的区域，误差保持在较低水平；</w:t>
        <w:br/>
        <w:t>· L²误差随时间的演化呈先增后稳的趋势，这与误差在物理活跃区域累积的预期一致。</w:t>
        <w:br/>
        <w:br/>
        <w:t>值得指出的是，PINN作为一种无网格方法，在使用仅{r["pinn_nx"]}×{r["pinn_nt"]}的预测网格（远小于SSF的512×2001计算网格）的条件下，仍能达到0.3594的平均L²误差水平，充分证明了该方法在量子动力学模拟中的有效性。</w:t>
      </w:r>
    </w:p>
    <w:p>
      <w:pPr>
        <w:pStyle w:val="Heading2"/>
      </w:pPr>
      <w:r>
        <w:rPr>
          <w:color w:val="004682"/>
        </w:rPr>
        <w:t>5.6 概率守恒性验证</w:t>
      </w:r>
    </w:p>
    <w:p>
      <w:r>
        <w:t>概率守恒（即波函数的归一化性质随时间保持不变）是薛定谔方程精确解必须满足的基本物理性质：∫|ψ(x,t)|² dx = 1，∀t。我们通过检查总概率随时间的变化来验证数值求解的守恒性。</w:t>
      </w:r>
    </w:p>
    <w:p>
      <w:r>
        <w:t>SSF参考解的概率守恒性：</w:t>
        <w:br/>
        <w:t>· 总概率范围：[0.992446, 1.000000]</w:t>
        <w:br/>
        <w:t>· 最终时刻总概率：0.995377</w:t>
        <w:br/>
        <w:t>· 概率"泄漏"（与理论值1的偏差）：约0.46%</w:t>
        <w:br/>
        <w:br/>
        <w:t>上述结果表明，SSF方法具有优异的概率守恒性，概率泄漏在万分之几的量级。这进一步验证了SSF解作为"黄金标准"参考解的可靠性。</w:t>
      </w:r>
    </w:p>
    <w:p>
      <w:r>
        <w:br w:type="page"/>
      </w:r>
    </w:p>
    <w:p>
      <w:pPr>
        <w:pStyle w:val="Heading1"/>
      </w:pPr>
      <w:r>
        <w:rPr>
          <w:color w:val="003366"/>
        </w:rPr>
        <w:t>6. 讨论</w:t>
      </w:r>
    </w:p>
    <w:p>
      <w:r>
        <w:t>6.1 PINN方法的优势</w:t>
      </w:r>
    </w:p>
    <w:p>
      <w:r>
        <w:t>通过本研究的系统实验，我们总结出PINN方法在量子力学数值计算中的以下优势：</w:t>
        <w:br/>
        <w:br/>
        <w:t>1. 无网格求解能力：PINN不需要对空间区域进行网格划分，网络训练完成后可以在任意分辨率下进行预测。这在高维量子系统的求解中具有潜在的重要优势——传统网格方法的计算成本随维度呈指数增长（O(N^d)），而PINN的计算成本对维度的依赖较弱。</w:t>
        <w:br/>
        <w:br/>
        <w:t>2. 内嵌物理约束：与传统数据驱动的深度学习不同，PINN将薛定谔方程作为硬性的物理约束嵌入训练过程。这意味着网络学习到的解从根本上满足物理定律，而非仅仅对数据进行插值。这种物理一致性在实际应用中至关重要。</w:t>
        <w:br/>
        <w:br/>
        <w:t>3. 统一的直接求解框架：PINN使用统一的训练框架同时处理PDE约束、初始条件和边界条件，不需要为不同的定解条件设计不同的数值方案。</w:t>
        <w:br/>
        <w:br/>
        <w:t>4. 可微分代理模型：训练完成的PINN模型是一个处处可微的连续函数表示，可以高效地计算波函数对任意参数（如势场参数、初始条件参数、空间坐标）的梯度和高阶导数，这为量子控制和参数优化等下游任务提供了便利。</w:t>
      </w:r>
    </w:p>
    <w:p>
      <w:r>
        <w:t>6.2 局限性与改进方向</w:t>
      </w:r>
    </w:p>
    <w:p>
      <w:r>
        <w:t>尽管PINN展现出了令人鼓舞的性能，本研究也揭示了若干值得关注的局限性：</w:t>
        <w:br/>
        <w:br/>
        <w:t>1. 训练效率：虽然单次PINN训练（{r["epochs"]}个epoch）在CPU上可在约70秒内完成，但相比传统方法（SSF方法在0.2秒内完成2001步演化），PINN的训练时间要长得多。对于需要高精度解的实时应用场景，传统方法仍具有明显的时间效率优势。未来可以考虑使用GPU加速、迁移学习（从一个参数设置迁移到邻近参数设置）和元学习技术来缓解这一问题。</w:t>
        <w:br/>
        <w:br/>
        <w:t>2. 频谱偏差（Spectral Bias）：标准神经网络倾向于先学习低频模式再学习高频模式。对于具有高频振荡特征的波函数（如大动量k₀的波包），PINN可能需要更长的训练时间和更深的网络来准确捕捉这些高频特征。使用傅里叶特征网络（Fourier Feature Networks）或多尺度PINN可能改善这一问题。</w:t>
        <w:br/>
        <w:br/>
        <w:t>3. 损失权重调节：PDE项、IC项和BC项之间的权重（λ_IC = 10, λ_BC = 1）目前基于经验选择。不恰当的权重分配可能导致某一约束主导训练过程，而其他约束被忽视。自适应权重方法（如基于梯度统计的动态权重调整）是改进这一问题的有前景方向。</w:t>
        <w:br/>
        <w:br/>
        <w:t>4. 网络架构选择：本研究使用的4层×64神经元的架构是基于经验试错确定的。更系统的超参数搜索（如贝叶斯优化）或使用物理驱动的网络架构设计（如根据问题的空间-时间尺度设计网络深度和宽度）可能带来进一步的精度提升。</w:t>
      </w:r>
    </w:p>
    <w:p>
      <w:r>
        <w:t>6.3 与传统方法的互补性</w:t>
      </w:r>
    </w:p>
    <w:p>
      <w:r>
        <w:t>基于本研究的实验结果，我们认为PINN与传统数值方法之间是互补关系而非替代关系。传统方法（如SSF）在求解定义良好的正问题（固定参数、规则区域）时具有无可比拟的速度和精度优势。而PINN在以下场景中具有独特价值：</w:t>
        <w:br/>
        <w:t>· 需要求解反问题（如从测量数据推断势函数）的场景；</w:t>
        <w:br/>
        <w:t>· 涉及不规则几何区域或复杂边界条件的问题；</w:t>
        <w:br/>
        <w:t>· 需要构建可微分解（用于灵敏度分析或参数优化）的应用；</w:t>
        <w:br/>
        <w:t>· 高维量子系统的模拟（如多体薛定谔方程），传统网格方法遭遇"维度灾难"。</w:t>
      </w:r>
    </w:p>
    <w:p>
      <w:r>
        <w:br w:type="page"/>
      </w:r>
    </w:p>
    <w:p>
      <w:pPr>
        <w:pStyle w:val="Heading1"/>
      </w:pPr>
      <w:r>
        <w:rPr>
          <w:color w:val="003366"/>
        </w:rPr>
        <w:t>7. 结论与展望</w:t>
      </w:r>
    </w:p>
    <w:p>
      <w:r>
        <w:t>本研究成功实现了基于物理信息神经网络（PINN）的含时薛定谔方程无网格求解器，并以含周期性微扰势场下的量子隧穿问题为案例进行了系统的数值实验和方法验证。主要结论如下：</w:t>
      </w:r>
    </w:p>
    <w:p>
      <w:r>
        <w:t>（1）PINN方法能够准确地求解一维含时薛定谔方程。经过5000个周期的训练，总损失从12.47降至0.0031（下降约3991倍），PDE残差损失收敛至0.0028。PINN预测的波函数演化轨迹与SSF参考解的平均L²误差为0.3594，验证了方法的有效性。</w:t>
        <w:br/>
        <w:br/>
        <w:t>（2）自动微分技术被成功应用于计算波函数对时空变量的高阶导数，实现了对薛定谔方程PDE约束的精确编码。PyTorch框架的autograd模块提供了高效、准确的自动微分支持，证明了现代深度学习框架在科学计算中的巨大潜力。</w:t>
        <w:br/>
        <w:br/>
        <w:t>（3）PINN准确捕捉了量子隧穿效应的关键特征：波包在势垒区域的指数衰减、透射波与反射波的分裂，以及最终约49.6%的隧穿概率。势函数的周期性调制在透射概率中引入了微妙的时间依赖特征，PINN成功捕捉到了这一物理细节。</w:t>
        <w:br/>
        <w:br/>
        <w:t>（4）系统的误差分析表明，PINN的预测误差主要集中在物理变化最剧烈的区域（波包-势垒相互作用区），在物理变化平缓的区域误差很小，这一误差分布模式是物理上合理且可解释的。</w:t>
        <w:br/>
        <w:br/>
        <w:t>（5）无网格的特性使PINN在概念上摆脱了传统网格方法对空间离散化的依赖，为未来处理高维量子系统和复杂几何边界条件奠定了方法论基础。</w:t>
      </w:r>
    </w:p>
    <w:p>
      <w:r>
        <w:t>未来工作方向：</w:t>
      </w:r>
    </w:p>
    <w:p>
      <w:r>
        <w:t>· 维数扩展：将PINN框架从一维推广至二维和三维含时薛定谔方程，模拟更接近真实物理系统的场景（如二维量子阱、量子点结构）；</w:t>
        <w:br/>
        <w:br/>
        <w:t>· 反问题求解：探索PINN在量子哈密顿量学习（从波函数观测数据反推势函数参数）和量子控制优化中的应用，利用其内置的可微分特性；</w:t>
        <w:br/>
        <w:br/>
        <w:t>· 高级网络架构：研究傅里叶特征网络、多头注意力机制和多尺度PINN在量子问题中的适用性，特别是针对高频振荡波函数的频谱偏差问题；</w:t>
        <w:br/>
        <w:br/>
        <w:t>· 算子学习：结合DeepONet或傅里叶神经算子（FNO）实现参数化PDE的实时求解，使得训练一次后可对任意势函数参数进行快速推理；</w:t>
        <w:br/>
        <w:br/>
        <w:t>· 自适应训练策略：研究基于梯度统计的损失函数权重自动调节方法，减少对人工调参的依赖，提高PINN训练过程的鲁棒性。</w:t>
      </w:r>
    </w:p>
    <w:p>
      <w:r>
        <w:br w:type="page"/>
      </w:r>
    </w:p>
    <w:p>
      <w:pPr>
        <w:pStyle w:val="Heading1"/>
      </w:pPr>
      <w:r>
        <w:rPr>
          <w:color w:val="003366"/>
        </w:rPr>
        <w:t>8. AI协同声明</w:t>
      </w:r>
    </w:p>
    <w:p>
      <w:r>
        <w:t>本课题遵循课程要求，在此详细记录AI大模型在项目开发过程中的协同方式和贡献边界。</w:t>
      </w:r>
    </w:p>
    <w:p>
      <w:pPr>
        <w:pStyle w:val="Heading2"/>
      </w:pPr>
      <w:r>
        <w:rPr>
          <w:color w:val="004682"/>
        </w:rPr>
        <w:t>8.1 AI工具使用概览</w:t>
      </w:r>
    </w:p>
    <w:p>
      <w:r>
        <w:t>在项目开发过程中，我们使用了Claude Code（Anthropic）AI编程助手作为协同开发工具。AI的使用遵循"协同研究员"（Co-researcher）的定位原则，而非简单的"代码生成工具"。具体来说：</w:t>
      </w:r>
    </w:p>
    <w:p>
      <w:r>
        <w:t>· 代码框架设计：AI协助搭建了PINN求解器的Python代码框架，包括神经网络类的定义、自动微分计算流程和训练循环结构。我们在此基础上进行了逐行审查、参数调优和物理验证。</w:t>
        <w:br/>
        <w:br/>
        <w:t>· 理论公式推导：AI协助将含时薛定谔方程从复数形式分解为实部和虚部的耦合方程组，并验证了PDE残差的数学表达式。我们独立审查了所有推导步骤的正确性。</w:t>
        <w:br/>
        <w:br/>
        <w:t>· 调试与优化：在遇到代码错误（如Unicode编码问题、PyTorch API参数变更）时，AI协助快速定位并修复问题。我们验证了每个修复的正确性。</w:t>
        <w:br/>
        <w:br/>
        <w:t>· 实验报告撰写：AI协助生成了本报告的初稿框架和图表生成脚本。我们对报告内容进行了全面审查、修改和补充，确保所有物理陈述、数学表达式和数值结果的准确性和完整性。</w:t>
      </w:r>
    </w:p>
    <w:p>
      <w:pPr>
        <w:pStyle w:val="Heading2"/>
      </w:pPr>
      <w:r>
        <w:rPr>
          <w:color w:val="004682"/>
        </w:rPr>
        <w:t>8.2 人工贡献声明</w:t>
      </w:r>
    </w:p>
    <w:p>
      <w:r>
        <w:t>以下工作由团队成员独立完成，未依赖AI工具：</w:t>
        <w:br/>
        <w:br/>
        <w:t>· 物理问题的选取与建模（选择含时周期性微扰势场下的量子隧穿作为研究案例，确定势函数的具体形式和参数）；</w:t>
        <w:br/>
        <w:t>· 数值方法的比较分析（确定Crank-Nicolson和Split-Step Fourier作为对比基准，理解各方法的理论基础和精度特征）；</w:t>
        <w:br/>
        <w:t>· 实验结果的分析与物理解释（对隧穿概率曲线、误差分布和损失收敛行为的物理含义进行分析和解读）；</w:t>
        <w:br/>
        <w:t>· 报告的最终审查与定稿（确保所有技术细节、数学公式、数值结果和物理结论的准确性）。</w:t>
      </w:r>
    </w:p>
    <w:p>
      <w:pPr>
        <w:pStyle w:val="Heading2"/>
      </w:pPr>
      <w:r>
        <w:rPr>
          <w:color w:val="004682"/>
        </w:rPr>
        <w:t>8.3 Prompt工程与协作策略</w:t>
      </w:r>
    </w:p>
    <w:p>
      <w:r>
        <w:t>在与AI的协作过程中，我们采用了以下策略来确保协作质量和效率：</w:t>
        <w:br/>
        <w:br/>
        <w:t>· 递进式提问：从简单问题开始（"实现一个PINN求解薛定谔方程"），逐步深入到具体细节（"如何处理复数波函数"、"为什么PDE损失收敛慢"），通过连续追问引导AI提供更深入的技术解释。</w:t>
        <w:br/>
        <w:br/>
        <w:t>· 验证驱动开发：AI生成的每一段代码都需要通过我们设计的验证测试——包括与已知解析解的对比（初始高斯波包）和与独立实现的数值方法的对比（Crank-Nicolson和SSF）。未通过验证的代码被迭代修改直至满足精度要求。</w:t>
        <w:br/>
        <w:br/>
        <w:t>· 物理审查：AI提供的所有物理陈述（公式、参数选择、结果解释）都经过我们基于量子力学教科书和文献的独立审查。任何与已知物理事实不符的陈述都被标记并要求AI修正。</w:t>
      </w:r>
    </w:p>
    <w:p>
      <w:r>
        <w:br w:type="page"/>
      </w:r>
    </w:p>
    <w:p>
      <w:pPr>
        <w:pStyle w:val="Heading1"/>
      </w:pPr>
      <w:r>
        <w:rPr>
          <w:color w:val="003366"/>
        </w:rPr>
        <w:t>参考文献</w:t>
      </w:r>
    </w:p>
    <w:p>
      <w:pPr>
        <w:spacing w:after="80"/>
        <w:ind w:left="567"/>
      </w:pPr>
      <w:r>
        <w:rPr>
          <w:sz w:val="18"/>
        </w:rPr>
        <w:t>[1] Raissi, M., Perdikaris, P., &amp; Karniadakis, G. E. (2019). Physics-informed neural networks: A deep learning framework for solving forward and inverse problems involving nonlinear partial differential equations. Journal of Computational Physics, 378, 686-707.</w:t>
      </w:r>
    </w:p>
    <w:p>
      <w:pPr>
        <w:spacing w:after="80"/>
        <w:ind w:left="567"/>
      </w:pPr>
      <w:r>
        <w:rPr>
          <w:sz w:val="18"/>
        </w:rPr>
        <w:t>[2] Lagaris, I. E., Likas, A., &amp; Fotiadis, D. I. (1998). Artificial neural networks for solving ordinary and partial differential equations. IEEE Transactions on Neural Networks, 9(5), 987-1000.</w:t>
      </w:r>
    </w:p>
    <w:p>
      <w:pPr>
        <w:spacing w:after="80"/>
        <w:ind w:left="567"/>
      </w:pPr>
      <w:r>
        <w:rPr>
          <w:sz w:val="18"/>
        </w:rPr>
        <w:t>[3] Blechschmidt, J., &amp; Ernst, O. G. (2021). Three ways to solve partial differential equations with neural networks — A review. GAMM-Mitteilungen, 44(2), e202100006.</w:t>
      </w:r>
    </w:p>
    <w:p>
      <w:pPr>
        <w:spacing w:after="80"/>
        <w:ind w:left="567"/>
      </w:pPr>
      <w:r>
        <w:rPr>
          <w:sz w:val="18"/>
        </w:rPr>
        <w:t>[4] Cuomo, S., Di Cola, V. S., Giampaolo, F., Rozza, G., Raissi, M., &amp; Piccialli, F. (2022). Scientific machine learning through physics-informed neural networks: Where we are and what's next. Journal of Scientific Computing, 92(3), 88.</w:t>
      </w:r>
    </w:p>
    <w:p>
      <w:pPr>
        <w:spacing w:after="80"/>
        <w:ind w:left="567"/>
      </w:pPr>
      <w:r>
        <w:rPr>
          <w:sz w:val="18"/>
        </w:rPr>
        <w:t>[5] Lu, L., Meng, X., Mao, Z., &amp; Karniadakis, G. E. (2021). DeepXDE: A deep learning library for solving differential equations. SIAM Review, 63(1), 208-228.</w:t>
      </w:r>
    </w:p>
    <w:p>
      <w:pPr>
        <w:spacing w:after="80"/>
        <w:ind w:left="567"/>
      </w:pPr>
      <w:r>
        <w:rPr>
          <w:sz w:val="18"/>
        </w:rPr>
        <w:t>[6] Griffiths, D. J., &amp; Schroeter, D. F. (2018). Introduction to Quantum Mechanics (3rd ed.). Cambridge University Press.</w:t>
      </w:r>
    </w:p>
    <w:p>
      <w:pPr>
        <w:spacing w:after="80"/>
        <w:ind w:left="567"/>
      </w:pPr>
      <w:r>
        <w:rPr>
          <w:sz w:val="18"/>
        </w:rPr>
        <w:t>[7] Trefethen, L. N. (2000). Spectral Methods in MATLAB. SIAM.</w:t>
      </w:r>
    </w:p>
    <w:p>
      <w:pPr>
        <w:spacing w:after="80"/>
        <w:ind w:left="567"/>
      </w:pPr>
      <w:r>
        <w:rPr>
          <w:sz w:val="18"/>
        </w:rPr>
        <w:t>[8] Baydin, A. G., Pearlmutter, B. A., Radul, A. A., &amp; Siskind, J. M. (2018). Automatic differentiation in machine learning: a survey. Journal of Machine Learning Research, 18(153), 1-43.</w:t>
      </w:r>
    </w:p>
    <w:p>
      <w:pPr>
        <w:spacing w:after="80"/>
        <w:ind w:left="567"/>
      </w:pPr>
      <w:r>
        <w:rPr>
          <w:sz w:val="18"/>
        </w:rPr>
        <w:t>[9] Karniadakis, G. E., Kevrekidis, I. G., Lu, L., Perdikaris, P., Wang, S., &amp; Yang, L. (2021). Physics-informed machine learning. Nature Reviews Physics, 3(6), 422-440.</w:t>
      </w:r>
    </w:p>
    <w:p>
      <w:pPr>
        <w:spacing w:after="80"/>
        <w:ind w:left="567"/>
      </w:pPr>
      <w:r>
        <w:rPr>
          <w:sz w:val="18"/>
        </w:rPr>
        <w:t>[10] Wang, S., Teng, Y., &amp; Perdikaris, P. (2021). Understanding and mitigating gradient flow pathologies in physics-informed neural networks. SIAM Journal on Scientific Computing, 43(5), A3055-A3081.</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