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4C526">
      <w:pPr>
        <w:pStyle w:val="27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基于AIKTV-OS开发H133智能K歌音响主板</w:t>
      </w:r>
    </w:p>
    <w:p w14:paraId="42037F74">
      <w:pPr>
        <w:pStyle w:val="27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需求说明书</w:t>
      </w:r>
    </w:p>
    <w:p w14:paraId="49DED7AB">
      <w:pPr>
        <w:rPr>
          <w:rFonts w:hint="eastAsia"/>
        </w:rPr>
      </w:pPr>
    </w:p>
    <w:p w14:paraId="0D945DE8">
      <w:pPr>
        <w:pStyle w:val="163"/>
        <w:jc w:val="righ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3"/>
          <w:sz w:val="21"/>
          <w:szCs w:val="21"/>
        </w:rPr>
        <w:t>版本：V2.2  撰稿：朱同斌   |    日期：2026年9月8日</w:t>
      </w:r>
    </w:p>
    <w:p w14:paraId="2353ABC1">
      <w:pPr>
        <w:ind w:firstLineChars="200"/>
        <w:rPr>
          <w:rFonts w:hint="eastAsia" w:ascii="黑体" w:hAnsi="黑体" w:eastAsia="黑体" w:cs="黑体"/>
        </w:rPr>
      </w:pPr>
    </w:p>
    <w:p w14:paraId="44002D1D">
      <w:pPr>
        <w:ind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文件依据双方确认的桌面UI、会议纪要及技术资料编制，用于明确产品功能、应用及内容平台对接关系、软硬件联调范围、责任边界和验收要求，作为鑫宇宸与秦简开展项目对接、开发联调和阶段验收的依据。本说明书中，运行于 H133 平台的整套软件（含桌面、12 个应用入口及各应用）统一命名为 AIKTV-OS，由秦简 AIKTV 团队定制交付。</w:t>
      </w:r>
    </w:p>
    <w:p w14:paraId="7DAEEBBF">
      <w:pPr>
        <w:spacing w:before="120" w:after="0" w:line="240" w:lineRule="auto"/>
      </w:pPr>
      <w:r>
        <w:drawing>
          <wp:inline distT="0" distB="0" distL="114300" distR="114300">
            <wp:extent cx="5975985" cy="3737610"/>
            <wp:effectExtent l="0" t="0" r="4445" b="8255"/>
            <wp:docPr id="2" name="Picture 1" descr="最终确认桌面UI：12个应用入口，顶部显示日期、星期、时间、调音台、音量、Wi-Fi和电池图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最终确认桌面UI：12个应用入口，顶部显示日期、星期、时间、调音台、音量、Wi-Fi和电池图标。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19A6A">
      <w:pPr>
        <w:pStyle w:val="1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图1  最终确认桌面UI（12个应用入口；主板适配分辨率为1280×800）</w:t>
      </w:r>
    </w:p>
    <w:p w14:paraId="6F3A60D2">
      <w:pPr>
        <w:ind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已确认范围：图1为最终确认桌面UI，固定12个应用入口及其位置顺序，顶部显示日期、星期、时间以及调音台、音量、Wi-Fi和电池状态图标。本轮覆盖桌面与各应用集成，以及屏幕、触摸、I²S、DSP串口和按键联调。项目总负责人为王建忠，朱同斌任项目经理；AIKTV-OS 固件由夏宇、吴家豪共同负责（含硬件、驱动及DSP协议对接）。</w:t>
      </w:r>
    </w:p>
    <w:p w14:paraId="0B2CFA83">
      <w:pPr>
        <w:ind w:firstLineChars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</w:rPr>
        <w:t>本文件对已确认、待确认和暂未接入事项分别标识。已确认事项作为本阶段实施依据；待确认事项由双方形成书面结论后纳入实施；暂未接入事项不计入当前完成范围。</w:t>
      </w:r>
    </w:p>
    <w:p w14:paraId="452F46D3">
      <w:pPr>
        <w:spacing w:after="80"/>
        <w:ind w:firstLineChars="200"/>
        <w:rPr>
          <w:rFonts w:hint="eastAsia" w:ascii="黑体" w:hAnsi="黑体" w:eastAsia="黑体" w:cs="黑体"/>
          <w:b/>
        </w:rPr>
      </w:pPr>
      <w:r>
        <w:rPr>
          <w:rFonts w:hint="eastAsia" w:ascii="黑体" w:hAnsi="黑体" w:eastAsia="黑体" w:cs="黑体"/>
          <w:b/>
        </w:rPr>
        <w:t>图1的桌面布局、入口名称、数量和位置顺序已确认；人物、电影画面及智能K歌卡片中的进度数字为视觉展示素材，实时状态展示以最终业务能力为准。各入口应按第2章规定的业务功能及对接平台完成集成。</w:t>
      </w:r>
    </w:p>
    <w:p w14:paraId="020A3130">
      <w:pPr>
        <w:spacing w:after="80"/>
        <w:ind w:firstLineChars="200"/>
        <w:rPr>
          <w:rFonts w:hint="eastAsia" w:ascii="黑体" w:hAnsi="黑体" w:eastAsia="黑体" w:cs="黑体"/>
          <w:b/>
        </w:rPr>
      </w:pPr>
    </w:p>
    <w:p w14:paraId="0922D9F8">
      <w:pPr>
        <w:spacing w:after="80"/>
        <w:rPr>
          <w:rFonts w:hint="eastAsia" w:ascii="黑体" w:hAnsi="黑体" w:eastAsia="黑体" w:cs="黑体"/>
          <w:b/>
        </w:rPr>
      </w:pPr>
    </w:p>
    <w:p w14:paraId="52A9FBFC">
      <w:pPr>
        <w:spacing w:after="80"/>
        <w:ind w:firstLineChars="200"/>
        <w:rPr>
          <w:rFonts w:hint="eastAsia" w:ascii="黑体" w:hAnsi="黑体" w:eastAsia="黑体" w:cs="黑体"/>
          <w:b/>
        </w:rPr>
      </w:pPr>
    </w:p>
    <w:sdt>
      <w:sdtPr>
        <w:rPr>
          <w:rFonts w:ascii="宋体" w:hAnsi="宋体" w:eastAsia="宋体" w:cs="Noto Sans CJK SC"/>
          <w:color w:val="1F2933"/>
          <w:sz w:val="21"/>
          <w:szCs w:val="22"/>
          <w:lang w:val="en-US" w:eastAsia="en-US" w:bidi="ar-SA"/>
        </w:rPr>
        <w:id w:val="147462662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Noto Sans CJK SC"/>
          <w:color w:val="1F2933"/>
          <w:sz w:val="21"/>
          <w:szCs w:val="22"/>
          <w:lang w:val="en-US" w:eastAsia="en-US" w:bidi="ar-SA"/>
        </w:rPr>
      </w:sdtEndPr>
      <w:sdtContent>
        <w:p w14:paraId="1487C53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B8F69F9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TOC \o "1-3" \h \u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_Toc26712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 鑫宇宸H133硬件主板需求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_Toc26712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9930E8A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_Toc24649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1.1 H133主板与功放板通信要求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_Toc24649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EF4A2C8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_Toc25832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1.2 DSP协议新增功能与确认事项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_Toc25832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727F79C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_Toc28968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1.3 屏幕适配与主板结构资料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_Toc28968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CF1FB74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_Toc8128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1.4 触摸芯片与驱动适配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_Toc8128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1AB602C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_Toc29915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1.5 按键采集及功能上报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_Toc29915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53CA7BE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_Toc533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1.6 电量、充电与关机交互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_Toc533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64C223C7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_Toc26424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1.7 联调供电与音频注意事项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_Toc26424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614B14E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_Toc14855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 鑫宇宸 AIKTV-OS 软件定制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_Toc14855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5E1B415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2.1 桌面及软件架构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_Toc225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7001A3A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_Toc23730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2.2 已接入应用与内容平台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_Toc23730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BD3E157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_Toc11668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2.3 待确认及未接入功能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_Toc11668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B298D9A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_Toc28066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 秦简 AIKTV-OS 功能模块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_Toc28066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F02C3C0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_Toc13901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 桌面系统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_Toc13901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C9DEF0D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_Toc7932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3.2 智能K歌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_Toc7932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14C7BD6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_Toc17745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3.3 电视直播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_Toc17745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1D6F9FBB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_Toc30684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3.4 电影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_Toc30684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7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373E350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_Toc23436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3.5 网易云音乐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_Toc23436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097AD7D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_Toc15032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3.6 广场舞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_Toc15032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1CF804F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_Toc18926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3.7 戏曲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_Toc18926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472A8B3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_Toc29643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3.8 无线投屏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_Toc29643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36CF5FA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_Toc5805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3.9 多媒体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_Toc5805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873E9D7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_Toc6090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3.10 网络收音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_Toc6090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567627E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_Toc13716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3.11 蓝牙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_Toc13716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87A70B8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_Toc7554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3.12 音频输入（调音台）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_Toc7554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8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364D756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_Toc29638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3.13 设置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_Toc29638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2056C65F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_Toc4356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3.14 顶部快捷功能与DSP参数同步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_Toc4356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9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D3F4B40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_Toc15005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 鑫宇宸与秦简项目双方对接人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_Toc15005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8286E2F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_Toc21896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4.1 鑫宇宸方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_Toc21896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0D52D416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_Toc10899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4.2 秦简方及相关技术支持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_Toc10899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10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45BDC453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_Toc13116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 资料、开发安排与待确认事项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_Toc13116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F02809C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_Toc22100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5.1 已接收资料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_Toc22100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6103715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_Toc30857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5.2 开发安排与交付衔接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_Toc30857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37A48D6A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_Toc26465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5.3 优先待确认清单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_Toc26465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11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170A1DA">
          <w:pPr>
            <w:pStyle w:val="26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_Toc29345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 开发时间计划（2026-09-08 → 09-15）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_Toc29345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5D0ABBB8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_Toc251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6.1 里程碑节点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_Toc251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42D71FF">
          <w:pPr>
            <w:pStyle w:val="29"/>
            <w:tabs>
              <w:tab w:val="right" w:leader="dot" w:pos="9412"/>
            </w:tabs>
            <w:rPr>
              <w:rFonts w:hint="eastAsia" w:ascii="黑体" w:hAnsi="黑体" w:eastAsia="黑体" w:cs="黑体"/>
            </w:rPr>
          </w:pP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HYPERLINK \l _Toc24396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6.2 每日排期明细</w:t>
          </w:r>
          <w:r>
            <w:rPr>
              <w:rFonts w:hint="eastAsia" w:ascii="黑体" w:hAnsi="黑体" w:eastAsia="黑体" w:cs="黑体"/>
            </w:rPr>
            <w:tab/>
          </w:r>
          <w:r>
            <w:rPr>
              <w:rFonts w:hint="eastAsia" w:ascii="黑体" w:hAnsi="黑体" w:eastAsia="黑体" w:cs="黑体"/>
            </w:rPr>
            <w:fldChar w:fldCharType="begin"/>
          </w:r>
          <w:r>
            <w:rPr>
              <w:rFonts w:hint="eastAsia" w:ascii="黑体" w:hAnsi="黑体" w:eastAsia="黑体" w:cs="黑体"/>
            </w:rPr>
            <w:instrText xml:space="preserve"> PAGEREF _Toc24396 \h </w:instrText>
          </w:r>
          <w:r>
            <w:rPr>
              <w:rFonts w:hint="eastAsia" w:ascii="黑体" w:hAnsi="黑体" w:eastAsia="黑体" w:cs="黑体"/>
            </w:rPr>
            <w:fldChar w:fldCharType="separate"/>
          </w:r>
          <w:r>
            <w:rPr>
              <w:rFonts w:hint="eastAsia" w:ascii="黑体" w:hAnsi="黑体" w:eastAsia="黑体" w:cs="黑体"/>
            </w:rPr>
            <w:t>12</w:t>
          </w:r>
          <w:r>
            <w:rPr>
              <w:rFonts w:hint="eastAsia" w:ascii="黑体" w:hAnsi="黑体" w:eastAsia="黑体" w:cs="黑体"/>
            </w:rPr>
            <w:fldChar w:fldCharType="end"/>
          </w:r>
          <w:r>
            <w:rPr>
              <w:rFonts w:hint="eastAsia" w:ascii="黑体" w:hAnsi="黑体" w:eastAsia="黑体" w:cs="黑体"/>
            </w:rPr>
            <w:fldChar w:fldCharType="end"/>
          </w:r>
        </w:p>
        <w:p w14:paraId="7C5F97E0">
          <w:r>
            <w:rPr>
              <w:rFonts w:hint="eastAsia" w:ascii="黑体" w:hAnsi="黑体" w:eastAsia="黑体" w:cs="黑体"/>
            </w:rPr>
            <w:fldChar w:fldCharType="end"/>
          </w:r>
        </w:p>
      </w:sdtContent>
    </w:sdt>
    <w:p w14:paraId="7F8D215F"/>
    <w:p w14:paraId="247D00A4">
      <w:r>
        <w:br w:type="page"/>
      </w:r>
    </w:p>
    <w:p w14:paraId="1168832C">
      <w:pPr>
        <w:pStyle w:val="3"/>
        <w:keepNext/>
        <w:pageBreakBefore/>
        <w:numPr>
          <w:ilvl w:val="0"/>
          <w:numId w:val="7"/>
        </w:numPr>
        <w:rPr>
          <w:rFonts w:hint="eastAsia" w:ascii="黑体" w:hAnsi="黑体" w:eastAsia="黑体" w:cs="黑体"/>
        </w:rPr>
      </w:pPr>
      <w:bookmarkStart w:id="0" w:name="section_1"/>
      <w:bookmarkStart w:id="1" w:name="_Toc26712"/>
      <w:r>
        <w:rPr>
          <w:rFonts w:hint="eastAsia" w:ascii="黑体" w:hAnsi="黑体" w:eastAsia="黑体" w:cs="黑体"/>
        </w:rPr>
        <w:t>鑫宇宸H133硬件主板需求</w:t>
      </w:r>
      <w:bookmarkEnd w:id="0"/>
      <w:bookmarkEnd w:id="1"/>
    </w:p>
    <w:p w14:paraId="70AF75D9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2" w:name="_Toc24649"/>
      <w:bookmarkStart w:id="3" w:name="section_2"/>
      <w:r>
        <w:rPr>
          <w:rFonts w:hint="eastAsia" w:ascii="黑体" w:hAnsi="黑体" w:eastAsia="黑体" w:cs="黑体"/>
        </w:rPr>
        <w:t>H133主板与功放板通信要求</w:t>
      </w:r>
      <w:bookmarkEnd w:id="2"/>
    </w:p>
    <w:p w14:paraId="2C953D21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范围：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屏幕、触摸、I²S、DSP串口和按键；接口以原理图及实物板卡核对结果为准。</w:t>
      </w:r>
    </w:p>
    <w:p w14:paraId="1FD721E4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串口：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波特率1500000。协议中的“安卓”指H133主控侧。</w:t>
      </w:r>
    </w:p>
    <w:p w14:paraId="0C64B7BD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" w:name="_Toc25832"/>
      <w:r>
        <w:rPr>
          <w:rFonts w:hint="eastAsia" w:ascii="黑体" w:hAnsi="黑体" w:eastAsia="黑体" w:cs="黑体"/>
        </w:rPr>
        <w:t>DSP协议新增功能与确认事项</w:t>
      </w:r>
      <w:bookmarkEnd w:id="3"/>
      <w:bookmarkEnd w:id="4"/>
    </w:p>
    <w:p w14:paraId="37C7AFB8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调音台：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开机发送0xAA 0x55 0xE7 0xEF；DSP同帧回复后，再发送0xAA 0x55 0xE6 0xEF查询初始音量。</w:t>
      </w:r>
    </w:p>
    <w:p w14:paraId="6EC3FAB3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直播菜单：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音乐、话筒、吉他音量均为0～15，默认12；支持静音及有线接口话筒/吉他切换。具体界面交互另行确认。</w:t>
      </w:r>
    </w:p>
    <w:p w14:paraId="20F0EDF9">
      <w:pPr>
        <w:pStyle w:val="15"/>
        <w:spacing w:before="180" w:after="1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3"/>
          <w:sz w:val="21"/>
          <w:szCs w:val="21"/>
        </w:rPr>
        <w:t>表1  DSP协议待确认事项</w:t>
      </w:r>
    </w:p>
    <w:tbl>
      <w:tblPr>
        <w:tblStyle w:val="34"/>
        <w:tblW w:w="5000" w:type="pct"/>
        <w:jc w:val="center"/>
        <w:tblBorders>
          <w:top w:val="single" w:color="CDD7E0" w:sz="4" w:space="0"/>
          <w:left w:val="single" w:color="CDD7E0" w:sz="4" w:space="0"/>
          <w:bottom w:val="single" w:color="CDD7E0" w:sz="4" w:space="0"/>
          <w:right w:val="single" w:color="CDD7E0" w:sz="4" w:space="0"/>
          <w:insideH w:val="single" w:color="CDD7E0" w:sz="4" w:space="0"/>
          <w:insideV w:val="single" w:color="CDD7E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0"/>
        <w:gridCol w:w="6622"/>
      </w:tblGrid>
      <w:tr w14:paraId="68A03BB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520" w:hRule="atLeast"/>
          <w:tblHeader/>
          <w:jc w:val="center"/>
        </w:trPr>
        <w:tc>
          <w:tcPr>
            <w:tcW w:w="2800" w:type="dxa"/>
            <w:shd w:val="clear" w:color="auto" w:fill="1F4E78"/>
            <w:vAlign w:val="center"/>
          </w:tcPr>
          <w:p w14:paraId="2716DCD5">
            <w:pPr>
              <w:pStyle w:val="145"/>
              <w:spacing w:before="20" w:after="20" w:line="30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待确认事项</w:t>
            </w:r>
          </w:p>
        </w:tc>
        <w:tc>
          <w:tcPr>
            <w:tcW w:w="6200" w:type="dxa"/>
            <w:shd w:val="clear" w:color="auto" w:fill="1F4E78"/>
            <w:vAlign w:val="center"/>
          </w:tcPr>
          <w:p w14:paraId="3C9731E9">
            <w:pPr>
              <w:pStyle w:val="145"/>
              <w:spacing w:before="20" w:after="20" w:line="30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需要双方确认并形成的结论</w:t>
            </w:r>
          </w:p>
        </w:tc>
      </w:tr>
      <w:tr w14:paraId="2D6E81B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6F2FEAAE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调音台能力查询异常处理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4CC750D1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确认DSP是否提供明确的“不支持调音台”回复帧，并明确H133主控的等待时长、重试次数及无响应时的功能处理原则。</w:t>
            </w:r>
          </w:p>
        </w:tc>
      </w:tr>
      <w:tr w14:paraId="7BBE5E1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D96CCA9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调音台参数回报帧头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6A2F6FEC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协议第56～63行标注发送方为DSP，但帧头仍为0xA6；确认该帧头是否正确，或是否应使用DSP状态回报帧头0xA5，并形成最终帧格式。</w:t>
            </w:r>
          </w:p>
        </w:tc>
      </w:tr>
      <w:tr w14:paraId="70AEFF15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5C556FEA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直播菜单状态同步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5AB213D8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确认是否补充DSP应答、状态回报或初始化查询机制，并明确直播音乐、话筒及吉他音量默认值与实际状态的同步方式。</w:t>
            </w:r>
          </w:p>
        </w:tc>
      </w:tr>
    </w:tbl>
    <w:p w14:paraId="3EF4F4C4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I²S待确认：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主从关系、采样率、位宽、通道数、时钟极性和数据格式。</w:t>
      </w:r>
    </w:p>
    <w:p w14:paraId="01A15A75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音频联调：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分别验证麦克风输入、系统输出和DSP处理路径。</w:t>
      </w:r>
    </w:p>
    <w:p w14:paraId="628955BB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5" w:name="section_3"/>
      <w:bookmarkStart w:id="6" w:name="_Toc28968"/>
      <w:r>
        <w:rPr>
          <w:rFonts w:hint="eastAsia" w:ascii="黑体" w:hAnsi="黑体" w:eastAsia="黑体" w:cs="黑体"/>
        </w:rPr>
        <w:t>屏幕适配与主板结构资料</w:t>
      </w:r>
      <w:bookmarkEnd w:id="5"/>
      <w:bookmarkEnd w:id="6"/>
    </w:p>
    <w:p w14:paraId="790BE24B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适配顺序：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单路LVDS；先完成1280×800，再适配1366×768。1024×768不在本轮范围。</w:t>
      </w:r>
    </w:p>
    <w:p w14:paraId="17D9B05A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屏幕资料：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提供屏幕规格书及位宽、映射、完整时序参数。</w:t>
      </w:r>
    </w:p>
    <w:p w14:paraId="7602060F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7" w:name="_Toc8128"/>
      <w:bookmarkStart w:id="8" w:name="section_4"/>
      <w:r>
        <w:rPr>
          <w:rFonts w:hint="eastAsia" w:ascii="黑体" w:hAnsi="黑体" w:eastAsia="黑体" w:cs="黑体"/>
        </w:rPr>
        <w:t>触摸芯片与驱动适配</w:t>
      </w:r>
      <w:bookmarkEnd w:id="7"/>
      <w:bookmarkEnd w:id="8"/>
    </w:p>
    <w:p w14:paraId="493FCACD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触摸方案：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BL3676通过I²C通信，参考地址0x2C；实际引脚、地址和坐标配置以样机为准。</w:t>
      </w:r>
    </w:p>
    <w:p w14:paraId="3E0A6AD7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点击、滑动、边缘区域及显示坐标一致。</w:t>
      </w:r>
    </w:p>
    <w:p w14:paraId="029BF52E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9" w:name="section_5"/>
      <w:bookmarkStart w:id="10" w:name="_Toc29915"/>
      <w:r>
        <w:rPr>
          <w:rFonts w:hint="eastAsia" w:ascii="黑体" w:hAnsi="黑体" w:eastAsia="黑体" w:cs="黑体"/>
        </w:rPr>
        <w:t>按键采集及功能上报</w:t>
      </w:r>
      <w:bookmarkEnd w:id="9"/>
      <w:bookmarkEnd w:id="10"/>
    </w:p>
    <w:p w14:paraId="787946F4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采集方案：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1.8V ADC＋GPIO分组，最多10键；读取ADC时同步读取GPIO高低电平。</w:t>
      </w:r>
    </w:p>
    <w:p w14:paraId="11D62CB2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交付：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形成ADC范围、GPIO状态、物理按键和应用功能映射表，并验证遥控按键。</w:t>
      </w:r>
    </w:p>
    <w:p w14:paraId="51E83D3C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11" w:name="_Toc533"/>
      <w:bookmarkStart w:id="12" w:name="section_6"/>
      <w:r>
        <w:rPr>
          <w:rFonts w:hint="eastAsia" w:ascii="黑体" w:hAnsi="黑体" w:eastAsia="黑体" w:cs="黑体"/>
        </w:rPr>
        <w:t>电量、充电与关机交互</w:t>
      </w:r>
      <w:bookmarkEnd w:id="11"/>
    </w:p>
    <w:p w14:paraId="771CECCE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电量：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DSP上报关机、低电和一至五格电量；低电触发整机关机。</w:t>
      </w:r>
    </w:p>
    <w:p w14:paraId="10F7A037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充电与关机：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H133检测充电GPIO并显示闪电图标；关机控制口约3秒断电，具体时序双方确认。</w:t>
      </w:r>
    </w:p>
    <w:p w14:paraId="19C30743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13" w:name="_Toc26424"/>
      <w:r>
        <w:rPr>
          <w:rFonts w:hint="eastAsia" w:ascii="黑体" w:hAnsi="黑体" w:eastAsia="黑体" w:cs="黑体"/>
        </w:rPr>
        <w:t>联调供电与音频注意事项</w:t>
      </w:r>
      <w:bookmarkEnd w:id="12"/>
      <w:bookmarkEnd w:id="13"/>
    </w:p>
    <w:p w14:paraId="2EEE7E3E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供电：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12V/2A仅用于低音量、轻负载联调；整机及功放测试按硬件方案接入电池。</w:t>
      </w:r>
    </w:p>
    <w:p w14:paraId="5C1D4F85">
      <w:pPr>
        <w:pStyle w:val="3"/>
        <w:keepNext/>
        <w:pageBreakBefore/>
        <w:numPr>
          <w:ilvl w:val="0"/>
          <w:numId w:val="7"/>
        </w:numPr>
        <w:rPr>
          <w:rFonts w:hint="eastAsia" w:ascii="黑体" w:hAnsi="黑体" w:eastAsia="黑体" w:cs="黑体"/>
        </w:rPr>
      </w:pPr>
      <w:bookmarkStart w:id="14" w:name="section_7"/>
      <w:bookmarkEnd w:id="14"/>
      <w:bookmarkStart w:id="15" w:name="_Toc14855"/>
      <w:r>
        <w:rPr>
          <w:rFonts w:hint="eastAsia" w:ascii="黑体" w:hAnsi="黑体" w:eastAsia="黑体" w:cs="黑体"/>
        </w:rPr>
        <w:t>鑫宇宸 AIKTV-OS 软件定制</w:t>
      </w:r>
      <w:bookmarkEnd w:id="15"/>
    </w:p>
    <w:p w14:paraId="155F6930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16" w:name="_Toc225"/>
      <w:bookmarkStart w:id="17" w:name="section_8"/>
      <w:r>
        <w:rPr>
          <w:rFonts w:hint="eastAsia" w:ascii="黑体" w:hAnsi="黑体" w:eastAsia="黑体" w:cs="黑体"/>
        </w:rPr>
        <w:t>桌面及软件架构</w:t>
      </w:r>
      <w:bookmarkEnd w:id="16"/>
      <w:bookmarkEnd w:id="17"/>
    </w:p>
    <w:p w14:paraId="1C884C33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桌面：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按图1实现12个入口、状态显示和应用返回，目标分辨率1280×800。</w:t>
      </w:r>
    </w:p>
    <w:p w14:paraId="57A36AEA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入口顺序：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以图1为准；“音频输入”对应调音台。</w:t>
      </w:r>
    </w:p>
    <w:p w14:paraId="5E5174B9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18" w:name="section_9"/>
      <w:bookmarkStart w:id="19" w:name="_Toc23730"/>
      <w:r>
        <w:rPr>
          <w:rFonts w:hint="eastAsia" w:ascii="黑体" w:hAnsi="黑体" w:eastAsia="黑体" w:cs="黑体"/>
        </w:rPr>
        <w:t>已接入应用与内容平台</w:t>
      </w:r>
      <w:bookmarkEnd w:id="18"/>
      <w:bookmarkEnd w:id="19"/>
    </w:p>
    <w:p w14:paraId="404B4EDB">
      <w:pPr>
        <w:pStyle w:val="1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1F2933"/>
          <w:sz w:val="21"/>
          <w:szCs w:val="21"/>
        </w:rPr>
        <w:t>表2  桌面入口与对接平台</w:t>
      </w:r>
    </w:p>
    <w:tbl>
      <w:tblPr>
        <w:tblStyle w:val="34"/>
        <w:tblW w:w="5000" w:type="pct"/>
        <w:jc w:val="center"/>
        <w:tblBorders>
          <w:top w:val="single" w:color="CDD7E0" w:sz="4" w:space="0"/>
          <w:left w:val="single" w:color="CDD7E0" w:sz="4" w:space="0"/>
          <w:bottom w:val="single" w:color="CDD7E0" w:sz="4" w:space="0"/>
          <w:right w:val="single" w:color="CDD7E0" w:sz="4" w:space="0"/>
          <w:insideH w:val="single" w:color="CDD7E0" w:sz="4" w:space="0"/>
          <w:insideV w:val="single" w:color="CDD7E0" w:sz="4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2585"/>
        <w:gridCol w:w="7107"/>
      </w:tblGrid>
      <w:tr w14:paraId="44BECA36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520" w:hRule="atLeast"/>
          <w:tblHeader/>
          <w:jc w:val="center"/>
        </w:trPr>
        <w:tc>
          <w:tcPr>
            <w:tcW w:w="2400" w:type="dxa"/>
            <w:shd w:val="clear" w:color="auto" w:fill="1F4E78"/>
            <w:vAlign w:val="center"/>
          </w:tcPr>
          <w:p w14:paraId="2D1EFBA7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桌面入口</w:t>
            </w:r>
          </w:p>
        </w:tc>
        <w:tc>
          <w:tcPr>
            <w:tcW w:w="6600" w:type="dxa"/>
            <w:shd w:val="clear" w:color="auto" w:fill="1F4E78"/>
            <w:vAlign w:val="center"/>
          </w:tcPr>
          <w:p w14:paraId="0C9CB5A3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对接平台或功能</w:t>
            </w:r>
          </w:p>
        </w:tc>
      </w:tr>
      <w:tr w14:paraId="4ADDDB01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35A22CF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智能K歌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71B57C43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汇音K歌</w:t>
            </w:r>
            <w:bookmarkStart w:id="69" w:name="_GoBack"/>
            <w:bookmarkEnd w:id="69"/>
          </w:p>
        </w:tc>
      </w:tr>
      <w:tr w14:paraId="37A1D93E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47C726E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电视直播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166AA54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咪咕直播</w:t>
            </w:r>
          </w:p>
        </w:tc>
      </w:tr>
      <w:tr w14:paraId="53B3EA0B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22F01823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电影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260216E7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咪咕视频</w:t>
            </w:r>
          </w:p>
        </w:tc>
      </w:tr>
      <w:tr w14:paraId="09518A27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73525AF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网易云音乐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3DAB18C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网易云音乐独立应用</w:t>
            </w:r>
          </w:p>
        </w:tc>
      </w:tr>
      <w:tr w14:paraId="77F6F287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75A4C1A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广场舞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7E9B035F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爆米花</w:t>
            </w:r>
          </w:p>
        </w:tc>
      </w:tr>
      <w:tr w14:paraId="09F2B5AF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088A5A59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戏曲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1EC613D0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爆米花</w:t>
            </w:r>
          </w:p>
        </w:tc>
      </w:tr>
      <w:tr w14:paraId="70CE4E88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290215B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无线投屏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5110DD97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本机无线投屏</w:t>
            </w:r>
          </w:p>
        </w:tc>
      </w:tr>
      <w:tr w14:paraId="30986532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0DDE259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多媒体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612EAFC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本地视频</w:t>
            </w:r>
          </w:p>
        </w:tc>
      </w:tr>
      <w:tr w14:paraId="07DD140B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21EFF22F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网络收音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0A94CE0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服务商待确认</w:t>
            </w:r>
          </w:p>
        </w:tc>
      </w:tr>
      <w:tr w14:paraId="6AAF899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18279F4A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蓝牙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1C6EDA9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本机蓝牙播放</w:t>
            </w:r>
          </w:p>
        </w:tc>
      </w:tr>
      <w:tr w14:paraId="304328A0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2A8F2449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音频输入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5F7131F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调音台</w:t>
            </w:r>
          </w:p>
        </w:tc>
      </w:tr>
      <w:tr w14:paraId="53CF7194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400" w:type="dxa"/>
            <w:shd w:val="clear" w:color="auto" w:fill="EAF2F8"/>
            <w:vAlign w:val="center"/>
          </w:tcPr>
          <w:p w14:paraId="12E836A7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0"/>
                <w:szCs w:val="20"/>
              </w:rPr>
              <w:t>设置</w:t>
            </w:r>
          </w:p>
        </w:tc>
        <w:tc>
          <w:tcPr>
            <w:tcW w:w="6600" w:type="dxa"/>
            <w:shd w:val="clear" w:color="auto" w:fill="FFFFFF"/>
            <w:vAlign w:val="center"/>
          </w:tcPr>
          <w:p w14:paraId="7304961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0"/>
                <w:szCs w:val="20"/>
              </w:rPr>
              <w:t>本机设置</w:t>
            </w:r>
          </w:p>
        </w:tc>
      </w:tr>
    </w:tbl>
    <w:p w14:paraId="7C891F1E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20" w:name="section_10"/>
      <w:bookmarkStart w:id="21" w:name="_Toc11668"/>
      <w:r>
        <w:rPr>
          <w:rFonts w:hint="eastAsia" w:ascii="黑体" w:hAnsi="黑体" w:eastAsia="黑体" w:cs="黑体"/>
        </w:rPr>
        <w:t>待确认及未接入功能</w:t>
      </w:r>
      <w:bookmarkEnd w:id="20"/>
      <w:bookmarkEnd w:id="21"/>
    </w:p>
    <w:p w14:paraId="6C5B02AA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待确认：网络收音服务商及接入方式。网易云音乐已确认采用独立应用。</w:t>
      </w:r>
    </w:p>
    <w:p w14:paraId="9F97B2A0">
      <w:pPr>
        <w:spacing w:before="120" w:after="0"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975985" cy="3361055"/>
            <wp:effectExtent l="0" t="0" r="4445" b="8255"/>
            <wp:docPr id="5" name="Figure 2" descr="H133桌面入口与在线内容应用、本地系统模块以及待确认功能的映射关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2" descr="H133桌面入口与在线内容应用、本地系统模块以及待确认功能的映射关系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3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3DDF">
      <w:pPr>
        <w:pStyle w:val="1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图2  软件入口与实际模块映射</w:t>
      </w:r>
    </w:p>
    <w:p w14:paraId="1E390058">
      <w:pPr>
        <w:pStyle w:val="3"/>
        <w:keepNext/>
        <w:pageBreakBefore/>
        <w:numPr>
          <w:ilvl w:val="0"/>
          <w:numId w:val="7"/>
        </w:numPr>
        <w:rPr>
          <w:rFonts w:hint="eastAsia" w:ascii="黑体" w:hAnsi="黑体" w:eastAsia="黑体" w:cs="黑体"/>
        </w:rPr>
      </w:pPr>
      <w:bookmarkStart w:id="22" w:name="section_11"/>
      <w:bookmarkEnd w:id="22"/>
      <w:bookmarkStart w:id="23" w:name="_Toc28066"/>
      <w:r>
        <w:rPr>
          <w:rFonts w:hint="eastAsia" w:ascii="黑体" w:hAnsi="黑体" w:eastAsia="黑体" w:cs="黑体"/>
        </w:rPr>
        <w:t>秦简 AIKTV-OS 功能模块</w:t>
      </w:r>
      <w:bookmarkEnd w:id="23"/>
    </w:p>
    <w:p w14:paraId="0680BFB5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说明：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本章列出各入口的功能、对接条件和验收重点。</w:t>
      </w:r>
    </w:p>
    <w:p w14:paraId="06E67816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24" w:name="section_12"/>
      <w:bookmarkStart w:id="25" w:name="_Toc13901"/>
      <w:r>
        <w:rPr>
          <w:rFonts w:hint="eastAsia" w:ascii="黑体" w:hAnsi="黑体" w:eastAsia="黑体" w:cs="黑体"/>
        </w:rPr>
        <w:t>桌面系统</w:t>
      </w:r>
      <w:bookmarkEnd w:id="24"/>
      <w:bookmarkEnd w:id="25"/>
    </w:p>
    <w:p w14:paraId="7DEAF0FE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展示12个业务入口和系统状态，负责进入、返回及异常提示。</w:t>
      </w:r>
    </w:p>
    <w:p w14:paraId="7CC7F172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要求：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入口名称、顺序和位置按图1；应用切换不得叠音、黑屏或无法返回。</w:t>
      </w:r>
    </w:p>
    <w:p w14:paraId="65D9F4C2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核对入口、触摸区域、返回路径及顶部日期、时间和状态。</w:t>
      </w:r>
    </w:p>
    <w:p w14:paraId="A9956F9B">
      <w:pPr>
        <w:spacing w:before="120" w:after="0"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975985" cy="3361055"/>
            <wp:effectExtent l="0" t="0" r="4445" b="8255"/>
            <wp:docPr id="8" name="Figure 3" descr="用户经桌面启动子应用，子应用访问内容平台或DSP并协调媒体资源，退出后恢复桌面的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 3" descr="用户经桌面启动子应用，子应用访问内容平台或DSP并协调媒体资源，退出后恢复桌面的顺序。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3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6F7A916">
      <w:pPr>
        <w:pStyle w:val="1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图3  应用启动、运行与退出顺序</w:t>
      </w:r>
    </w:p>
    <w:p w14:paraId="5DBD3FCF">
      <w:pPr>
        <w:rPr>
          <w:rFonts w:hint="eastAsia" w:ascii="黑体" w:hAnsi="黑体" w:eastAsia="黑体" w:cs="黑体"/>
        </w:rPr>
      </w:pPr>
    </w:p>
    <w:p w14:paraId="7C2FE95E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26" w:name="_Toc7932"/>
      <w:bookmarkStart w:id="27" w:name="section_13"/>
      <w:r>
        <w:rPr>
          <w:rFonts w:hint="eastAsia" w:ascii="黑体" w:hAnsi="黑体" w:eastAsia="黑体" w:cs="黑体"/>
        </w:rPr>
        <w:t>智能K歌</w:t>
      </w:r>
      <w:bookmarkEnd w:id="26"/>
      <w:bookmarkEnd w:id="27"/>
    </w:p>
    <w:p w14:paraId="5EEED35D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功能：搜歌、点歌、播放、歌词及原唱/伴唱；对接汇音K歌。</w:t>
      </w:r>
    </w:p>
    <w:p w14:paraId="7531BFAF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确认最终平台、内容授权、设备激活、账号及接口资料。</w:t>
      </w:r>
    </w:p>
    <w:p w14:paraId="3A5D9C17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启动、联网、搜歌、点歌、播放、歌词、声音和退出返回。</w:t>
      </w:r>
    </w:p>
    <w:p w14:paraId="4C1CF1E5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28" w:name="_Toc17745"/>
      <w:bookmarkStart w:id="29" w:name="section_14"/>
      <w:r>
        <w:rPr>
          <w:rFonts w:hint="eastAsia" w:ascii="黑体" w:hAnsi="黑体" w:eastAsia="黑体" w:cs="黑体"/>
        </w:rPr>
        <w:t>电视直播</w:t>
      </w:r>
      <w:bookmarkEnd w:id="28"/>
      <w:bookmarkEnd w:id="29"/>
    </w:p>
    <w:p w14:paraId="28E454F1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对接咪咕直播，支持频道浏览、切换和播放。</w:t>
      </w:r>
    </w:p>
    <w:p w14:paraId="40B13206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正式账号、密钥、设备标识、授权、频道清单和播放格式。</w:t>
      </w:r>
    </w:p>
    <w:p w14:paraId="30BA37C3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频道加载、连续切台、异常提示、重试及退出返回。</w:t>
      </w:r>
    </w:p>
    <w:p w14:paraId="46ECE416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30" w:name="_Toc30684"/>
      <w:bookmarkStart w:id="31" w:name="section_15"/>
      <w:r>
        <w:rPr>
          <w:rFonts w:hint="eastAsia" w:ascii="黑体" w:hAnsi="黑体" w:eastAsia="黑体" w:cs="黑体"/>
        </w:rPr>
        <w:t>电影</w:t>
      </w:r>
      <w:bookmarkEnd w:id="30"/>
      <w:bookmarkEnd w:id="31"/>
    </w:p>
    <w:p w14:paraId="226E6B9D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对接咪咕视频，支持栏目、详情、选集和点播。</w:t>
      </w:r>
    </w:p>
    <w:p w14:paraId="08CF4162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正式应用标识、密钥、设备标识、内容授权及会员功能范围。</w:t>
      </w:r>
    </w:p>
    <w:p w14:paraId="0FE6D31A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栏目、详情、选集、播放及授权或网络异常提示。</w:t>
      </w:r>
    </w:p>
    <w:p w14:paraId="10040C9D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32" w:name="section_16"/>
      <w:bookmarkStart w:id="33" w:name="_Toc23436"/>
      <w:r>
        <w:rPr>
          <w:rFonts w:hint="eastAsia" w:ascii="黑体" w:hAnsi="黑体" w:eastAsia="黑体" w:cs="黑体"/>
        </w:rPr>
        <w:t>网易云音乐</w:t>
      </w:r>
      <w:bookmarkEnd w:id="32"/>
      <w:bookmarkEnd w:id="33"/>
    </w:p>
    <w:p w14:paraId="7A767CDB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独立桌面应用，支持登录、推荐、搜索、点播和歌词。</w:t>
      </w:r>
    </w:p>
    <w:p w14:paraId="58BF8A88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正式授权、应用及设备标识，并完成1280×800适配。</w:t>
      </w:r>
    </w:p>
    <w:p w14:paraId="707C83F5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启动、登录、搜索、播放、歌词、版权提示及退出返回。</w:t>
      </w:r>
    </w:p>
    <w:p w14:paraId="793F5C91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34" w:name="_Toc15032"/>
      <w:bookmarkStart w:id="35" w:name="section_17"/>
      <w:r>
        <w:rPr>
          <w:rFonts w:hint="eastAsia" w:ascii="黑体" w:hAnsi="黑体" w:eastAsia="黑体" w:cs="黑体"/>
        </w:rPr>
        <w:t>广场舞</w:t>
      </w:r>
      <w:bookmarkEnd w:id="34"/>
      <w:bookmarkEnd w:id="35"/>
    </w:p>
    <w:p w14:paraId="68AE678E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对接爆米花，支持分类浏览和视频播放。</w:t>
      </w:r>
    </w:p>
    <w:p w14:paraId="74622860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正式账号、设备配置、内容授权；入口直接进入广场舞栏目。</w:t>
      </w:r>
    </w:p>
    <w:p w14:paraId="56415280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栏目、列表、播放、返回及网络异常处理。</w:t>
      </w:r>
    </w:p>
    <w:p w14:paraId="33275BE3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36" w:name="section_18"/>
      <w:bookmarkStart w:id="37" w:name="_Toc18926"/>
      <w:r>
        <w:rPr>
          <w:rFonts w:hint="eastAsia" w:ascii="黑体" w:hAnsi="黑体" w:eastAsia="黑体" w:cs="黑体"/>
        </w:rPr>
        <w:t>戏曲</w:t>
      </w:r>
      <w:bookmarkEnd w:id="36"/>
      <w:bookmarkEnd w:id="37"/>
    </w:p>
    <w:p w14:paraId="3DA422E6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对接爆米花，支持剧种分类、内容浏览和播放。</w:t>
      </w:r>
    </w:p>
    <w:p w14:paraId="54ADBB06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正式账号、设备配置、内容授权；入口直接进入戏曲栏目。</w:t>
      </w:r>
    </w:p>
    <w:p w14:paraId="07A0D760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剧种、列表、播放、返回及网络异常处理。</w:t>
      </w:r>
    </w:p>
    <w:p w14:paraId="1CF4781E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38" w:name="section_19"/>
      <w:bookmarkStart w:id="39" w:name="_Toc29643"/>
      <w:r>
        <w:rPr>
          <w:rFonts w:hint="eastAsia" w:ascii="黑体" w:hAnsi="黑体" w:eastAsia="黑体" w:cs="黑体"/>
        </w:rPr>
        <w:t>无线投屏</w:t>
      </w:r>
      <w:bookmarkEnd w:id="38"/>
      <w:bookmarkEnd w:id="39"/>
    </w:p>
    <w:p w14:paraId="53791C69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提供手机等设备的无线投屏。</w:t>
      </w:r>
    </w:p>
    <w:p w14:paraId="43BF8627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形成Android、iOS及Miracast、DLNA等兼容清单。</w:t>
      </w:r>
    </w:p>
    <w:p w14:paraId="1DBB2FBB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发现、连接、画面、声音、断开重连和退出恢复。</w:t>
      </w:r>
    </w:p>
    <w:p w14:paraId="6185E688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0" w:name="section_20"/>
      <w:bookmarkStart w:id="41" w:name="_Toc5805"/>
      <w:r>
        <w:rPr>
          <w:rFonts w:hint="eastAsia" w:ascii="黑体" w:hAnsi="黑体" w:eastAsia="黑体" w:cs="黑体"/>
        </w:rPr>
        <w:t>多媒体</w:t>
      </w:r>
      <w:bookmarkEnd w:id="40"/>
      <w:bookmarkEnd w:id="41"/>
    </w:p>
    <w:p w14:paraId="7E2EF2AC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浏览并播放本地存储介质中的视频。</w:t>
      </w:r>
    </w:p>
    <w:p w14:paraId="468FFF68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确认存储介质、文件系统、容器、编码、分辨率和码率。</w:t>
      </w:r>
    </w:p>
    <w:p w14:paraId="677861C7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介质识别、中文文件名、播放控制、拔出及损坏文件提示。</w:t>
      </w:r>
    </w:p>
    <w:p w14:paraId="71AABF3D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2" w:name="section_21"/>
      <w:bookmarkStart w:id="43" w:name="_Toc6090"/>
      <w:r>
        <w:rPr>
          <w:rFonts w:hint="eastAsia" w:ascii="黑体" w:hAnsi="黑体" w:eastAsia="黑体" w:cs="黑体"/>
        </w:rPr>
        <w:t>网络收音</w:t>
      </w:r>
      <w:bookmarkEnd w:id="42"/>
      <w:bookmarkEnd w:id="43"/>
    </w:p>
    <w:p w14:paraId="52A9F8EC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状态：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入口保留，服务商和接入方式待确认，当前不计入完成功能。</w:t>
      </w:r>
    </w:p>
    <w:p w14:paraId="6C3A5623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确认服务商、授权、接口或SDK、频道范围和排期。</w:t>
      </w:r>
    </w:p>
    <w:p w14:paraId="09F71D3F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接入后验证频道、切台、退出及网络和鉴权异常。</w:t>
      </w:r>
    </w:p>
    <w:p w14:paraId="30326A34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4" w:name="section_22"/>
      <w:bookmarkStart w:id="45" w:name="_Toc13716"/>
      <w:r>
        <w:rPr>
          <w:rFonts w:hint="eastAsia" w:ascii="黑体" w:hAnsi="黑体" w:eastAsia="黑体" w:cs="黑体"/>
        </w:rPr>
        <w:t>蓝牙</w:t>
      </w:r>
      <w:bookmarkEnd w:id="44"/>
      <w:bookmarkEnd w:id="45"/>
    </w:p>
    <w:p w14:paraId="4509DE05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手机连接后播放音频，支持播放控制和状态显示。</w:t>
      </w:r>
    </w:p>
    <w:p w14:paraId="038AFE20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蓝牙名称、配对回连、DSP模式、状态帧、元数据和按键映射。</w:t>
      </w:r>
    </w:p>
    <w:p w14:paraId="28DB2955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连接状态、播放控制、元数据同步及音源切换。</w:t>
      </w:r>
    </w:p>
    <w:p w14:paraId="7F52CCF7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6" w:name="section_23"/>
      <w:bookmarkStart w:id="47" w:name="_Toc7554"/>
      <w:r>
        <w:rPr>
          <w:rFonts w:hint="eastAsia" w:ascii="黑体" w:hAnsi="黑体" w:eastAsia="黑体" w:cs="黑体"/>
        </w:rPr>
        <w:t>音频输入（调音台）</w:t>
      </w:r>
      <w:bookmarkEnd w:id="46"/>
      <w:bookmarkEnd w:id="47"/>
    </w:p>
    <w:p w14:paraId="1ADA99D5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“音频输入”对应调音台，调节音乐和话筒参数。</w:t>
      </w:r>
    </w:p>
    <w:p w14:paraId="4CB4906E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确认DSP指令、参数范围、初始化、状态回报、重试和保存策略。</w:t>
      </w:r>
    </w:p>
    <w:p w14:paraId="6F289CBC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入口、参数边界、声音效果、DSP回报和重启同步。</w:t>
      </w:r>
    </w:p>
    <w:p w14:paraId="6160617B">
      <w:pPr>
        <w:spacing w:before="120" w:after="0" w:line="240" w:lineRule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975985" cy="3361055"/>
            <wp:effectExtent l="0" t="0" r="4445" b="8255"/>
            <wp:docPr id="11" name="Figure 4" descr="用户点击音频输入入口后，桌面启动调音台，调音台查询和下发DSP参数并同步界面的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 4" descr="用户点击音频输入入口后，桌面启动调音台，调音台查询和下发DSP参数并同步界面的顺序。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5985" cy="33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F615">
      <w:pPr>
        <w:pStyle w:val="1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图4  “音频输入”入口与调音台DSP交互顺序</w:t>
      </w:r>
    </w:p>
    <w:p w14:paraId="71CD36C6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48" w:name="section_24"/>
      <w:bookmarkStart w:id="49" w:name="_Toc29638"/>
      <w:r>
        <w:rPr>
          <w:rFonts w:hint="eastAsia" w:ascii="黑体" w:hAnsi="黑体" w:eastAsia="黑体" w:cs="黑体"/>
        </w:rPr>
        <w:t>设置</w:t>
      </w:r>
      <w:bookmarkEnd w:id="48"/>
      <w:bookmarkEnd w:id="49"/>
    </w:p>
    <w:p w14:paraId="43E9F621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提供网络、声音、显示、应用和系统设置。</w:t>
      </w:r>
    </w:p>
    <w:p w14:paraId="37340596">
      <w:pPr>
        <w:keepNext/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对接：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确认DSP分工、参数范围、配置保存、恢复出厂和升级规则。</w:t>
      </w:r>
    </w:p>
    <w:p w14:paraId="680323E0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设置生效、状态刷新、掉电保存及升级失败恢复。</w:t>
      </w:r>
    </w:p>
    <w:p w14:paraId="00AC4FB6">
      <w:pPr>
        <w:rPr>
          <w:rFonts w:hint="eastAsia" w:ascii="黑体" w:hAnsi="黑体" w:eastAsia="黑体" w:cs="黑体"/>
        </w:rPr>
      </w:pPr>
    </w:p>
    <w:p w14:paraId="2A4AFAC2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50" w:name="section_25"/>
      <w:bookmarkStart w:id="51" w:name="_Toc4356"/>
      <w:r>
        <w:rPr>
          <w:rFonts w:hint="eastAsia" w:ascii="黑体" w:hAnsi="黑体" w:eastAsia="黑体" w:cs="黑体"/>
        </w:rPr>
        <w:t>顶部快捷功能与DSP参数同步</w:t>
      </w:r>
      <w:bookmarkEnd w:id="50"/>
      <w:bookmarkEnd w:id="51"/>
    </w:p>
    <w:p w14:paraId="671B330A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功能：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提供调音台、音量、Wi-Fi和电池快捷状态或入口。</w:t>
      </w:r>
    </w:p>
    <w:p w14:paraId="10032E92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协议：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开机查询调音台能力，支持后查询初始音量；异常处理见待确认表。</w:t>
      </w:r>
    </w:p>
    <w:p w14:paraId="42FEFC60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验收：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快捷入口、参数调节、DSP回报和桌面状态同步。</w:t>
      </w:r>
    </w:p>
    <w:p w14:paraId="17593717">
      <w:pPr>
        <w:pStyle w:val="3"/>
        <w:keepNext/>
        <w:pageBreakBefore/>
        <w:numPr>
          <w:ilvl w:val="0"/>
          <w:numId w:val="7"/>
        </w:numPr>
        <w:rPr>
          <w:rFonts w:hint="eastAsia" w:ascii="黑体" w:hAnsi="黑体" w:eastAsia="黑体" w:cs="黑体"/>
        </w:rPr>
      </w:pPr>
      <w:bookmarkStart w:id="52" w:name="_Toc15005"/>
      <w:bookmarkStart w:id="53" w:name="section_26"/>
      <w:r>
        <w:rPr>
          <w:rFonts w:hint="eastAsia" w:ascii="黑体" w:hAnsi="黑体" w:eastAsia="黑体" w:cs="黑体"/>
        </w:rPr>
        <w:t>鑫宇宸与秦简项目双方对接人</w:t>
      </w:r>
      <w:bookmarkEnd w:id="52"/>
      <w:bookmarkEnd w:id="53"/>
    </w:p>
    <w:p w14:paraId="421F9232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54" w:name="section_27"/>
      <w:bookmarkStart w:id="55" w:name="_Toc21896"/>
      <w:r>
        <w:rPr>
          <w:rFonts w:hint="eastAsia" w:ascii="黑体" w:hAnsi="黑体" w:eastAsia="黑体" w:cs="黑体"/>
        </w:rPr>
        <w:t>鑫宇宸方</w:t>
      </w:r>
      <w:bookmarkEnd w:id="54"/>
      <w:bookmarkEnd w:id="55"/>
    </w:p>
    <w:p w14:paraId="3E2C61AF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鑫宇宸：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补充项目、商务、技术及测试联系人。秦简人员见下表。</w:t>
      </w:r>
    </w:p>
    <w:p w14:paraId="0213E14B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56" w:name="_Toc10899"/>
      <w:bookmarkStart w:id="57" w:name="section_28"/>
      <w:r>
        <w:rPr>
          <w:rFonts w:hint="eastAsia" w:ascii="黑体" w:hAnsi="黑体" w:eastAsia="黑体" w:cs="黑体"/>
        </w:rPr>
        <w:t>秦简方及相关技术支持</w:t>
      </w:r>
      <w:bookmarkEnd w:id="56"/>
      <w:bookmarkEnd w:id="57"/>
    </w:p>
    <w:p w14:paraId="2F03F8F1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分工：</w:t>
      </w:r>
      <w:r>
        <w:rPr>
          <w:rFonts w:hint="eastAsia" w:ascii="黑体" w:hAnsi="黑体" w:eastAsia="黑体" w:cs="黑体"/>
          <w:b/>
          <w:bCs/>
          <w:color w:val="1F2933"/>
          <w:sz w:val="21"/>
          <w:szCs w:val="21"/>
        </w:rPr>
        <w:t>王建忠为项目总负责人并统筹，朱同斌任项目经理；AIKTV-OS 固件由夏宇、吴家豪共同负责（含硬件/驱动/DSP 协议）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；应用与测试责任人按项目计划确认。</w:t>
      </w:r>
    </w:p>
    <w:tbl>
      <w:tblPr>
        <w:tblStyle w:val="34"/>
        <w:tblW w:w="5000" w:type="pct"/>
        <w:jc w:val="center"/>
        <w:tblBorders>
          <w:top w:val="single" w:color="CDD7E0" w:sz="4" w:space="0"/>
          <w:left w:val="single" w:color="CDD7E0" w:sz="4" w:space="0"/>
          <w:bottom w:val="single" w:color="CDD7E0" w:sz="4" w:space="0"/>
          <w:right w:val="single" w:color="CDD7E0" w:sz="4" w:space="0"/>
          <w:insideH w:val="single" w:color="CDD7E0" w:sz="4" w:space="0"/>
          <w:insideV w:val="single" w:color="CDD7E0" w:sz="4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15"/>
        <w:gridCol w:w="6677"/>
      </w:tblGrid>
      <w:tr w14:paraId="528BD516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520" w:hRule="atLeast"/>
          <w:tblHeader/>
          <w:jc w:val="center"/>
        </w:trPr>
        <w:tc>
          <w:tcPr>
            <w:tcW w:w="2800" w:type="dxa"/>
            <w:shd w:val="clear" w:color="auto" w:fill="1F4E78"/>
            <w:vAlign w:val="center"/>
          </w:tcPr>
          <w:p w14:paraId="38F9B9A1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姓名/团队</w:t>
            </w:r>
          </w:p>
        </w:tc>
        <w:tc>
          <w:tcPr>
            <w:tcW w:w="6200" w:type="dxa"/>
            <w:shd w:val="clear" w:color="auto" w:fill="1F4E78"/>
            <w:vAlign w:val="center"/>
          </w:tcPr>
          <w:p w14:paraId="1544C42B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职责</w:t>
            </w:r>
          </w:p>
        </w:tc>
      </w:tr>
      <w:tr w14:paraId="271318E4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182DDA92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王建忠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C5ADCCF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项目总负责人</w:t>
            </w:r>
          </w:p>
        </w:tc>
      </w:tr>
      <w:tr w14:paraId="171AABEF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7452D72B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丁宁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0250C765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商务对接负责人</w:t>
            </w:r>
          </w:p>
        </w:tc>
      </w:tr>
      <w:tr w14:paraId="573E875D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75851F7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何伟康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E38D796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AIKTV云平台负责人</w:t>
            </w:r>
          </w:p>
        </w:tc>
      </w:tr>
      <w:tr w14:paraId="789D3F52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5D9FEB78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谭期方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59017FD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AIKTV应用开发</w:t>
            </w:r>
          </w:p>
        </w:tc>
      </w:tr>
      <w:tr w14:paraId="68EC9DCD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7417563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朱同斌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6DAB5B28">
            <w:pPr>
              <w:pStyle w:val="145"/>
              <w:spacing w:before="20" w:after="20" w:line="280" w:lineRule="atLeast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项目经理</w:t>
            </w: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  <w:lang w:val="en-US" w:eastAsia="zh-CN"/>
              </w:rPr>
              <w:t>AIKTV应用开发</w:t>
            </w:r>
          </w:p>
        </w:tc>
      </w:tr>
      <w:tr w14:paraId="4028ACF8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428F80E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夏宇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5A078E87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AIKTV-OS 固件负责人（硬件/驱动/DSP 技术支持）</w:t>
            </w:r>
          </w:p>
        </w:tc>
      </w:tr>
      <w:tr w14:paraId="4E6A319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5873953B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吴家豪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56A9EF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AIKTV-OS 固件负责人（与夏宇共同负责固件）</w:t>
            </w:r>
          </w:p>
        </w:tc>
      </w:tr>
      <w:tr w14:paraId="2C9AF7E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039FD053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张凌铠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681787C3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AIKTV应用开发</w:t>
            </w:r>
          </w:p>
        </w:tc>
      </w:tr>
      <w:tr w14:paraId="3FC8CE7A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2978380A">
            <w:pPr>
              <w:pStyle w:val="145"/>
              <w:spacing w:before="20" w:after="20" w:line="280" w:lineRule="atLeast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辛语涵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1A9D5400">
            <w:pPr>
              <w:pStyle w:val="145"/>
              <w:spacing w:before="20" w:after="20" w:line="280" w:lineRule="atLeast"/>
              <w:jc w:val="left"/>
              <w:rPr>
                <w:rFonts w:hint="default" w:ascii="黑体" w:hAnsi="黑体" w:eastAsia="黑体" w:cs="黑体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AIKTV固件和应用软件 测试经理</w:t>
            </w:r>
          </w:p>
        </w:tc>
      </w:tr>
    </w:tbl>
    <w:p w14:paraId="37FD8AD7">
      <w:pPr>
        <w:spacing w:after="0"/>
        <w:rPr>
          <w:rFonts w:hint="eastAsia" w:ascii="黑体" w:hAnsi="黑体" w:eastAsia="黑体" w:cs="黑体"/>
        </w:rPr>
      </w:pPr>
    </w:p>
    <w:p w14:paraId="3F0CC32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br w:type="page"/>
      </w:r>
    </w:p>
    <w:p w14:paraId="4590A437">
      <w:pPr>
        <w:pStyle w:val="3"/>
        <w:keepNext/>
        <w:pageBreakBefore/>
        <w:numPr>
          <w:ilvl w:val="0"/>
          <w:numId w:val="7"/>
        </w:numPr>
        <w:rPr>
          <w:rFonts w:hint="eastAsia" w:ascii="黑体" w:hAnsi="黑体" w:eastAsia="黑体" w:cs="黑体"/>
        </w:rPr>
      </w:pPr>
      <w:bookmarkStart w:id="58" w:name="_Toc13116"/>
      <w:bookmarkStart w:id="59" w:name="section_29"/>
      <w:r>
        <w:rPr>
          <w:rFonts w:hint="eastAsia" w:ascii="黑体" w:hAnsi="黑体" w:eastAsia="黑体" w:cs="黑体"/>
        </w:rPr>
        <w:t>资料、开发安排与待确认事项</w:t>
      </w:r>
      <w:bookmarkEnd w:id="58"/>
      <w:bookmarkEnd w:id="59"/>
    </w:p>
    <w:p w14:paraId="73D5DD2D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60" w:name="_Toc22100"/>
      <w:bookmarkStart w:id="61" w:name="section_30"/>
      <w:r>
        <w:rPr>
          <w:rFonts w:hint="eastAsia" w:ascii="黑体" w:hAnsi="黑体" w:eastAsia="黑体" w:cs="黑体"/>
        </w:rPr>
        <w:t>已接收资料</w:t>
      </w:r>
      <w:bookmarkEnd w:id="60"/>
      <w:bookmarkEnd w:id="61"/>
    </w:p>
    <w:tbl>
      <w:tblPr>
        <w:tblStyle w:val="34"/>
        <w:tblW w:w="5000" w:type="pct"/>
        <w:jc w:val="center"/>
        <w:tblBorders>
          <w:top w:val="single" w:color="CDD7E0" w:sz="4" w:space="0"/>
          <w:left w:val="single" w:color="CDD7E0" w:sz="4" w:space="0"/>
          <w:bottom w:val="single" w:color="CDD7E0" w:sz="4" w:space="0"/>
          <w:right w:val="single" w:color="CDD7E0" w:sz="4" w:space="0"/>
          <w:insideH w:val="single" w:color="CDD7E0" w:sz="4" w:space="0"/>
          <w:insideV w:val="single" w:color="CDD7E0" w:sz="4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3015"/>
        <w:gridCol w:w="6677"/>
      </w:tblGrid>
      <w:tr w14:paraId="5055CFA5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520" w:hRule="atLeast"/>
          <w:tblHeader/>
          <w:jc w:val="center"/>
        </w:trPr>
        <w:tc>
          <w:tcPr>
            <w:tcW w:w="2800" w:type="dxa"/>
            <w:shd w:val="clear" w:color="auto" w:fill="1F4E78"/>
            <w:vAlign w:val="center"/>
          </w:tcPr>
          <w:p w14:paraId="69A6D841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资料</w:t>
            </w:r>
          </w:p>
        </w:tc>
        <w:tc>
          <w:tcPr>
            <w:tcW w:w="6200" w:type="dxa"/>
            <w:shd w:val="clear" w:color="auto" w:fill="1F4E78"/>
            <w:vAlign w:val="center"/>
          </w:tcPr>
          <w:p w14:paraId="4852AC4E">
            <w:pPr>
              <w:pStyle w:val="145"/>
              <w:spacing w:before="20" w:after="20" w:line="28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本版使用范围</w:t>
            </w:r>
          </w:p>
        </w:tc>
      </w:tr>
      <w:tr w14:paraId="6AF2941E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6C9571C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最终确认桌面UI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39917679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12个应用入口、桌面布局及顶部状态区域</w:t>
            </w:r>
          </w:p>
        </w:tc>
      </w:tr>
      <w:tr w14:paraId="6458930C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1CA2F0C1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H133-K1原理图(1).pdf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4616AB4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主控、DSP串口、I²S、LVDS及触摸接口核对</w:t>
            </w:r>
          </w:p>
        </w:tc>
      </w:tr>
      <w:tr w14:paraId="0935C8BB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6E15F516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BL3676_datasheet中文_V1.1(1).pdf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374844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触摸芯片接口及适配资料</w:t>
            </w:r>
          </w:p>
        </w:tc>
      </w:tr>
      <w:tr w14:paraId="73E9A42C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DF5ADA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BL3676触摸驱动资料包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69E0C192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触摸驱动适配；项目固件待补充</w:t>
            </w:r>
          </w:p>
        </w:tc>
      </w:tr>
      <w:tr w14:paraId="2AB45B79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7BA83C84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H133芯片协议通讯_20260908.xls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179DFA0D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H133与1048/DSP通信定义；新增调音台能力查询及直播菜单控制</w:t>
            </w:r>
          </w:p>
        </w:tc>
      </w:tr>
      <w:tr w14:paraId="6762EBDE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cantSplit/>
          <w:trHeight w:val="46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4F7B41EE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双方项目人员表及会议纪要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2D6BC3A6">
            <w:pPr>
              <w:pStyle w:val="145"/>
              <w:spacing w:before="20" w:after="20" w:line="28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项目人员、职责、单路LVDS及屏幕适配顺序</w:t>
            </w:r>
          </w:p>
        </w:tc>
      </w:tr>
    </w:tbl>
    <w:p w14:paraId="53AFAE12">
      <w:pPr>
        <w:spacing w:after="0"/>
        <w:rPr>
          <w:rFonts w:hint="eastAsia" w:ascii="黑体" w:hAnsi="黑体" w:eastAsia="黑体" w:cs="黑体"/>
        </w:rPr>
      </w:pPr>
    </w:p>
    <w:p w14:paraId="5DFA5840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62" w:name="section_31"/>
      <w:bookmarkStart w:id="63" w:name="_Toc30857"/>
      <w:r>
        <w:rPr>
          <w:rFonts w:hint="eastAsia" w:ascii="黑体" w:hAnsi="黑体" w:eastAsia="黑体" w:cs="黑体"/>
        </w:rPr>
        <w:t>开发安排与交付衔接</w:t>
      </w:r>
      <w:bookmarkEnd w:id="62"/>
      <w:bookmarkEnd w:id="63"/>
    </w:p>
    <w:p w14:paraId="370CDAAE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计划：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本周完成具备条件的软硬件开发，下周集中联调；依赖授权或外部接口的功能另行排期。</w:t>
      </w:r>
    </w:p>
    <w:p w14:paraId="385258FC">
      <w:pPr>
        <w:widowControl/>
        <w:spacing w:before="20" w:after="80" w:line="320" w:lineRule="atLeas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1F4E78"/>
          <w:sz w:val="21"/>
          <w:szCs w:val="21"/>
        </w:rPr>
        <w:t>交付记录：</w:t>
      </w:r>
      <w:r>
        <w:rPr>
          <w:rFonts w:hint="eastAsia" w:ascii="黑体" w:hAnsi="黑体" w:eastAsia="黑体" w:cs="黑体"/>
          <w:color w:val="1F2933"/>
          <w:sz w:val="21"/>
          <w:szCs w:val="21"/>
        </w:rPr>
        <w:t>UI截图、演示视频、固件与样机版本、应用对应表、接口配置、测试结果和问题清单。</w:t>
      </w:r>
    </w:p>
    <w:p w14:paraId="20EB29CD">
      <w:pPr>
        <w:pStyle w:val="4"/>
        <w:numPr>
          <w:ilvl w:val="1"/>
          <w:numId w:val="7"/>
        </w:numPr>
        <w:rPr>
          <w:rFonts w:hint="eastAsia" w:ascii="黑体" w:hAnsi="黑体" w:eastAsia="黑体" w:cs="黑体"/>
        </w:rPr>
      </w:pPr>
      <w:bookmarkStart w:id="64" w:name="section_32"/>
      <w:bookmarkStart w:id="65" w:name="_Toc26465"/>
      <w:r>
        <w:rPr>
          <w:rFonts w:hint="eastAsia" w:ascii="黑体" w:hAnsi="黑体" w:eastAsia="黑体" w:cs="黑体"/>
        </w:rPr>
        <w:t>优先待确认清单</w:t>
      </w:r>
      <w:bookmarkEnd w:id="64"/>
      <w:bookmarkEnd w:id="65"/>
    </w:p>
    <w:tbl>
      <w:tblPr>
        <w:tblStyle w:val="34"/>
        <w:tblW w:w="5000" w:type="pct"/>
        <w:jc w:val="center"/>
        <w:tblBorders>
          <w:top w:val="single" w:color="CDD7E0" w:sz="4" w:space="0"/>
          <w:left w:val="single" w:color="CDD7E0" w:sz="4" w:space="0"/>
          <w:bottom w:val="single" w:color="CDD7E0" w:sz="4" w:space="0"/>
          <w:right w:val="single" w:color="CDD7E0" w:sz="4" w:space="0"/>
          <w:insideH w:val="single" w:color="CDD7E0" w:sz="4" w:space="0"/>
          <w:insideV w:val="single" w:color="CDD7E0" w:sz="4" w:space="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0"/>
        <w:gridCol w:w="6622"/>
      </w:tblGrid>
      <w:tr w14:paraId="707178E8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520" w:hRule="atLeast"/>
          <w:tblHeader/>
          <w:jc w:val="center"/>
        </w:trPr>
        <w:tc>
          <w:tcPr>
            <w:tcW w:w="2800" w:type="dxa"/>
            <w:shd w:val="clear" w:color="auto" w:fill="1F4E78"/>
            <w:vAlign w:val="center"/>
          </w:tcPr>
          <w:p w14:paraId="5C228CBD">
            <w:pPr>
              <w:pStyle w:val="145"/>
              <w:spacing w:before="20" w:after="20" w:line="30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事项</w:t>
            </w:r>
          </w:p>
        </w:tc>
        <w:tc>
          <w:tcPr>
            <w:tcW w:w="6200" w:type="dxa"/>
            <w:shd w:val="clear" w:color="auto" w:fill="1F4E78"/>
            <w:vAlign w:val="center"/>
          </w:tcPr>
          <w:p w14:paraId="6A94FAD8">
            <w:pPr>
              <w:pStyle w:val="145"/>
              <w:spacing w:before="20" w:after="20" w:line="300" w:lineRule="atLeast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FFFFFF"/>
                <w:sz w:val="22"/>
                <w:szCs w:val="22"/>
              </w:rPr>
              <w:t>需要形成的结果</w:t>
            </w:r>
          </w:p>
        </w:tc>
      </w:tr>
      <w:tr w14:paraId="6FA3700F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55E85CD6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屏幕资料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06B620C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1280×800屏规格书、LVDS位宽/映射及完整时序参数；首阶段完成1280×800，随后适配1366×768</w:t>
            </w:r>
          </w:p>
        </w:tc>
      </w:tr>
      <w:tr w14:paraId="460352CB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03871265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触摸项目固件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F8B20B7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与屏体匹配的固件及可用于当前板卡的配置</w:t>
            </w:r>
          </w:p>
        </w:tc>
      </w:tr>
      <w:tr w14:paraId="05C33AE3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5B17284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I²S参数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331BC9D3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主从、采样率、位宽及输入输出路径说明</w:t>
            </w:r>
          </w:p>
        </w:tc>
      </w:tr>
      <w:tr w14:paraId="4487F7ED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3A60970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DSP协议疑点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2FA78B2D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调音台能力查询、参数回报帧头及直播菜单状态同步，详见表1。</w:t>
            </w:r>
          </w:p>
        </w:tc>
      </w:tr>
      <w:tr w14:paraId="6D907541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ABC308D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按键映射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402DAA4F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1.8V ADC范围＋GPIO高低状态＋最多10个物理按键＋应用功能＋必要串口编号；补充遥控按键验证</w:t>
            </w:r>
          </w:p>
        </w:tc>
      </w:tr>
      <w:tr w14:paraId="49BE4702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636653A1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应用及平台对接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340CB799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智能K歌：汇音K歌；电视直播：咪咕直播；电影：咪咕视频；网易云音乐：网易云音乐；广场舞/戏曲：爆米花；多媒体：本地视频</w:t>
            </w:r>
          </w:p>
        </w:tc>
      </w:tr>
      <w:tr w14:paraId="332584F2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65B2BA69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网络收音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37BF509E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当前未接入；确认服务商、接口或SDK、授权、频道范围、责任人、开发排期及验收标准</w:t>
            </w:r>
          </w:p>
        </w:tc>
      </w:tr>
      <w:tr w14:paraId="2547C76A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354750DF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桌面入口与交付范围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54C40A71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图1的12个入口名称、数量和位置已确认；各入口进入对应业务功能，其中“音频输入”对应调音台；明确网络收音服务商及交付版本</w:t>
            </w:r>
          </w:p>
        </w:tc>
      </w:tr>
      <w:tr w14:paraId="5B515F0A">
        <w:tblPrEx>
          <w:tblBorders>
            <w:top w:val="single" w:color="CDD7E0" w:sz="4" w:space="0"/>
            <w:left w:val="single" w:color="CDD7E0" w:sz="4" w:space="0"/>
            <w:bottom w:val="single" w:color="CDD7E0" w:sz="4" w:space="0"/>
            <w:right w:val="single" w:color="CDD7E0" w:sz="4" w:space="0"/>
            <w:insideH w:val="single" w:color="CDD7E0" w:sz="4" w:space="0"/>
            <w:insideV w:val="single" w:color="CDD7E0" w:sz="4" w:space="0"/>
          </w:tblBorders>
          <w:tblCellMar>
            <w:top w:w="80" w:type="dxa"/>
            <w:left w:w="100" w:type="dxa"/>
            <w:bottom w:w="80" w:type="dxa"/>
            <w:right w:w="100" w:type="dxa"/>
          </w:tblCellMar>
        </w:tblPrEx>
        <w:trPr>
          <w:cantSplit/>
          <w:trHeight w:val="700" w:hRule="atLeast"/>
          <w:jc w:val="center"/>
        </w:trPr>
        <w:tc>
          <w:tcPr>
            <w:tcW w:w="2800" w:type="dxa"/>
            <w:shd w:val="clear" w:color="auto" w:fill="EAF2F8"/>
            <w:vAlign w:val="center"/>
          </w:tcPr>
          <w:p w14:paraId="7D1AE281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1F2933"/>
                <w:sz w:val="21"/>
                <w:szCs w:val="21"/>
              </w:rPr>
              <w:t>联调供电</w:t>
            </w:r>
          </w:p>
        </w:tc>
        <w:tc>
          <w:tcPr>
            <w:tcW w:w="6200" w:type="dxa"/>
            <w:shd w:val="clear" w:color="auto" w:fill="FFFFFF"/>
            <w:vAlign w:val="center"/>
          </w:tcPr>
          <w:p w14:paraId="71A9D2F5">
            <w:pPr>
              <w:pStyle w:val="145"/>
              <w:spacing w:before="20" w:after="20" w:line="300" w:lineRule="atLeast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color w:val="1F2933"/>
                <w:sz w:val="21"/>
                <w:szCs w:val="21"/>
              </w:rPr>
              <w:t>12V/2A仅用于低音量轻负载联调；整机正常运行和功放负载测试按硬件方案接入电池</w:t>
            </w:r>
          </w:p>
        </w:tc>
      </w:tr>
    </w:tbl>
    <w:p w14:paraId="7055FCE4">
      <w:pPr>
        <w:keepNext/>
        <w:keepLines/>
        <w:spacing w:before="100" w:beforeAutospacing="1" w:after="100" w:afterAutospacing="1"/>
        <w:outlineLvl w:val="0"/>
        <w:rPr>
          <w:rFonts w:hint="eastAsia" w:ascii="黑体" w:hAnsi="黑体" w:eastAsia="黑体" w:cs="黑体"/>
          <w:sz w:val="32"/>
          <w:szCs w:val="32"/>
        </w:rPr>
      </w:pPr>
      <w:bookmarkStart w:id="66" w:name="_Toc29345"/>
      <w:r>
        <w:rPr>
          <w:rFonts w:hint="eastAsia" w:ascii="黑体" w:hAnsi="黑体" w:eastAsia="黑体" w:cs="黑体"/>
          <w:b/>
          <w:sz w:val="32"/>
        </w:rPr>
        <w:t>6 开发时间计划（2026-09-08 → 09-15）</w:t>
      </w:r>
      <w:bookmarkEnd w:id="66"/>
    </w:p>
    <w:p w14:paraId="1F90D275">
      <w:pPr>
        <w:keepNext/>
        <w:keepLines/>
        <w:spacing w:before="100" w:beforeAutospacing="1" w:after="100" w:afterAutospacing="1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67" w:name="_Toc251"/>
      <w:r>
        <w:rPr>
          <w:rFonts w:hint="eastAsia" w:ascii="黑体" w:hAnsi="黑体" w:eastAsia="黑体" w:cs="黑体"/>
          <w:b/>
          <w:sz w:val="32"/>
        </w:rPr>
        <w:t>6.1 里程碑节点</w:t>
      </w:r>
      <w:bookmarkEnd w:id="67"/>
    </w:p>
    <w:tbl>
      <w:tblPr>
        <w:tblStyle w:val="3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 w14:paraId="40C9C21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76" w:type="dxa"/>
          </w:tcPr>
          <w:p w14:paraId="368E1BCB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里程碑</w:t>
            </w:r>
          </w:p>
        </w:tc>
        <w:tc>
          <w:tcPr>
            <w:tcW w:w="2076" w:type="dxa"/>
          </w:tcPr>
          <w:p w14:paraId="4B3FC3CC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时间节点</w:t>
            </w:r>
          </w:p>
        </w:tc>
        <w:tc>
          <w:tcPr>
            <w:tcW w:w="2076" w:type="dxa"/>
          </w:tcPr>
          <w:p w14:paraId="006C624D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交付内容</w:t>
            </w:r>
          </w:p>
        </w:tc>
        <w:tc>
          <w:tcPr>
            <w:tcW w:w="2076" w:type="dxa"/>
          </w:tcPr>
          <w:p w14:paraId="4DF070A6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完成判据（可观测）</w:t>
            </w:r>
          </w:p>
        </w:tc>
      </w:tr>
      <w:tr w14:paraId="217DA3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22BBA48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M1 中间可测版（屏+触摸+I²S 打通）</w:t>
            </w:r>
          </w:p>
        </w:tc>
        <w:tc>
          <w:tcPr>
            <w:tcW w:w="2076" w:type="dxa"/>
          </w:tcPr>
          <w:p w14:paraId="050227A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</w:rPr>
              <w:t>9/11（周五）前，力争更早</w:t>
            </w:r>
          </w:p>
        </w:tc>
        <w:tc>
          <w:tcPr>
            <w:tcW w:w="2076" w:type="dxa"/>
          </w:tcPr>
          <w:p w14:paraId="02EED1E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屏幕点亮 → 触摸可点 → I²S 出声，形成最小可测整机链路，</w:t>
            </w:r>
            <w:r>
              <w:rPr>
                <w:rFonts w:hint="eastAsia" w:ascii="黑体" w:hAnsi="黑体" w:eastAsia="黑体" w:cs="黑体"/>
                <w:b/>
              </w:rPr>
              <w:t>测试先行</w:t>
            </w:r>
          </w:p>
        </w:tc>
        <w:tc>
          <w:tcPr>
            <w:tcW w:w="2076" w:type="dxa"/>
          </w:tcPr>
          <w:p w14:paraId="40E3B01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① 1280×800 点亮 ② 触摸坐标与显示一致 ③ 首次稳定出声</w:t>
            </w:r>
          </w:p>
        </w:tc>
      </w:tr>
      <w:tr w14:paraId="26BB647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0F5902A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M2 主线集成版</w:t>
            </w:r>
          </w:p>
        </w:tc>
        <w:tc>
          <w:tcPr>
            <w:tcW w:w="2076" w:type="dxa"/>
          </w:tcPr>
          <w:p w14:paraId="446759C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</w:rPr>
              <w:t>9/14（周一）（9/13 周日休息顺延）</w:t>
            </w:r>
          </w:p>
        </w:tc>
        <w:tc>
          <w:tcPr>
            <w:tcW w:w="2076" w:type="dxa"/>
          </w:tcPr>
          <w:p w14:paraId="17F47E9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+ DSP 串口（1500000）→ + 按键/遥控 → 桌面 12 入口及应用进出</w:t>
            </w:r>
          </w:p>
        </w:tc>
        <w:tc>
          <w:tcPr>
            <w:tcW w:w="2076" w:type="dxa"/>
          </w:tcPr>
          <w:p w14:paraId="7586F4D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① DSP 串口往返通 ② 按键可触发 ③ 12 入口进出无死机/叠音</w:t>
            </w:r>
          </w:p>
        </w:tc>
      </w:tr>
      <w:tr w14:paraId="4A60CE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76" w:type="dxa"/>
          </w:tcPr>
          <w:p w14:paraId="6590235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M3 交付版</w:t>
            </w:r>
          </w:p>
        </w:tc>
        <w:tc>
          <w:tcPr>
            <w:tcW w:w="2076" w:type="dxa"/>
          </w:tcPr>
          <w:p w14:paraId="6CC6F86C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</w:rPr>
              <w:t>9/15（周二）硬截止</w:t>
            </w:r>
          </w:p>
        </w:tc>
        <w:tc>
          <w:tcPr>
            <w:tcW w:w="2076" w:type="dxa"/>
          </w:tcPr>
          <w:p w14:paraId="273CBC9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联调收敛：切换防叠音回归 + 调音台-DSP 同步 + 稳定性 + 交付归档</w:t>
            </w:r>
          </w:p>
        </w:tc>
        <w:tc>
          <w:tcPr>
            <w:tcW w:w="2076" w:type="dxa"/>
          </w:tcPr>
          <w:p w14:paraId="5806356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① 反复切换无叠音/黑屏/卡死 ② 调音台与 DSP 实际状态一致 ③ 交付件收齐</w:t>
            </w:r>
          </w:p>
        </w:tc>
      </w:tr>
    </w:tbl>
    <w:p w14:paraId="6105D590">
      <w:pPr>
        <w:keepNext/>
        <w:keepLines/>
        <w:spacing w:before="100" w:beforeAutospacing="1" w:after="100" w:afterAutospacing="1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68" w:name="_Toc24396"/>
      <w:r>
        <w:rPr>
          <w:rFonts w:hint="eastAsia" w:ascii="黑体" w:hAnsi="黑体" w:eastAsia="黑体" w:cs="黑体"/>
          <w:b/>
          <w:sz w:val="32"/>
        </w:rPr>
        <w:t>6.2 每日排期明细</w:t>
      </w:r>
      <w:bookmarkEnd w:id="68"/>
    </w:p>
    <w:tbl>
      <w:tblPr>
        <w:tblStyle w:val="34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7D59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61" w:type="dxa"/>
          </w:tcPr>
          <w:p w14:paraId="78E2628E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日期</w:t>
            </w:r>
          </w:p>
        </w:tc>
        <w:tc>
          <w:tcPr>
            <w:tcW w:w="1661" w:type="dxa"/>
          </w:tcPr>
          <w:p w14:paraId="55823D3F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日</w:t>
            </w:r>
          </w:p>
        </w:tc>
        <w:tc>
          <w:tcPr>
            <w:tcW w:w="1661" w:type="dxa"/>
          </w:tcPr>
          <w:p w14:paraId="5635E42F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A 轨：硬件/驱动/固件（AIKTV-OS 固件：夏宇、吴家豪）</w:t>
            </w:r>
          </w:p>
        </w:tc>
        <w:tc>
          <w:tcPr>
            <w:tcW w:w="1661" w:type="dxa"/>
          </w:tcPr>
          <w:p w14:paraId="0D7011B3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B 轨：软件/桌面/应用（AIKTV 团队）</w:t>
            </w:r>
          </w:p>
        </w:tc>
        <w:tc>
          <w:tcPr>
            <w:tcW w:w="1661" w:type="dxa"/>
          </w:tcPr>
          <w:p w14:paraId="43C7355D">
            <w:pPr>
              <w:rPr>
                <w:rFonts w:hint="eastAsia" w:ascii="黑体" w:hAnsi="黑体" w:eastAsia="黑体" w:cs="黑体"/>
                <w:b/>
                <w:bCs/>
              </w:rPr>
            </w:pPr>
            <w:r>
              <w:rPr>
                <w:rFonts w:hint="eastAsia" w:ascii="黑体" w:hAnsi="黑体" w:eastAsia="黑体" w:cs="黑体"/>
                <w:b/>
              </w:rPr>
              <w:t>卡点提醒</w:t>
            </w:r>
          </w:p>
        </w:tc>
      </w:tr>
      <w:tr w14:paraId="5E697E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70394F2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9/8 周二</w:t>
            </w:r>
          </w:p>
        </w:tc>
        <w:tc>
          <w:tcPr>
            <w:tcW w:w="1661" w:type="dxa"/>
          </w:tcPr>
          <w:p w14:paraId="4B1DCF1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D1</w:t>
            </w:r>
          </w:p>
        </w:tc>
        <w:tc>
          <w:tcPr>
            <w:tcW w:w="1661" w:type="dxa"/>
          </w:tcPr>
          <w:p w14:paraId="126AD0A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资料核对（原理图 vs 板卡）；建环境；LVDS 参数落地</w:t>
            </w:r>
          </w:p>
        </w:tc>
        <w:tc>
          <w:tcPr>
            <w:tcW w:w="1661" w:type="dxa"/>
          </w:tcPr>
          <w:p w14:paraId="6FF9314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桌面框架；12 入口占位路由；顶部状态</w:t>
            </w:r>
          </w:p>
        </w:tc>
        <w:tc>
          <w:tcPr>
            <w:tcW w:w="1661" w:type="dxa"/>
          </w:tcPr>
          <w:p w14:paraId="7947ECB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屏规格书未到→卡点亮</w:t>
            </w:r>
          </w:p>
        </w:tc>
      </w:tr>
      <w:tr w14:paraId="07FD33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95F3320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9/9 周三</w:t>
            </w:r>
          </w:p>
        </w:tc>
        <w:tc>
          <w:tcPr>
            <w:tcW w:w="1661" w:type="dxa"/>
          </w:tcPr>
          <w:p w14:paraId="607EC3E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D2</w:t>
            </w:r>
          </w:p>
        </w:tc>
        <w:tc>
          <w:tcPr>
            <w:tcW w:w="1661" w:type="dxa"/>
          </w:tcPr>
          <w:p w14:paraId="54BB5D0A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LVDS 屏点亮（1280×800）+ 校准</w:t>
            </w:r>
          </w:p>
        </w:tc>
        <w:tc>
          <w:tcPr>
            <w:tcW w:w="1661" w:type="dxa"/>
          </w:tcPr>
          <w:p w14:paraId="38349D6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桌面首个可显示版；点击事件壳</w:t>
            </w:r>
          </w:p>
        </w:tc>
        <w:tc>
          <w:tcPr>
            <w:tcW w:w="1661" w:type="dxa"/>
          </w:tcPr>
          <w:p w14:paraId="06D9FF3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屏幕驱动为第一硬依赖</w:t>
            </w:r>
          </w:p>
        </w:tc>
      </w:tr>
      <w:tr w14:paraId="2D57B68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50D4EF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9/10 周四</w:t>
            </w:r>
          </w:p>
        </w:tc>
        <w:tc>
          <w:tcPr>
            <w:tcW w:w="1661" w:type="dxa"/>
          </w:tcPr>
          <w:p w14:paraId="29E72FD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D3</w:t>
            </w:r>
          </w:p>
        </w:tc>
        <w:tc>
          <w:tcPr>
            <w:tcW w:w="1661" w:type="dxa"/>
          </w:tcPr>
          <w:p w14:paraId="547591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触摸 BL3676 接入（I²C 0x2C/复位/坐标）</w:t>
            </w:r>
          </w:p>
        </w:tc>
        <w:tc>
          <w:tcPr>
            <w:tcW w:w="1661" w:type="dxa"/>
          </w:tcPr>
          <w:p w14:paraId="19CB721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触摸→入口联动；点击进应用</w:t>
            </w:r>
          </w:p>
        </w:tc>
        <w:tc>
          <w:tcPr>
            <w:tcW w:w="1661" w:type="dxa"/>
          </w:tcPr>
          <w:p w14:paraId="50D92BB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触摸固件未到→按 datasheet 裸调</w:t>
            </w:r>
          </w:p>
        </w:tc>
      </w:tr>
      <w:tr w14:paraId="3EE6226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2EE5AC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9/11 周五</w:t>
            </w:r>
          </w:p>
        </w:tc>
        <w:tc>
          <w:tcPr>
            <w:tcW w:w="1661" w:type="dxa"/>
          </w:tcPr>
          <w:p w14:paraId="7BCEF8C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D4</w:t>
            </w:r>
          </w:p>
        </w:tc>
        <w:tc>
          <w:tcPr>
            <w:tcW w:w="1661" w:type="dxa"/>
          </w:tcPr>
          <w:p w14:paraId="5CD58C8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★M1：I²S 打通 + 首次出声（屏+触摸+I²S 可测链）</w:t>
            </w:r>
          </w:p>
        </w:tc>
        <w:tc>
          <w:tcPr>
            <w:tcW w:w="1661" w:type="dxa"/>
          </w:tcPr>
          <w:p w14:paraId="67B49F91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配合 M1；应用出声验证</w:t>
            </w:r>
          </w:p>
        </w:tc>
        <w:tc>
          <w:tcPr>
            <w:tcW w:w="1661" w:type="dxa"/>
          </w:tcPr>
          <w:p w14:paraId="65F008E9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12V/2A 轻载，音量勿拉满</w:t>
            </w:r>
          </w:p>
        </w:tc>
      </w:tr>
      <w:tr w14:paraId="587F12A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0CF039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9/12 周六（加班）</w:t>
            </w:r>
          </w:p>
        </w:tc>
        <w:tc>
          <w:tcPr>
            <w:tcW w:w="1661" w:type="dxa"/>
          </w:tcPr>
          <w:p w14:paraId="05D499C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D5</w:t>
            </w:r>
          </w:p>
        </w:tc>
        <w:tc>
          <w:tcPr>
            <w:tcW w:w="1661" w:type="dxa"/>
          </w:tcPr>
          <w:p w14:paraId="0ECB521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DSP 串口（1500000）打通；调音台指令往返；按键（ADC+GPIO）接入，抢做 M2 前置</w:t>
            </w:r>
          </w:p>
        </w:tc>
        <w:tc>
          <w:tcPr>
            <w:tcW w:w="1661" w:type="dxa"/>
          </w:tcPr>
          <w:p w14:paraId="483C8DB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12 入口主要应用接入；进出/返回</w:t>
            </w:r>
          </w:p>
        </w:tc>
        <w:tc>
          <w:tcPr>
            <w:tcW w:w="1661" w:type="dxa"/>
          </w:tcPr>
          <w:p w14:paraId="089E6F66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DSP 疑点 9/10 前抛给硬件方；按键映射表须 9/12 前定稿</w:t>
            </w:r>
          </w:p>
        </w:tc>
      </w:tr>
      <w:tr w14:paraId="0B2290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5AA97E0D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9/13 周日</w:t>
            </w:r>
          </w:p>
        </w:tc>
        <w:tc>
          <w:tcPr>
            <w:tcW w:w="1661" w:type="dxa"/>
          </w:tcPr>
          <w:p w14:paraId="31F580BE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休</w:t>
            </w:r>
          </w:p>
        </w:tc>
        <w:tc>
          <w:tcPr>
            <w:tcW w:w="1661" w:type="dxa"/>
          </w:tcPr>
          <w:p w14:paraId="4390359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休息（周末单休）</w:t>
            </w:r>
          </w:p>
        </w:tc>
        <w:tc>
          <w:tcPr>
            <w:tcW w:w="1661" w:type="dxa"/>
          </w:tcPr>
          <w:p w14:paraId="392CF9F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—</w:t>
            </w:r>
          </w:p>
        </w:tc>
        <w:tc>
          <w:tcPr>
            <w:tcW w:w="1661" w:type="dxa"/>
          </w:tcPr>
          <w:p w14:paraId="5654835F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休整期核对按键映射表、断电时序等定稿文件</w:t>
            </w:r>
          </w:p>
        </w:tc>
      </w:tr>
      <w:tr w14:paraId="14E7AAC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6011FBC2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9/14 周一</w:t>
            </w:r>
          </w:p>
        </w:tc>
        <w:tc>
          <w:tcPr>
            <w:tcW w:w="1661" w:type="dxa"/>
          </w:tcPr>
          <w:p w14:paraId="79359BC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D6</w:t>
            </w:r>
          </w:p>
        </w:tc>
        <w:tc>
          <w:tcPr>
            <w:tcW w:w="1661" w:type="dxa"/>
          </w:tcPr>
          <w:p w14:paraId="7C15758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★M2 主线集成收口：电量/充电/关机核对；DSP 状态同步收尾</w:t>
            </w:r>
          </w:p>
        </w:tc>
        <w:tc>
          <w:tcPr>
            <w:tcW w:w="1661" w:type="dxa"/>
          </w:tcPr>
          <w:p w14:paraId="61623754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调音台 DSP 同步；12 入口全通；启动音源切换回归（防叠音）</w:t>
            </w:r>
          </w:p>
        </w:tc>
        <w:tc>
          <w:tcPr>
            <w:tcW w:w="1661" w:type="dxa"/>
          </w:tcPr>
          <w:p w14:paraId="316739F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因 9/13 休息，M2 顺延至此日；回归窗口收紧</w:t>
            </w:r>
          </w:p>
        </w:tc>
      </w:tr>
      <w:tr w14:paraId="27DF09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61" w:type="dxa"/>
          </w:tcPr>
          <w:p w14:paraId="43B78C67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9/15 周二</w:t>
            </w:r>
          </w:p>
        </w:tc>
        <w:tc>
          <w:tcPr>
            <w:tcW w:w="1661" w:type="dxa"/>
          </w:tcPr>
          <w:p w14:paraId="5A670A95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D7</w:t>
            </w:r>
          </w:p>
        </w:tc>
        <w:tc>
          <w:tcPr>
            <w:tcW w:w="1661" w:type="dxa"/>
          </w:tcPr>
          <w:p w14:paraId="50A97C1B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★M3：稳定性冒烟 + 演示 + 归档</w:t>
            </w:r>
          </w:p>
        </w:tc>
        <w:tc>
          <w:tcPr>
            <w:tcW w:w="1661" w:type="dxa"/>
          </w:tcPr>
          <w:p w14:paraId="40AB5498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阶段交付件收口</w:t>
            </w:r>
          </w:p>
        </w:tc>
        <w:tc>
          <w:tcPr>
            <w:tcW w:w="1661" w:type="dxa"/>
          </w:tcPr>
          <w:p w14:paraId="3A4959C3">
            <w:pPr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硬截止；回归时间紧，优先保主线，非主线砍后补</w:t>
            </w:r>
          </w:p>
        </w:tc>
      </w:tr>
    </w:tbl>
    <w:p w14:paraId="73390D3A">
      <w:pPr>
        <w:ind w:left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说明：9/12（周六）加班冲刺，9/13（周日）休息。因 9/13 停一天，9/15 硬截止下联调/回归窗口收紧，9/12 尽量前移 DSP 串口与按键、9/14 集中做 M2 集成并启动回归、9/15 收口；若有溢出建议压缩非主线，优先保主线。在线内容功能（汇音K歌/咪咕/网易云/爆米花/网络收音）依赖账号与授权到位，另行排期，不计入本轮 9/15 交付口径。</w:t>
      </w:r>
    </w:p>
    <w:p w14:paraId="28834428">
      <w:pPr>
        <w:spacing w:after="0"/>
        <w:rPr>
          <w:rFonts w:hint="eastAsia" w:ascii="黑体" w:hAnsi="黑体" w:eastAsia="黑体" w:cs="黑体"/>
        </w:rPr>
      </w:pPr>
    </w:p>
    <w:sectPr>
      <w:headerReference r:id="rId5" w:type="default"/>
      <w:footerReference r:id="rId6" w:type="default"/>
      <w:pgSz w:w="11906" w:h="16838"/>
      <w:pgMar w:top="1020" w:right="1247" w:bottom="1020" w:left="1247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7D5F3">
    <w:pPr>
      <w:pStyle w:val="24"/>
      <w:jc w:val="right"/>
    </w:pPr>
    <w:r>
      <w:rPr>
        <w:rFonts w:hint="eastAsia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hint="eastAsia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rPr>
        <w:rFonts w:hint="eastAsia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D6CA">
    <w:pPr>
      <w:bidi w:val="0"/>
      <w:rPr>
        <w:rFonts w:hint="default" w:asciiTheme="minorAscii" w:hAnsiTheme="minorAscii"/>
        <w:lang w:val="en-US" w:eastAsia="zh-CN"/>
      </w:rPr>
    </w:pPr>
    <w:r>
      <w:rPr>
        <w:rFonts w:hint="default" w:asciiTheme="minorAscii" w:hAnsiTheme="minorAscii"/>
        <w:lang w:val="en-US" w:eastAsia="zh-CN"/>
      </w:rPr>
      <w:t xml:space="preserve">东莞市秦简计算机系统有限公司 </w:t>
    </w:r>
    <w:r>
      <w:rPr>
        <w:rFonts w:hint="eastAsia" w:asciiTheme="minorAscii" w:hAnsiTheme="minorAscii"/>
        <w:lang w:val="en-US" w:eastAsia="zh-CN"/>
      </w:rPr>
      <w:t xml:space="preserve">                                         </w:t>
    </w:r>
    <w:r>
      <w:rPr>
        <w:rFonts w:hint="default" w:asciiTheme="minorAscii" w:hAnsiTheme="minorAscii"/>
        <w:lang w:val="en-US" w:eastAsia="zh-CN"/>
      </w:rPr>
      <w:t xml:space="preserve"> www.ai-turnkey.com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1.%2"/>
      <w:lvlJc w:val="left"/>
      <w:pPr>
        <w:tabs>
          <w:tab w:val="left" w:pos="580"/>
        </w:tabs>
        <w:ind w:left="580" w:hanging="580"/>
      </w:pPr>
    </w:lvl>
    <w:lvl w:ilvl="2" w:tentative="0">
      <w:start w:val="1"/>
      <w:numFmt w:val="decimal"/>
      <w:lvlText w:val="%1.%2.%3"/>
      <w:lvlJc w:val="left"/>
      <w:pPr>
        <w:tabs>
          <w:tab w:val="left" w:pos="780"/>
        </w:tabs>
        <w:ind w:left="780" w:hanging="7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1339EA"/>
    <w:rsid w:val="1AC2559B"/>
    <w:rsid w:val="2A085AFE"/>
    <w:rsid w:val="2C4012F6"/>
    <w:rsid w:val="32682AAD"/>
    <w:rsid w:val="41517B51"/>
    <w:rsid w:val="696018C0"/>
    <w:rsid w:val="7C4824BD"/>
    <w:rsid w:val="7FE845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before="0" w:after="80" w:line="340" w:lineRule="exact"/>
    </w:pPr>
    <w:rPr>
      <w:rFonts w:ascii="Noto Sans CJK SC" w:hAnsi="Noto Sans CJK SC" w:eastAsia="Noto Sans CJK SC" w:cs="Noto Sans CJK SC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69"/>
    <w:qFormat/>
    <w:uiPriority w:val="9"/>
    <w:pPr>
      <w:keepNext/>
      <w:keepLines/>
      <w:widowControl/>
      <w:spacing w:before="280" w:after="160" w:line="460" w:lineRule="exact"/>
      <w:outlineLvl w:val="0"/>
    </w:pPr>
    <w:rPr>
      <w:rFonts w:asciiTheme="majorHAnsi" w:hAnsiTheme="majorHAnsi" w:eastAsiaTheme="majorEastAsia" w:cstheme="majorBidi"/>
      <w:b/>
      <w:bCs/>
      <w:color w:val="172D45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widowControl/>
      <w:spacing w:before="200" w:after="100" w:line="380" w:lineRule="exact"/>
      <w:outlineLvl w:val="1"/>
    </w:pPr>
    <w:rPr>
      <w:rFonts w:asciiTheme="majorHAnsi" w:hAnsiTheme="majorHAnsi" w:eastAsiaTheme="majorEastAsia" w:cstheme="majorBidi"/>
      <w:b/>
      <w:bCs/>
      <w:color w:val="172D45"/>
      <w:sz w:val="24"/>
      <w:szCs w:val="26"/>
    </w:rPr>
  </w:style>
  <w:style w:type="paragraph" w:styleId="5">
    <w:name w:val="heading 3"/>
    <w:basedOn w:val="1"/>
    <w:next w:val="1"/>
    <w:link w:val="167"/>
    <w:unhideWhenUsed/>
    <w:qFormat/>
    <w:uiPriority w:val="9"/>
    <w:pPr>
      <w:keepNext/>
      <w:keepLines/>
      <w:widowControl/>
      <w:spacing w:before="140" w:after="80" w:line="340" w:lineRule="exact"/>
      <w:outlineLvl w:val="2"/>
    </w:pPr>
    <w:rPr>
      <w:rFonts w:asciiTheme="majorHAnsi" w:hAnsiTheme="majorHAnsi" w:eastAsiaTheme="majorEastAsia" w:cstheme="majorBidi"/>
      <w:b/>
      <w:bCs/>
      <w:color w:val="1F2933"/>
      <w:sz w:val="21"/>
    </w:rPr>
  </w:style>
  <w:style w:type="paragraph" w:styleId="6">
    <w:name w:val="heading 4"/>
    <w:basedOn w:val="1"/>
    <w:next w:val="1"/>
    <w:link w:val="165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4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6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6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80" w:after="160" w:line="280" w:lineRule="exact"/>
    </w:pPr>
    <w:rPr>
      <w:rFonts w:ascii="Noto Sans CJK SC" w:hAnsi="Noto Sans CJK SC" w:eastAsia="Noto Sans CJK SC" w:cs="Noto Sans CJK SC"/>
      <w:bCs/>
      <w:color w:val="536575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3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1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9"/>
    <w:unhideWhenUsed/>
    <w:qFormat/>
    <w:uiPriority w:val="99"/>
    <w:pPr>
      <w:widowControl/>
      <w:tabs>
        <w:tab w:val="center" w:pos="4680"/>
        <w:tab w:val="right" w:pos="9360"/>
      </w:tabs>
      <w:spacing w:before="0" w:after="0" w:line="260" w:lineRule="exact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5">
    <w:name w:val="header"/>
    <w:basedOn w:val="1"/>
    <w:link w:val="155"/>
    <w:unhideWhenUsed/>
    <w:qFormat/>
    <w:uiPriority w:val="99"/>
    <w:pPr>
      <w:widowControl/>
      <w:tabs>
        <w:tab w:val="center" w:pos="4680"/>
        <w:tab w:val="right" w:pos="9360"/>
      </w:tabs>
      <w:spacing w:before="0" w:after="0" w:line="260" w:lineRule="exact"/>
    </w:pPr>
    <w:rPr>
      <w:rFonts w:ascii="Noto Sans CJK SC" w:hAnsi="Noto Sans CJK SC" w:eastAsia="Noto Sans CJK SC" w:cs="Noto Sans CJK SC"/>
      <w:color w:val="64748B"/>
      <w:sz w:val="17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68"/>
    <w:qFormat/>
    <w:uiPriority w:val="11"/>
    <w:pPr>
      <w:widowControl/>
      <w:spacing w:before="0" w:after="240" w:line="520" w:lineRule="exact"/>
    </w:pPr>
    <w:rPr>
      <w:rFonts w:asciiTheme="majorHAnsi" w:hAnsiTheme="majorHAnsi" w:eastAsiaTheme="majorEastAsia" w:cstheme="majorBidi"/>
      <w:b/>
      <w:iCs/>
      <w:color w:val="172D45"/>
      <w:spacing w:val="15"/>
      <w:sz w:val="3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5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61"/>
    <w:qFormat/>
    <w:uiPriority w:val="10"/>
    <w:pPr>
      <w:widowControl/>
      <w:spacing w:before="0" w:after="120" w:line="640" w:lineRule="exact"/>
      <w:contextualSpacing/>
    </w:pPr>
    <w:rPr>
      <w:rFonts w:asciiTheme="majorHAnsi" w:hAnsiTheme="majorHAnsi" w:eastAsiaTheme="majorEastAsia" w:cstheme="majorBidi"/>
      <w:b/>
      <w:color w:val="172D45"/>
      <w:spacing w:val="5"/>
      <w:kern w:val="28"/>
      <w:sz w:val="46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38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39">
    <w:name w:val="Body Text 3 Char"/>
    <w:basedOn w:val="134"/>
    <w:link w:val="17"/>
    <w:qFormat/>
    <w:uiPriority w:val="99"/>
    <w:rPr>
      <w:sz w:val="16"/>
      <w:szCs w:val="16"/>
    </w:rPr>
  </w:style>
  <w:style w:type="character" w:customStyle="1" w:styleId="140">
    <w:name w:val="Heading 2 Char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customStyle="1" w:styleId="141">
    <w:name w:val="TOC 1"/>
    <w:qFormat/>
    <w:uiPriority w:val="0"/>
    <w:pPr>
      <w:widowControl/>
      <w:spacing w:before="100" w:after="20" w:line="340" w:lineRule="exact"/>
    </w:pPr>
    <w:rPr>
      <w:rFonts w:ascii="Noto Sans CJK SC" w:hAnsi="Noto Sans CJK SC" w:eastAsia="Noto Sans CJK SC" w:cs="Noto Sans CJK SC"/>
      <w:b/>
      <w:color w:val="1F2933"/>
      <w:sz w:val="21"/>
      <w:szCs w:val="22"/>
      <w:lang w:val="en-US" w:eastAsia="en-US" w:bidi="ar-SA"/>
    </w:rPr>
  </w:style>
  <w:style w:type="character" w:customStyle="1" w:styleId="142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43">
    <w:name w:val="Quote Char"/>
    <w:basedOn w:val="134"/>
    <w:link w:val="14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4">
    <w:name w:val="Quote"/>
    <w:basedOn w:val="1"/>
    <w:next w:val="1"/>
    <w:link w:val="14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45">
    <w:name w:val="Table Text"/>
    <w:qFormat/>
    <w:uiPriority w:val="0"/>
    <w:pPr>
      <w:widowControl/>
      <w:spacing w:before="0" w:after="0" w:line="280" w:lineRule="exact"/>
    </w:pPr>
    <w:rPr>
      <w:rFonts w:ascii="Noto Sans CJK SC" w:hAnsi="Noto Sans CJK SC" w:eastAsia="Noto Sans CJK SC" w:cs="Noto Sans CJK SC"/>
      <w:color w:val="1F2933"/>
      <w:sz w:val="18"/>
      <w:szCs w:val="22"/>
      <w:lang w:val="en-US" w:eastAsia="en-US" w:bidi="ar-SA"/>
    </w:rPr>
  </w:style>
  <w:style w:type="paragraph" w:customStyle="1" w:styleId="14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7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48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9">
    <w:name w:val="Footer Char"/>
    <w:basedOn w:val="134"/>
    <w:link w:val="24"/>
    <w:qFormat/>
    <w:uiPriority w:val="99"/>
  </w:style>
  <w:style w:type="character" w:customStyle="1" w:styleId="150">
    <w:name w:val="Heading 9 Char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1">
    <w:name w:val="Body Text Char"/>
    <w:basedOn w:val="134"/>
    <w:link w:val="19"/>
    <w:qFormat/>
    <w:uiPriority w:val="99"/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54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55">
    <w:name w:val="Header Char"/>
    <w:basedOn w:val="134"/>
    <w:link w:val="25"/>
    <w:qFormat/>
    <w:uiPriority w:val="99"/>
  </w:style>
  <w:style w:type="paragraph" w:customStyle="1" w:styleId="156">
    <w:name w:val="TOC 2"/>
    <w:qFormat/>
    <w:uiPriority w:val="0"/>
    <w:pPr>
      <w:widowControl/>
      <w:spacing w:before="0" w:after="0" w:line="300" w:lineRule="exact"/>
    </w:pPr>
    <w:rPr>
      <w:rFonts w:ascii="Noto Sans CJK SC" w:hAnsi="Noto Sans CJK SC" w:eastAsia="Noto Sans CJK SC" w:cs="Noto Sans CJK SC"/>
      <w:color w:val="1F2933"/>
      <w:sz w:val="19"/>
      <w:szCs w:val="22"/>
      <w:lang w:val="en-US" w:eastAsia="en-US" w:bidi="ar-SA"/>
    </w:rPr>
  </w:style>
  <w:style w:type="character" w:customStyle="1" w:styleId="157">
    <w:name w:val="Body Text 2 Char"/>
    <w:basedOn w:val="134"/>
    <w:link w:val="30"/>
    <w:qFormat/>
    <w:uiPriority w:val="99"/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Heading 6 Char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0">
    <w:name w:val="Intense Quote Char"/>
    <w:basedOn w:val="134"/>
    <w:link w:val="14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62">
    <w:name w:val="Heading 8 Char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customStyle="1" w:styleId="163">
    <w:name w:val="Meta"/>
    <w:qFormat/>
    <w:uiPriority w:val="0"/>
    <w:pPr>
      <w:widowControl/>
      <w:spacing w:before="0" w:after="80" w:line="320" w:lineRule="exact"/>
    </w:pPr>
    <w:rPr>
      <w:rFonts w:ascii="Noto Sans CJK SC" w:hAnsi="Noto Sans CJK SC" w:eastAsia="Noto Sans CJK SC" w:cs="Noto Sans CJK SC"/>
      <w:color w:val="536575"/>
      <w:sz w:val="19"/>
      <w:szCs w:val="22"/>
      <w:lang w:val="en-US" w:eastAsia="en-US" w:bidi="ar-SA"/>
    </w:rPr>
  </w:style>
  <w:style w:type="character" w:customStyle="1" w:styleId="164">
    <w:name w:val="Heading 7 Char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5">
    <w:name w:val="Heading 4 Char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66">
    <w:name w:val="Small"/>
    <w:qFormat/>
    <w:uiPriority w:val="0"/>
    <w:pPr>
      <w:widowControl/>
      <w:spacing w:before="0" w:after="60" w:line="280" w:lineRule="exact"/>
    </w:pPr>
    <w:rPr>
      <w:rFonts w:ascii="Noto Sans CJK SC" w:hAnsi="Noto Sans CJK SC" w:eastAsia="Noto Sans CJK SC" w:cs="Noto Sans CJK SC"/>
      <w:color w:val="536575"/>
      <w:sz w:val="18"/>
      <w:szCs w:val="22"/>
      <w:lang w:val="en-US" w:eastAsia="en-US" w:bidi="ar-SA"/>
    </w:rPr>
  </w:style>
  <w:style w:type="character" w:customStyle="1" w:styleId="167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9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7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4144</Words>
  <Characters>4715</Characters>
  <TotalTime>6</TotalTime>
  <ScaleCrop>false</ScaleCrop>
  <LinksUpToDate>false</LinksUpToDate>
  <CharactersWithSpaces>4932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2026-09-08T18:02:00Z</dcterms:created>
  <dc:creator>30961</dc:creator>
  <cp:lastModifiedBy>...</cp:lastModifiedBy>
  <dcterms:modified xsi:type="dcterms:W3CDTF">2026-09-08T10:45:09Z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eyJoZGlkIjoiYjViYmU3NDlkNGVkNmM1NzA2YmM5NWQ2NDA4ZGY5NTciLCJ1c2VySWQiOiIxNDM5MjgwMzIwIn0=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931ADCB741E24DF7A03BA2BD9D62CDFC_13</vt:lpwstr>
  </property>
</Properties>
</file>