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eastAsia="Microsoft YaHei"/>
          <w:b w:val="0"/>
          <w:i w:val="0"/>
        </w:rPr>
        <w:t>XCN 核心网产品说明书</w:t>
      </w:r>
    </w:p>
    <w:p>
      <w:r>
        <w:rPr>
          <w:rFonts w:ascii="Arial" w:hAnsi="Arial" w:eastAsia="Microsoft YaHei"/>
          <w:b w:val="0"/>
          <w:i w:val="0"/>
        </w:rPr>
      </w:r>
      <w:r>
        <w:rPr>
          <w:rFonts w:ascii="Arial" w:hAnsi="Arial" w:eastAsia="Microsoft YaHei"/>
          <w:b/>
          <w:i w:val="0"/>
        </w:rPr>
        <w:t>基于 Open5GS 的 5G SA 核心网系统｜投标技术说明版</w:t>
      </w:r>
      <w:r>
        <w:rPr>
          <w:rFonts w:ascii="Arial" w:hAnsi="Arial" w:eastAsia="Microsoft YaHei"/>
          <w:b w:val="0"/>
          <w:i w:val="0"/>
        </w:rPr>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文档项目</w:t>
            </w:r>
          </w:p>
        </w:tc>
        <w:tc>
          <w:tcPr>
            <w:tcW w:type="dxa" w:w="6953"/>
            <w:vAlign w:val="center"/>
            <w:shd w:fill="214D72"/>
          </w:tcPr>
          <w:p>
            <w:pPr>
              <w:spacing w:line="288" w:lineRule="auto" w:before="60" w:after="60"/>
            </w:pPr>
            <w:r>
              <w:rPr>
                <w:rFonts w:ascii="Arial" w:hAnsi="Arial" w:eastAsia="Microsoft YaHei"/>
                <w:b/>
                <w:i w:val="0"/>
                <w:color w:val="FFFFFF"/>
                <w:sz w:val="18"/>
              </w:rPr>
              <w:t>内容</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文档编号</w:t>
            </w:r>
          </w:p>
        </w:tc>
        <w:tc>
          <w:tcPr>
            <w:tcW w:type="dxa" w:w="6953"/>
            <w:vAlign w:val="center"/>
          </w:tcPr>
          <w:p>
            <w:pPr>
              <w:spacing w:line="288" w:lineRule="auto" w:before="60" w:after="60"/>
            </w:pPr>
            <w:r>
              <w:rPr>
                <w:rFonts w:ascii="Arial" w:hAnsi="Arial" w:eastAsia="Microsoft YaHei"/>
                <w:b w:val="0"/>
                <w:i w:val="0"/>
                <w:color w:val="24384C"/>
                <w:sz w:val="18"/>
              </w:rPr>
              <w:t>XCN-PM-001</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文档版本</w:t>
            </w:r>
          </w:p>
        </w:tc>
        <w:tc>
          <w:tcPr>
            <w:tcW w:type="dxa" w:w="6953"/>
            <w:vAlign w:val="center"/>
            <w:shd w:fill="F4F7FA"/>
          </w:tcPr>
          <w:p>
            <w:pPr>
              <w:spacing w:line="288" w:lineRule="auto" w:before="60" w:after="60"/>
            </w:pPr>
            <w:r>
              <w:rPr>
                <w:rFonts w:ascii="Arial" w:hAnsi="Arial" w:eastAsia="Microsoft YaHei"/>
                <w:b w:val="0"/>
                <w:i w:val="0"/>
                <w:color w:val="24384C"/>
                <w:sz w:val="18"/>
              </w:rPr>
              <w:t>V1.0</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编制日期</w:t>
            </w:r>
          </w:p>
        </w:tc>
        <w:tc>
          <w:tcPr>
            <w:tcW w:type="dxa" w:w="6953"/>
            <w:vAlign w:val="center"/>
          </w:tcPr>
          <w:p>
            <w:pPr>
              <w:spacing w:line="288" w:lineRule="auto" w:before="60" w:after="60"/>
            </w:pPr>
            <w:r>
              <w:rPr>
                <w:rFonts w:ascii="Arial" w:hAnsi="Arial" w:eastAsia="Microsoft YaHei"/>
                <w:b w:val="0"/>
                <w:i w:val="0"/>
                <w:color w:val="24384C"/>
                <w:sz w:val="18"/>
              </w:rPr>
              <w:t>2026 年 10 月 22 日</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产品名称</w:t>
            </w:r>
          </w:p>
        </w:tc>
        <w:tc>
          <w:tcPr>
            <w:tcW w:type="dxa" w:w="6953"/>
            <w:vAlign w:val="center"/>
            <w:shd w:fill="F4F7FA"/>
          </w:tcPr>
          <w:p>
            <w:pPr>
              <w:spacing w:line="288" w:lineRule="auto" w:before="60" w:after="60"/>
            </w:pPr>
            <w:r>
              <w:rPr>
                <w:rFonts w:ascii="Arial" w:hAnsi="Arial" w:eastAsia="Microsoft YaHei"/>
                <w:b w:val="0"/>
                <w:i w:val="0"/>
                <w:color w:val="24384C"/>
                <w:sz w:val="18"/>
              </w:rPr>
              <w:t>XCN 核心网系统</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产品形态</w:t>
            </w:r>
          </w:p>
        </w:tc>
        <w:tc>
          <w:tcPr>
            <w:tcW w:type="dxa" w:w="6953"/>
            <w:vAlign w:val="center"/>
          </w:tcPr>
          <w:p>
            <w:pPr>
              <w:spacing w:line="288" w:lineRule="auto" w:before="60" w:after="60"/>
            </w:pPr>
            <w:r>
              <w:rPr>
                <w:rFonts w:ascii="Arial" w:hAnsi="Arial" w:eastAsia="Microsoft YaHei"/>
                <w:b w:val="0"/>
                <w:i w:val="0"/>
                <w:color w:val="24384C"/>
                <w:sz w:val="18"/>
              </w:rPr>
              <w:t>核心网软件及容器化部署包；配套服务器以供货清单为准</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软件基线</w:t>
            </w:r>
          </w:p>
        </w:tc>
        <w:tc>
          <w:tcPr>
            <w:tcW w:type="dxa" w:w="6953"/>
            <w:vAlign w:val="center"/>
            <w:shd w:fill="F4F7FA"/>
          </w:tcPr>
          <w:p>
            <w:pPr>
              <w:spacing w:line="288" w:lineRule="auto" w:before="60" w:after="60"/>
            </w:pPr>
            <w:r>
              <w:rPr>
                <w:rFonts w:ascii="Arial" w:hAnsi="Arial" w:eastAsia="Microsoft YaHei"/>
                <w:b w:val="0"/>
                <w:i w:val="0"/>
                <w:color w:val="24384C"/>
                <w:sz w:val="18"/>
              </w:rPr>
              <w:t>Open5GS 2.7.7，XCN Helm Chart 0.1.0，仓库提交 45b6cb86c</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投标人／制造商</w:t>
            </w:r>
          </w:p>
        </w:tc>
        <w:tc>
          <w:tcPr>
            <w:tcW w:type="dxa" w:w="6953"/>
            <w:vAlign w:val="center"/>
          </w:tcPr>
          <w:p>
            <w:pPr>
              <w:spacing w:line="288" w:lineRule="auto" w:before="60" w:after="60"/>
            </w:pPr>
            <w:r>
              <w:rPr>
                <w:rFonts w:ascii="Arial" w:hAnsi="Arial" w:eastAsia="Microsoft YaHei"/>
                <w:b w:val="0"/>
                <w:i w:val="0"/>
                <w:color w:val="24384C"/>
                <w:sz w:val="18"/>
              </w:rPr>
              <w:t>【投标人填写法定名称】</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项目名称／招标编号</w:t>
            </w:r>
          </w:p>
        </w:tc>
        <w:tc>
          <w:tcPr>
            <w:tcW w:type="dxa" w:w="6953"/>
            <w:vAlign w:val="center"/>
            <w:shd w:fill="F4F7FA"/>
          </w:tcPr>
          <w:p>
            <w:pPr>
              <w:spacing w:line="288" w:lineRule="auto" w:before="60" w:after="60"/>
            </w:pPr>
            <w:r>
              <w:rPr>
                <w:rFonts w:ascii="Arial" w:hAnsi="Arial" w:eastAsia="Microsoft YaHei"/>
                <w:b w:val="0"/>
                <w:i w:val="0"/>
                <w:color w:val="24384C"/>
                <w:sz w:val="18"/>
              </w:rPr>
              <w:t>【投标人填写】</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编制／审核／批准</w:t>
            </w:r>
          </w:p>
        </w:tc>
        <w:tc>
          <w:tcPr>
            <w:tcW w:type="dxa" w:w="6953"/>
            <w:vAlign w:val="center"/>
          </w:tcPr>
          <w:p>
            <w:pPr>
              <w:spacing w:line="288" w:lineRule="auto" w:before="60" w:after="60"/>
            </w:pPr>
            <w:r>
              <w:rPr>
                <w:rFonts w:ascii="Arial" w:hAnsi="Arial" w:eastAsia="Microsoft YaHei"/>
                <w:b w:val="0"/>
                <w:i w:val="0"/>
                <w:color w:val="24384C"/>
                <w:sz w:val="18"/>
              </w:rPr>
              <w:t>【责任人署名后签发】</w:t>
            </w:r>
          </w:p>
        </w:tc>
      </w:tr>
    </w:tbl>
    <w:p>
      <w:pPr>
        <w:spacing w:after="40" w:line="48" w:lineRule="auto"/>
      </w:pPr>
    </w:p>
    <w:p>
      <w:pPr>
        <w:keepLines/>
        <w:shd w:fill="FFF1E5"/>
        <w:ind w:left="142" w:right="142"/>
      </w:pPr>
      <w:r>
        <w:rPr>
          <w:rFonts w:ascii="Arial" w:hAnsi="Arial" w:eastAsia="Microsoft YaHei"/>
          <w:b w:val="0"/>
          <w:i w:val="0"/>
        </w:rPr>
        <w:t xml:space="preserve">⚠ </w:t>
      </w:r>
      <w:r>
        <w:rPr>
          <w:rFonts w:ascii="Arial" w:hAnsi="Arial" w:eastAsia="Microsoft YaHei"/>
          <w:b/>
          <w:i w:val="0"/>
        </w:rPr>
        <w:t>安全提示</w:t>
      </w:r>
      <w:r>
        <w:rPr>
          <w:rFonts w:ascii="Arial" w:hAnsi="Arial" w:eastAsia="Microsoft YaHei"/>
          <w:b w:val="0"/>
          <w:i w:val="0"/>
        </w:rPr>
        <w:t>：设备供电、接地和机架安装由合格人员实施；升级、回滚、恢复及卸载可能中断终端业务，操作前应备份并落实维护窗口。订阅鉴权密钥、管理口令、私钥及数据库备份应受控保存。</w:t>
      </w:r>
    </w:p>
    <w:p>
      <w:r>
        <w:rPr>
          <w:rFonts w:ascii="Arial" w:hAnsi="Arial" w:eastAsia="Microsoft YaHei"/>
          <w:b w:val="0"/>
          <w:i w:val="0"/>
        </w:rPr>
      </w:r>
      <w:r>
        <w:rPr>
          <w:rFonts w:ascii="Arial" w:hAnsi="Arial" w:eastAsia="Microsoft YaHei"/>
          <w:b/>
          <w:i w:val="0"/>
        </w:rPr>
        <w:t>阅读说明</w:t>
      </w:r>
      <w:r>
        <w:rPr>
          <w:rFonts w:ascii="Arial" w:hAnsi="Arial" w:eastAsia="Microsoft YaHei"/>
          <w:b w:val="0"/>
          <w:i w:val="0"/>
        </w:rPr>
        <w:t>：本说明书按前言与文档控制、安全须知、产品概述、安装与部署、故障排查、附录六部分编制。适用于当前 XCN 5G SA 交付形态。文中 IP 地址、PLMN、切片及命令参数为明确标识的配置示例，实施时以项目批准的网络规划和交付清单为准。</w:t>
      </w:r>
    </w:p>
    <w:p>
      <w:r>
        <w:rPr>
          <w:rFonts w:ascii="Arial" w:hAnsi="Arial" w:eastAsia="Microsoft YaHei"/>
          <w:b w:val="0"/>
          <w:i w:val="0"/>
        </w:rPr>
      </w:r>
      <w:r>
        <w:rPr>
          <w:rFonts w:ascii="Arial" w:hAnsi="Arial" w:eastAsia="Microsoft YaHei"/>
          <w:b/>
          <w:i w:val="0"/>
        </w:rPr>
        <w:t>投标使用说明</w:t>
      </w:r>
      <w:r>
        <w:rPr>
          <w:rFonts w:ascii="Arial" w:hAnsi="Arial" w:eastAsia="Microsoft YaHei"/>
          <w:b w:val="0"/>
          <w:i w:val="0"/>
        </w:rPr>
        <w:t>：标注“【投标人填写】”或“待项目确认”的项目，应在提交标书前补齐并审核。吞吐量、并发能力、时延、可用性、硬件环境指标及认证材料，应采用对应交付配置的有效报告；本说明书不以配置上限或历史功能测试替代这些证明材料。</w:t>
      </w:r>
    </w:p>
    <w:p>
      <w:pPr>
        <w:pStyle w:val="Heading1"/>
        <w:pageBreakBefore/>
      </w:pPr>
      <w:r>
        <w:rPr>
          <w:rFonts w:ascii="Arial" w:hAnsi="Arial" w:eastAsia="Microsoft YaHei"/>
          <w:b w:val="0"/>
          <w:i w:val="0"/>
        </w:rPr>
        <w:t>目录</w:t>
      </w:r>
    </w:p>
    <w:p>
      <w:pPr>
        <w:pStyle w:val="ListNumber"/>
        <w:numPr>
          <w:ilvl w:val="0"/>
          <w:numId w:val="10"/>
        </w:numPr>
      </w:pPr>
      <w:r>
        <w:rPr>
          <w:rFonts w:ascii="Arial" w:hAnsi="Arial" w:eastAsia="Microsoft YaHei"/>
          <w:b w:val="0"/>
          <w:i w:val="0"/>
        </w:rPr>
        <w:t>前言与文档控制</w:t>
      </w:r>
    </w:p>
    <w:p>
      <w:pPr>
        <w:pStyle w:val="ListNumber"/>
        <w:numPr>
          <w:ilvl w:val="0"/>
          <w:numId w:val="11"/>
        </w:numPr>
      </w:pPr>
      <w:r>
        <w:rPr>
          <w:rFonts w:ascii="Arial" w:hAnsi="Arial" w:eastAsia="Microsoft YaHei"/>
          <w:b w:val="0"/>
          <w:i w:val="0"/>
        </w:rPr>
        <w:t>⚠ 安全须知</w:t>
      </w:r>
    </w:p>
    <w:p>
      <w:pPr>
        <w:pStyle w:val="ListNumber"/>
        <w:numPr>
          <w:ilvl w:val="0"/>
          <w:numId w:val="12"/>
        </w:numPr>
      </w:pPr>
      <w:r>
        <w:rPr>
          <w:rFonts w:ascii="Arial" w:hAnsi="Arial" w:eastAsia="Microsoft YaHei"/>
          <w:b w:val="0"/>
          <w:i w:val="0"/>
        </w:rPr>
        <w:t>产品概述</w:t>
      </w:r>
    </w:p>
    <w:p>
      <w:pPr>
        <w:pStyle w:val="ListNumber"/>
        <w:numPr>
          <w:ilvl w:val="0"/>
          <w:numId w:val="13"/>
        </w:numPr>
      </w:pPr>
      <w:r>
        <w:rPr>
          <w:rFonts w:ascii="Arial" w:hAnsi="Arial" w:eastAsia="Microsoft YaHei"/>
          <w:b w:val="0"/>
          <w:i w:val="0"/>
        </w:rPr>
        <w:t>安装、部署与操作指南</w:t>
      </w:r>
    </w:p>
    <w:p>
      <w:pPr>
        <w:pStyle w:val="ListNumber"/>
        <w:numPr>
          <w:ilvl w:val="0"/>
          <w:numId w:val="14"/>
        </w:numPr>
      </w:pPr>
      <w:r>
        <w:rPr>
          <w:rFonts w:ascii="Arial" w:hAnsi="Arial" w:eastAsia="Microsoft YaHei"/>
          <w:b w:val="0"/>
          <w:i w:val="0"/>
        </w:rPr>
        <w:t>故障排查指南</w:t>
      </w:r>
    </w:p>
    <w:p>
      <w:pPr>
        <w:pStyle w:val="ListNumber"/>
        <w:numPr>
          <w:ilvl w:val="0"/>
          <w:numId w:val="15"/>
        </w:numPr>
      </w:pPr>
      <w:r>
        <w:rPr>
          <w:rFonts w:ascii="Arial" w:hAnsi="Arial" w:eastAsia="Microsoft YaHei"/>
          <w:b w:val="0"/>
          <w:i w:val="0"/>
        </w:rPr>
        <w:t>附录</w:t>
      </w:r>
    </w:p>
    <w:p>
      <w:pPr>
        <w:pStyle w:val="Heading1"/>
        <w:pageBreakBefore/>
      </w:pPr>
      <w:r>
        <w:rPr>
          <w:rFonts w:ascii="Arial" w:hAnsi="Arial" w:eastAsia="Microsoft YaHei"/>
          <w:b w:val="0"/>
          <w:i w:val="0"/>
        </w:rPr>
        <w:t>1. 前言与文档控制</w:t>
      </w:r>
    </w:p>
    <w:p>
      <w:pPr>
        <w:pStyle w:val="Heading2"/>
      </w:pPr>
      <w:r>
        <w:rPr>
          <w:rFonts w:ascii="Arial" w:hAnsi="Arial" w:eastAsia="Microsoft YaHei"/>
          <w:b w:val="0"/>
          <w:i w:val="0"/>
        </w:rPr>
        <w:t>1.1 文档用途</w:t>
      </w:r>
    </w:p>
    <w:p>
      <w:r>
        <w:rPr>
          <w:rFonts w:ascii="Arial" w:hAnsi="Arial" w:eastAsia="Microsoft YaHei"/>
          <w:b w:val="0"/>
          <w:i w:val="0"/>
        </w:rPr>
        <w:t>本说明书描述 XCN 核心网的系统组成、接口、部署条件、基本操作及维护方法，供采购评审、集成交付、开通验收和日常运维使用。面向网络规划人员、系统集成人员、核心网维护人员及具有 Linux、Kubernetes 基础的管理员。</w:t>
      </w:r>
    </w:p>
    <w:p>
      <w:r>
        <w:rPr>
          <w:rFonts w:ascii="Arial" w:hAnsi="Arial" w:eastAsia="Microsoft YaHei"/>
          <w:b w:val="0"/>
          <w:i w:val="0"/>
        </w:rPr>
        <w:t>XCN 通过标准化的 N2、N3 接口与 5G 基站连接，通过 N6 接口接入企业数据网或业务网络，提供用户注册与鉴权、会话管理、用户面转发、策略控制和订阅管理等功能。</w:t>
      </w:r>
    </w:p>
    <w:p>
      <w:pPr>
        <w:pStyle w:val="Heading2"/>
      </w:pPr>
      <w:r>
        <w:rPr>
          <w:rFonts w:ascii="Arial" w:hAnsi="Arial" w:eastAsia="Microsoft YaHei"/>
          <w:b w:val="0"/>
          <w:i w:val="0"/>
        </w:rPr>
        <w:t>1.2 版本记录</w:t>
      </w:r>
    </w:p>
    <w:tbl>
      <w:tblPr>
        <w:tblStyle w:val="TableGrid"/>
        <w:tblW w:type="auto" w:w="0"/>
        <w:tblLayout w:type="fixed"/>
        <w:tblLook w:firstColumn="1" w:firstRow="1" w:lastColumn="0" w:lastRow="0" w:noHBand="0" w:noVBand="1" w:val="04A0"/>
      </w:tblPr>
      <w:tblGrid>
        <w:gridCol w:w="2000"/>
        <w:gridCol w:w="2191"/>
        <w:gridCol w:w="2572"/>
        <w:gridCol w:w="2762"/>
      </w:tblGrid>
      <w:tr>
        <w:trPr>
          <w:cantSplit/>
          <w:tblHeader/>
        </w:trPr>
        <w:tc>
          <w:tcPr>
            <w:tcW w:type="dxa" w:w="2000"/>
            <w:vAlign w:val="center"/>
            <w:shd w:fill="214D72"/>
          </w:tcPr>
          <w:p>
            <w:pPr>
              <w:spacing w:line="288" w:lineRule="auto" w:before="60" w:after="60"/>
            </w:pPr>
            <w:r>
              <w:rPr>
                <w:rFonts w:ascii="Arial" w:hAnsi="Arial" w:eastAsia="Microsoft YaHei"/>
                <w:b/>
                <w:i w:val="0"/>
                <w:color w:val="FFFFFF"/>
                <w:sz w:val="18"/>
              </w:rPr>
              <w:t>版本</w:t>
            </w:r>
          </w:p>
        </w:tc>
        <w:tc>
          <w:tcPr>
            <w:tcW w:type="dxa" w:w="2191"/>
            <w:vAlign w:val="center"/>
            <w:shd w:fill="214D72"/>
          </w:tcPr>
          <w:p>
            <w:pPr>
              <w:spacing w:line="288" w:lineRule="auto" w:before="60" w:after="60"/>
            </w:pPr>
            <w:r>
              <w:rPr>
                <w:rFonts w:ascii="Arial" w:hAnsi="Arial" w:eastAsia="Microsoft YaHei"/>
                <w:b/>
                <w:i w:val="0"/>
                <w:color w:val="FFFFFF"/>
                <w:sz w:val="18"/>
              </w:rPr>
              <w:t>修订日期</w:t>
            </w:r>
          </w:p>
        </w:tc>
        <w:tc>
          <w:tcPr>
            <w:tcW w:type="dxa" w:w="2572"/>
            <w:vAlign w:val="center"/>
            <w:shd w:fill="214D72"/>
          </w:tcPr>
          <w:p>
            <w:pPr>
              <w:spacing w:line="288" w:lineRule="auto" w:before="60" w:after="60"/>
            </w:pPr>
            <w:r>
              <w:rPr>
                <w:rFonts w:ascii="Arial" w:hAnsi="Arial" w:eastAsia="Microsoft YaHei"/>
                <w:b/>
                <w:i w:val="0"/>
                <w:color w:val="FFFFFF"/>
                <w:sz w:val="18"/>
              </w:rPr>
              <w:t>修订内容摘要</w:t>
            </w:r>
          </w:p>
        </w:tc>
        <w:tc>
          <w:tcPr>
            <w:tcW w:type="dxa" w:w="2762"/>
            <w:vAlign w:val="center"/>
            <w:shd w:fill="214D72"/>
          </w:tcPr>
          <w:p>
            <w:pPr>
              <w:spacing w:line="288" w:lineRule="auto" w:before="60" w:after="60"/>
            </w:pPr>
            <w:r>
              <w:rPr>
                <w:rFonts w:ascii="Arial" w:hAnsi="Arial" w:eastAsia="Microsoft YaHei"/>
                <w:b/>
                <w:i w:val="0"/>
                <w:color w:val="FFFFFF"/>
                <w:sz w:val="18"/>
              </w:rPr>
              <w:t>编制／审核</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V1.0</w:t>
            </w:r>
          </w:p>
        </w:tc>
        <w:tc>
          <w:tcPr>
            <w:tcW w:type="dxa" w:w="2191"/>
            <w:vAlign w:val="center"/>
          </w:tcPr>
          <w:p>
            <w:pPr>
              <w:spacing w:line="288" w:lineRule="auto" w:before="60" w:after="60"/>
            </w:pPr>
            <w:r>
              <w:rPr>
                <w:rFonts w:ascii="Arial" w:hAnsi="Arial" w:eastAsia="Microsoft YaHei"/>
                <w:b w:val="0"/>
                <w:i w:val="0"/>
                <w:color w:val="24384C"/>
                <w:sz w:val="18"/>
              </w:rPr>
              <w:t>2026-10-22</w:t>
            </w:r>
          </w:p>
        </w:tc>
        <w:tc>
          <w:tcPr>
            <w:tcW w:type="dxa" w:w="2572"/>
            <w:vAlign w:val="center"/>
          </w:tcPr>
          <w:p>
            <w:pPr>
              <w:spacing w:line="288" w:lineRule="auto" w:before="60" w:after="60"/>
            </w:pPr>
            <w:r>
              <w:rPr>
                <w:rFonts w:ascii="Arial" w:hAnsi="Arial" w:eastAsia="Microsoft YaHei"/>
                <w:b w:val="0"/>
                <w:i w:val="0"/>
                <w:color w:val="24384C"/>
                <w:sz w:val="18"/>
              </w:rPr>
              <w:t>首版；根据当前 XCN 源码、Chart、运行配置及已有验证记录编制六部分说明书</w:t>
            </w:r>
          </w:p>
        </w:tc>
        <w:tc>
          <w:tcPr>
            <w:tcW w:type="dxa" w:w="2762"/>
            <w:vAlign w:val="center"/>
          </w:tcPr>
          <w:p>
            <w:pPr>
              <w:spacing w:line="288" w:lineRule="auto" w:before="60" w:after="60"/>
            </w:pPr>
            <w:r>
              <w:rPr>
                <w:rFonts w:ascii="Arial" w:hAnsi="Arial" w:eastAsia="Microsoft YaHei"/>
                <w:b w:val="0"/>
                <w:i w:val="0"/>
                <w:color w:val="24384C"/>
                <w:sz w:val="18"/>
              </w:rPr>
              <w:t>编制：【投标人填写】；审核：【投标人填写】</w:t>
            </w:r>
          </w:p>
        </w:tc>
      </w:tr>
    </w:tbl>
    <w:p>
      <w:pPr>
        <w:spacing w:after="40" w:line="48" w:lineRule="auto"/>
      </w:pPr>
    </w:p>
    <w:p>
      <w:r>
        <w:rPr>
          <w:rFonts w:ascii="Arial" w:hAnsi="Arial" w:eastAsia="Microsoft YaHei"/>
          <w:b w:val="0"/>
          <w:i w:val="0"/>
        </w:rPr>
        <w:t>本文件的“V1.0”为说明书版本，与 Open5GS 软件版本、Chart 版本和项目发布版本分别管理。交付升级后，应同步核对本说明书中的镜像、接口、配置和命令。</w:t>
      </w:r>
    </w:p>
    <w:p>
      <w:pPr>
        <w:pStyle w:val="Heading2"/>
      </w:pPr>
      <w:r>
        <w:rPr>
          <w:rFonts w:ascii="Arial" w:hAnsi="Arial" w:eastAsia="Microsoft YaHei"/>
          <w:b w:val="0"/>
          <w:i w:val="0"/>
        </w:rPr>
        <w:t>1.3 适用范围与版本基线</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项目</w:t>
            </w:r>
          </w:p>
        </w:tc>
        <w:tc>
          <w:tcPr>
            <w:tcW w:type="dxa" w:w="6953"/>
            <w:vAlign w:val="center"/>
            <w:shd w:fill="214D72"/>
          </w:tcPr>
          <w:p>
            <w:pPr>
              <w:spacing w:line="288" w:lineRule="auto" w:before="60" w:after="60"/>
            </w:pPr>
            <w:r>
              <w:rPr>
                <w:rFonts w:ascii="Arial" w:hAnsi="Arial" w:eastAsia="Microsoft YaHei"/>
                <w:b/>
                <w:i w:val="0"/>
                <w:color w:val="FFFFFF"/>
                <w:sz w:val="18"/>
              </w:rPr>
              <w:t>本说明书适用范围</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核心网版本</w:t>
            </w:r>
          </w:p>
        </w:tc>
        <w:tc>
          <w:tcPr>
            <w:tcW w:type="dxa" w:w="6953"/>
            <w:vAlign w:val="center"/>
          </w:tcPr>
          <w:p>
            <w:pPr>
              <w:spacing w:line="288" w:lineRule="auto" w:before="60" w:after="60"/>
            </w:pPr>
            <w:r>
              <w:rPr>
                <w:rFonts w:ascii="Arial" w:hAnsi="Arial" w:eastAsia="Microsoft YaHei"/>
                <w:b w:val="0"/>
                <w:i w:val="0"/>
                <w:color w:val="24384C"/>
                <w:sz w:val="18"/>
              </w:rPr>
              <w:t>当前分支 open5gs-basev277-develop，编制基线提交 45b6cb86c，Open5GS 基础版本 2.7.7</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部署包</w:t>
            </w:r>
          </w:p>
        </w:tc>
        <w:tc>
          <w:tcPr>
            <w:tcW w:type="dxa" w:w="6953"/>
            <w:vAlign w:val="center"/>
            <w:shd w:fill="F4F7FA"/>
          </w:tcPr>
          <w:p>
            <w:pPr>
              <w:spacing w:line="288" w:lineRule="auto" w:before="60" w:after="60"/>
            </w:pPr>
            <w:r>
              <w:rPr>
                <w:rFonts w:ascii="Arial" w:hAnsi="Arial" w:eastAsia="Microsoft YaHei"/>
                <w:b w:val="0"/>
                <w:i w:val="0"/>
                <w:color w:val="24384C"/>
                <w:sz w:val="18"/>
              </w:rPr>
              <w:t>helm/xcn，Chart 版本 0.1.0，appVersion 为 2.7.7</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部署方式</w:t>
            </w:r>
          </w:p>
        </w:tc>
        <w:tc>
          <w:tcPr>
            <w:tcW w:type="dxa" w:w="6953"/>
            <w:vAlign w:val="center"/>
          </w:tcPr>
          <w:p>
            <w:pPr>
              <w:spacing w:line="288" w:lineRule="auto" w:before="60" w:after="60"/>
            </w:pPr>
            <w:r>
              <w:rPr>
                <w:rFonts w:ascii="Arial" w:hAnsi="Arial" w:eastAsia="Microsoft YaHei"/>
                <w:b w:val="0"/>
                <w:i w:val="0"/>
                <w:color w:val="24384C"/>
                <w:sz w:val="18"/>
              </w:rPr>
              <w:t>Kubernetes＋Helm；当前 Chart 为单实例 5GC 拓扑</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用户面模式</w:t>
            </w:r>
          </w:p>
        </w:tc>
        <w:tc>
          <w:tcPr>
            <w:tcW w:type="dxa" w:w="6953"/>
            <w:vAlign w:val="center"/>
            <w:shd w:fill="F4F7FA"/>
          </w:tcPr>
          <w:p>
            <w:pPr>
              <w:spacing w:line="288" w:lineRule="auto" w:before="60" w:after="60"/>
            </w:pPr>
            <w:r>
              <w:rPr>
                <w:rFonts w:ascii="Arial" w:hAnsi="Arial" w:eastAsia="Microsoft YaHei"/>
                <w:b w:val="0"/>
                <w:i w:val="0"/>
                <w:color w:val="24384C"/>
                <w:sz w:val="18"/>
              </w:rPr>
              <w:t>UDP/TUN 模式；可选 VPP/memif＋DPDK 双 VF 模式</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加速组件</w:t>
            </w:r>
          </w:p>
        </w:tc>
        <w:tc>
          <w:tcPr>
            <w:tcW w:type="dxa" w:w="6953"/>
            <w:vAlign w:val="center"/>
          </w:tcPr>
          <w:p>
            <w:pPr>
              <w:spacing w:line="288" w:lineRule="auto" w:before="60" w:after="60"/>
            </w:pPr>
            <w:r>
              <w:rPr>
                <w:rFonts w:ascii="Arial" w:hAnsi="Arial" w:eastAsia="Microsoft YaHei"/>
                <w:b w:val="0"/>
                <w:i w:val="0"/>
                <w:color w:val="24384C"/>
                <w:sz w:val="18"/>
              </w:rPr>
              <w:t>当前 VPP 镜像版本 26.06；运行镜像需包含匹配的 libmemif</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操作系统参考</w:t>
            </w:r>
          </w:p>
        </w:tc>
        <w:tc>
          <w:tcPr>
            <w:tcW w:type="dxa" w:w="6953"/>
            <w:vAlign w:val="center"/>
            <w:shd w:fill="F4F7FA"/>
          </w:tcPr>
          <w:p>
            <w:pPr>
              <w:spacing w:line="288" w:lineRule="auto" w:before="60" w:after="60"/>
            </w:pPr>
            <w:r>
              <w:rPr>
                <w:rFonts w:ascii="Arial" w:hAnsi="Arial" w:eastAsia="Microsoft YaHei"/>
                <w:b w:val="0"/>
                <w:i w:val="0"/>
                <w:color w:val="24384C"/>
                <w:sz w:val="18"/>
              </w:rPr>
              <w:t>核心网运行镜像基于 Ubuntu 22.04；已核对宿主环境为 Ubuntu 22.04.3 LTS、x86_64</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平台参考</w:t>
            </w:r>
          </w:p>
        </w:tc>
        <w:tc>
          <w:tcPr>
            <w:tcW w:type="dxa" w:w="6953"/>
            <w:vAlign w:val="center"/>
          </w:tcPr>
          <w:p>
            <w:pPr>
              <w:spacing w:line="288" w:lineRule="auto" w:before="60" w:after="60"/>
            </w:pPr>
            <w:r>
              <w:rPr>
                <w:rFonts w:ascii="Arial" w:hAnsi="Arial" w:eastAsia="Microsoft YaHei"/>
                <w:b w:val="0"/>
                <w:i w:val="0"/>
                <w:color w:val="24384C"/>
                <w:sz w:val="18"/>
              </w:rPr>
              <w:t>已核对环境为 Kubernetes v1.26.8、containerd 1.6.32；编制机 Helm v3.17.3。该记录用于复现，项目平台版本应单独选型、验证并冻结</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基站适配</w:t>
            </w:r>
          </w:p>
        </w:tc>
        <w:tc>
          <w:tcPr>
            <w:tcW w:type="dxa" w:w="6953"/>
            <w:vAlign w:val="center"/>
            <w:shd w:fill="F4F7FA"/>
          </w:tcPr>
          <w:p>
            <w:pPr>
              <w:spacing w:line="288" w:lineRule="auto" w:before="60" w:after="60"/>
            </w:pPr>
            <w:r>
              <w:rPr>
                <w:rFonts w:ascii="Arial" w:hAnsi="Arial" w:eastAsia="Microsoft YaHei"/>
                <w:b w:val="0"/>
                <w:i w:val="0"/>
                <w:color w:val="24384C"/>
                <w:sz w:val="18"/>
              </w:rPr>
              <w:t>具备 5G SA N2/NGAP、N3/GTP-U 能力且配置匹配的 gNB；已有 OAI gNB／RFsim nrUE 联调记录</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基站型号与版本</w:t>
            </w:r>
          </w:p>
        </w:tc>
        <w:tc>
          <w:tcPr>
            <w:tcW w:type="dxa" w:w="6953"/>
            <w:vAlign w:val="center"/>
          </w:tcPr>
          <w:p>
            <w:pPr>
              <w:spacing w:line="288" w:lineRule="auto" w:before="60" w:after="60"/>
            </w:pPr>
            <w:r>
              <w:rPr>
                <w:rFonts w:ascii="Arial" w:hAnsi="Arial" w:eastAsia="Microsoft YaHei"/>
                <w:b w:val="0"/>
                <w:i w:val="0"/>
                <w:color w:val="24384C"/>
                <w:sz w:val="18"/>
              </w:rPr>
              <w:t>OAI 示例不构成所有商用基站的互通保证；商用型号、软件版本、频段及测试结果填写于项目适配清单</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服务器／网卡硬件</w:t>
            </w:r>
          </w:p>
        </w:tc>
        <w:tc>
          <w:tcPr>
            <w:tcW w:type="dxa" w:w="6953"/>
            <w:vAlign w:val="center"/>
            <w:shd w:fill="F4F7FA"/>
          </w:tcPr>
          <w:p>
            <w:pPr>
              <w:spacing w:line="288" w:lineRule="auto" w:before="60" w:after="60"/>
            </w:pPr>
            <w:r>
              <w:rPr>
                <w:rFonts w:ascii="Arial" w:hAnsi="Arial" w:eastAsia="Microsoft YaHei"/>
                <w:b w:val="0"/>
                <w:i w:val="0"/>
                <w:color w:val="24384C"/>
                <w:sz w:val="18"/>
              </w:rPr>
              <w:t>无固定专用硬件型号；以配套服务器、网卡、固件和供货清单为准。加速模式额外要求合格的 SR-IOV／VFIO／大页／CPU 分配条件</w:t>
            </w:r>
          </w:p>
        </w:tc>
      </w:tr>
    </w:tbl>
    <w:p>
      <w:pPr>
        <w:spacing w:after="40" w:line="48" w:lineRule="auto"/>
      </w:pPr>
    </w:p>
    <w:p>
      <w:r>
        <w:rPr>
          <w:rFonts w:ascii="Arial" w:hAnsi="Arial" w:eastAsia="Microsoft YaHei"/>
          <w:b w:val="0"/>
          <w:i w:val="0"/>
        </w:rPr>
      </w:r>
      <w:r>
        <w:rPr>
          <w:rFonts w:ascii="Arial" w:hAnsi="Arial" w:eastAsia="Microsoft YaHei"/>
          <w:b/>
          <w:i w:val="0"/>
        </w:rPr>
        <w:t>范围边界</w:t>
      </w:r>
      <w:r>
        <w:rPr>
          <w:rFonts w:ascii="Arial" w:hAnsi="Arial" w:eastAsia="Microsoft YaHei"/>
          <w:b w:val="0"/>
          <w:i w:val="0"/>
        </w:rPr>
        <w:t>：仓库保留 Open5GS 的 EPC 相关源代码，但当前 helm/xcn 不部署 MME、HSS、SGW 等 EPC 网元；本说明书不据此承诺当前部署已提供 4G EPC／NSA 业务。IMS、语音业务平台、基站射频单元、SIM 制卡设备及外部计费系统不在默认部署包中。</w:t>
      </w:r>
    </w:p>
    <w:p>
      <w:pPr>
        <w:pStyle w:val="Heading2"/>
      </w:pPr>
      <w:r>
        <w:rPr>
          <w:rFonts w:ascii="Arial" w:hAnsi="Arial" w:eastAsia="Microsoft YaHei"/>
          <w:b w:val="0"/>
          <w:i w:val="0"/>
        </w:rPr>
        <w:t>1.4 术语与缩略语</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缩略语</w:t>
            </w:r>
          </w:p>
        </w:tc>
        <w:tc>
          <w:tcPr>
            <w:tcW w:type="dxa" w:w="3143"/>
            <w:vAlign w:val="center"/>
            <w:shd w:fill="214D72"/>
          </w:tcPr>
          <w:p>
            <w:pPr>
              <w:spacing w:line="288" w:lineRule="auto" w:before="60" w:after="60"/>
            </w:pPr>
            <w:r>
              <w:rPr>
                <w:rFonts w:ascii="Arial" w:hAnsi="Arial" w:eastAsia="Microsoft YaHei"/>
                <w:b/>
                <w:i w:val="0"/>
                <w:color w:val="FFFFFF"/>
                <w:sz w:val="18"/>
              </w:rPr>
              <w:t>中文含义</w:t>
            </w:r>
          </w:p>
        </w:tc>
        <w:tc>
          <w:tcPr>
            <w:tcW w:type="dxa" w:w="4191"/>
            <w:vAlign w:val="center"/>
            <w:shd w:fill="214D72"/>
          </w:tcPr>
          <w:p>
            <w:pPr>
              <w:spacing w:line="288" w:lineRule="auto" w:before="60" w:after="60"/>
            </w:pPr>
            <w:r>
              <w:rPr>
                <w:rFonts w:ascii="Arial" w:hAnsi="Arial" w:eastAsia="Microsoft YaHei"/>
                <w:b/>
                <w:i w:val="0"/>
                <w:color w:val="FFFFFF"/>
                <w:sz w:val="18"/>
              </w:rPr>
              <w:t>在本系统中的用途</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XCN／CN</w:t>
            </w:r>
          </w:p>
        </w:tc>
        <w:tc>
          <w:tcPr>
            <w:tcW w:type="dxa" w:w="3143"/>
            <w:vAlign w:val="center"/>
          </w:tcPr>
          <w:p>
            <w:pPr>
              <w:spacing w:line="288" w:lineRule="auto" w:before="60" w:after="60"/>
            </w:pPr>
            <w:r>
              <w:rPr>
                <w:rFonts w:ascii="Arial" w:hAnsi="Arial" w:eastAsia="Microsoft YaHei"/>
                <w:b w:val="0"/>
                <w:i w:val="0"/>
                <w:color w:val="24384C"/>
                <w:sz w:val="18"/>
              </w:rPr>
              <w:t>本产品名称／核心网</w:t>
            </w:r>
          </w:p>
        </w:tc>
        <w:tc>
          <w:tcPr>
            <w:tcW w:type="dxa" w:w="4191"/>
            <w:vAlign w:val="center"/>
          </w:tcPr>
          <w:p>
            <w:pPr>
              <w:spacing w:line="288" w:lineRule="auto" w:before="60" w:after="60"/>
            </w:pPr>
            <w:r>
              <w:rPr>
                <w:rFonts w:ascii="Arial" w:hAnsi="Arial" w:eastAsia="Microsoft YaHei"/>
                <w:b w:val="0"/>
                <w:i w:val="0"/>
                <w:color w:val="24384C"/>
                <w:sz w:val="18"/>
              </w:rPr>
              <w:t>承担核心网控制与数据转发功能</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5GC／SA</w:t>
            </w:r>
          </w:p>
        </w:tc>
        <w:tc>
          <w:tcPr>
            <w:tcW w:type="dxa" w:w="3143"/>
            <w:vAlign w:val="center"/>
            <w:shd w:fill="F4F7FA"/>
          </w:tcPr>
          <w:p>
            <w:pPr>
              <w:spacing w:line="288" w:lineRule="auto" w:before="60" w:after="60"/>
            </w:pPr>
            <w:r>
              <w:rPr>
                <w:rFonts w:ascii="Arial" w:hAnsi="Arial" w:eastAsia="Microsoft YaHei"/>
                <w:b w:val="0"/>
                <w:i w:val="0"/>
                <w:color w:val="24384C"/>
                <w:sz w:val="18"/>
              </w:rPr>
              <w:t>5G 核心网／独立组网</w:t>
            </w:r>
          </w:p>
        </w:tc>
        <w:tc>
          <w:tcPr>
            <w:tcW w:type="dxa" w:w="4191"/>
            <w:vAlign w:val="center"/>
            <w:shd w:fill="F4F7FA"/>
          </w:tcPr>
          <w:p>
            <w:pPr>
              <w:spacing w:line="288" w:lineRule="auto" w:before="60" w:after="60"/>
            </w:pPr>
            <w:r>
              <w:rPr>
                <w:rFonts w:ascii="Arial" w:hAnsi="Arial" w:eastAsia="Microsoft YaHei"/>
                <w:b w:val="0"/>
                <w:i w:val="0"/>
                <w:color w:val="24384C"/>
                <w:sz w:val="18"/>
              </w:rPr>
              <w:t>当前部署的核心业务架构</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EPC／NSA</w:t>
            </w:r>
          </w:p>
        </w:tc>
        <w:tc>
          <w:tcPr>
            <w:tcW w:type="dxa" w:w="3143"/>
            <w:vAlign w:val="center"/>
          </w:tcPr>
          <w:p>
            <w:pPr>
              <w:spacing w:line="288" w:lineRule="auto" w:before="60" w:after="60"/>
            </w:pPr>
            <w:r>
              <w:rPr>
                <w:rFonts w:ascii="Arial" w:hAnsi="Arial" w:eastAsia="Microsoft YaHei"/>
                <w:b w:val="0"/>
                <w:i w:val="0"/>
                <w:color w:val="24384C"/>
                <w:sz w:val="18"/>
              </w:rPr>
              <w:t>演进分组核心网／非独立组网</w:t>
            </w:r>
          </w:p>
        </w:tc>
        <w:tc>
          <w:tcPr>
            <w:tcW w:type="dxa" w:w="4191"/>
            <w:vAlign w:val="center"/>
          </w:tcPr>
          <w:p>
            <w:pPr>
              <w:spacing w:line="288" w:lineRule="auto" w:before="60" w:after="60"/>
            </w:pPr>
            <w:r>
              <w:rPr>
                <w:rFonts w:ascii="Arial" w:hAnsi="Arial" w:eastAsia="Microsoft YaHei"/>
                <w:b w:val="0"/>
                <w:i w:val="0"/>
                <w:color w:val="24384C"/>
                <w:sz w:val="18"/>
              </w:rPr>
              <w:t>与当前默认 5GC 部署范围区分</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UE／gNB</w:t>
            </w:r>
          </w:p>
        </w:tc>
        <w:tc>
          <w:tcPr>
            <w:tcW w:type="dxa" w:w="3143"/>
            <w:vAlign w:val="center"/>
            <w:shd w:fill="F4F7FA"/>
          </w:tcPr>
          <w:p>
            <w:pPr>
              <w:spacing w:line="288" w:lineRule="auto" w:before="60" w:after="60"/>
            </w:pPr>
            <w:r>
              <w:rPr>
                <w:rFonts w:ascii="Arial" w:hAnsi="Arial" w:eastAsia="Microsoft YaHei"/>
                <w:b w:val="0"/>
                <w:i w:val="0"/>
                <w:color w:val="24384C"/>
                <w:sz w:val="18"/>
              </w:rPr>
              <w:t>用户终端／5G 基站</w:t>
            </w:r>
          </w:p>
        </w:tc>
        <w:tc>
          <w:tcPr>
            <w:tcW w:type="dxa" w:w="4191"/>
            <w:vAlign w:val="center"/>
            <w:shd w:fill="F4F7FA"/>
          </w:tcPr>
          <w:p>
            <w:pPr>
              <w:spacing w:line="288" w:lineRule="auto" w:before="60" w:after="60"/>
            </w:pPr>
            <w:r>
              <w:rPr>
                <w:rFonts w:ascii="Arial" w:hAnsi="Arial" w:eastAsia="Microsoft YaHei"/>
                <w:b w:val="0"/>
                <w:i w:val="0"/>
                <w:color w:val="24384C"/>
                <w:sz w:val="18"/>
              </w:rPr>
              <w:t>核心网的接入对象及接入网对端</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AMF</w:t>
            </w:r>
          </w:p>
        </w:tc>
        <w:tc>
          <w:tcPr>
            <w:tcW w:type="dxa" w:w="3143"/>
            <w:vAlign w:val="center"/>
          </w:tcPr>
          <w:p>
            <w:pPr>
              <w:spacing w:line="288" w:lineRule="auto" w:before="60" w:after="60"/>
            </w:pPr>
            <w:r>
              <w:rPr>
                <w:rFonts w:ascii="Arial" w:hAnsi="Arial" w:eastAsia="Microsoft YaHei"/>
                <w:b w:val="0"/>
                <w:i w:val="0"/>
                <w:color w:val="24384C"/>
                <w:sz w:val="18"/>
              </w:rPr>
              <w:t>接入与移动性管理功能</w:t>
            </w:r>
          </w:p>
        </w:tc>
        <w:tc>
          <w:tcPr>
            <w:tcW w:type="dxa" w:w="4191"/>
            <w:vAlign w:val="center"/>
          </w:tcPr>
          <w:p>
            <w:pPr>
              <w:spacing w:line="288" w:lineRule="auto" w:before="60" w:after="60"/>
            </w:pPr>
            <w:r>
              <w:rPr>
                <w:rFonts w:ascii="Arial" w:hAnsi="Arial" w:eastAsia="Microsoft YaHei"/>
                <w:b w:val="0"/>
                <w:i w:val="0"/>
                <w:color w:val="24384C"/>
                <w:sz w:val="18"/>
              </w:rPr>
              <w:t>注册、接入控制、移动性、NAS 信令</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SMF／UPF</w:t>
            </w:r>
          </w:p>
        </w:tc>
        <w:tc>
          <w:tcPr>
            <w:tcW w:type="dxa" w:w="3143"/>
            <w:vAlign w:val="center"/>
            <w:shd w:fill="F4F7FA"/>
          </w:tcPr>
          <w:p>
            <w:pPr>
              <w:spacing w:line="288" w:lineRule="auto" w:before="60" w:after="60"/>
            </w:pPr>
            <w:r>
              <w:rPr>
                <w:rFonts w:ascii="Arial" w:hAnsi="Arial" w:eastAsia="Microsoft YaHei"/>
                <w:b w:val="0"/>
                <w:i w:val="0"/>
                <w:color w:val="24384C"/>
                <w:sz w:val="18"/>
              </w:rPr>
              <w:t>会话管理功能／用户面功能</w:t>
            </w:r>
          </w:p>
        </w:tc>
        <w:tc>
          <w:tcPr>
            <w:tcW w:type="dxa" w:w="4191"/>
            <w:vAlign w:val="center"/>
            <w:shd w:fill="F4F7FA"/>
          </w:tcPr>
          <w:p>
            <w:pPr>
              <w:spacing w:line="288" w:lineRule="auto" w:before="60" w:after="60"/>
            </w:pPr>
            <w:r>
              <w:rPr>
                <w:rFonts w:ascii="Arial" w:hAnsi="Arial" w:eastAsia="Microsoft YaHei"/>
                <w:b w:val="0"/>
                <w:i w:val="0"/>
                <w:color w:val="24384C"/>
                <w:sz w:val="18"/>
              </w:rPr>
              <w:t>PDU 会话控制／业务数据转发</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AUSF／UDM／UDR</w:t>
            </w:r>
          </w:p>
        </w:tc>
        <w:tc>
          <w:tcPr>
            <w:tcW w:type="dxa" w:w="3143"/>
            <w:vAlign w:val="center"/>
          </w:tcPr>
          <w:p>
            <w:pPr>
              <w:spacing w:line="288" w:lineRule="auto" w:before="60" w:after="60"/>
            </w:pPr>
            <w:r>
              <w:rPr>
                <w:rFonts w:ascii="Arial" w:hAnsi="Arial" w:eastAsia="Microsoft YaHei"/>
                <w:b w:val="0"/>
                <w:i w:val="0"/>
                <w:color w:val="24384C"/>
                <w:sz w:val="18"/>
              </w:rPr>
              <w:t>鉴权服务／统一数据管理／统一数据存储功能</w:t>
            </w:r>
          </w:p>
        </w:tc>
        <w:tc>
          <w:tcPr>
            <w:tcW w:type="dxa" w:w="4191"/>
            <w:vAlign w:val="center"/>
          </w:tcPr>
          <w:p>
            <w:pPr>
              <w:spacing w:line="288" w:lineRule="auto" w:before="60" w:after="60"/>
            </w:pPr>
            <w:r>
              <w:rPr>
                <w:rFonts w:ascii="Arial" w:hAnsi="Arial" w:eastAsia="Microsoft YaHei"/>
                <w:b w:val="0"/>
                <w:i w:val="0"/>
                <w:color w:val="24384C"/>
                <w:sz w:val="18"/>
              </w:rPr>
              <w:t>用户认证与订阅数据服务</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NRF／SCP</w:t>
            </w:r>
          </w:p>
        </w:tc>
        <w:tc>
          <w:tcPr>
            <w:tcW w:type="dxa" w:w="3143"/>
            <w:vAlign w:val="center"/>
            <w:shd w:fill="F4F7FA"/>
          </w:tcPr>
          <w:p>
            <w:pPr>
              <w:spacing w:line="288" w:lineRule="auto" w:before="60" w:after="60"/>
            </w:pPr>
            <w:r>
              <w:rPr>
                <w:rFonts w:ascii="Arial" w:hAnsi="Arial" w:eastAsia="Microsoft YaHei"/>
                <w:b w:val="0"/>
                <w:i w:val="0"/>
                <w:color w:val="24384C"/>
                <w:sz w:val="18"/>
              </w:rPr>
              <w:t>网元注册功能／服务通信代理</w:t>
            </w:r>
          </w:p>
        </w:tc>
        <w:tc>
          <w:tcPr>
            <w:tcW w:type="dxa" w:w="4191"/>
            <w:vAlign w:val="center"/>
            <w:shd w:fill="F4F7FA"/>
          </w:tcPr>
          <w:p>
            <w:pPr>
              <w:spacing w:line="288" w:lineRule="auto" w:before="60" w:after="60"/>
            </w:pPr>
            <w:r>
              <w:rPr>
                <w:rFonts w:ascii="Arial" w:hAnsi="Arial" w:eastAsia="Microsoft YaHei"/>
                <w:b w:val="0"/>
                <w:i w:val="0"/>
                <w:color w:val="24384C"/>
                <w:sz w:val="18"/>
              </w:rPr>
              <w:t>网元服务发现与 SBI 通信转发</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PCF／NSSF</w:t>
            </w:r>
          </w:p>
        </w:tc>
        <w:tc>
          <w:tcPr>
            <w:tcW w:type="dxa" w:w="3143"/>
            <w:vAlign w:val="center"/>
          </w:tcPr>
          <w:p>
            <w:pPr>
              <w:spacing w:line="288" w:lineRule="auto" w:before="60" w:after="60"/>
            </w:pPr>
            <w:r>
              <w:rPr>
                <w:rFonts w:ascii="Arial" w:hAnsi="Arial" w:eastAsia="Microsoft YaHei"/>
                <w:b w:val="0"/>
                <w:i w:val="0"/>
                <w:color w:val="24384C"/>
                <w:sz w:val="18"/>
              </w:rPr>
              <w:t>策略控制功能／网络切片选择功能</w:t>
            </w:r>
          </w:p>
        </w:tc>
        <w:tc>
          <w:tcPr>
            <w:tcW w:type="dxa" w:w="4191"/>
            <w:vAlign w:val="center"/>
          </w:tcPr>
          <w:p>
            <w:pPr>
              <w:spacing w:line="288" w:lineRule="auto" w:before="60" w:after="60"/>
            </w:pPr>
            <w:r>
              <w:rPr>
                <w:rFonts w:ascii="Arial" w:hAnsi="Arial" w:eastAsia="Microsoft YaHei"/>
                <w:b w:val="0"/>
                <w:i w:val="0"/>
                <w:color w:val="24384C"/>
                <w:sz w:val="18"/>
              </w:rPr>
              <w:t>策略控制与切片选择</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SBI／SBA</w:t>
            </w:r>
          </w:p>
        </w:tc>
        <w:tc>
          <w:tcPr>
            <w:tcW w:type="dxa" w:w="3143"/>
            <w:vAlign w:val="center"/>
            <w:shd w:fill="F4F7FA"/>
          </w:tcPr>
          <w:p>
            <w:pPr>
              <w:spacing w:line="288" w:lineRule="auto" w:before="60" w:after="60"/>
            </w:pPr>
            <w:r>
              <w:rPr>
                <w:rFonts w:ascii="Arial" w:hAnsi="Arial" w:eastAsia="Microsoft YaHei"/>
                <w:b w:val="0"/>
                <w:i w:val="0"/>
                <w:color w:val="24384C"/>
                <w:sz w:val="18"/>
              </w:rPr>
              <w:t>服务化接口／服务化架构</w:t>
            </w:r>
          </w:p>
        </w:tc>
        <w:tc>
          <w:tcPr>
            <w:tcW w:type="dxa" w:w="4191"/>
            <w:vAlign w:val="center"/>
            <w:shd w:fill="F4F7FA"/>
          </w:tcPr>
          <w:p>
            <w:pPr>
              <w:spacing w:line="288" w:lineRule="auto" w:before="60" w:after="60"/>
            </w:pPr>
            <w:r>
              <w:rPr>
                <w:rFonts w:ascii="Arial" w:hAnsi="Arial" w:eastAsia="Microsoft YaHei"/>
                <w:b w:val="0"/>
                <w:i w:val="0"/>
                <w:color w:val="24384C"/>
                <w:sz w:val="18"/>
              </w:rPr>
              <w:t>控制面网元之间的服务调用方式</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NAS／NGAP</w:t>
            </w:r>
          </w:p>
        </w:tc>
        <w:tc>
          <w:tcPr>
            <w:tcW w:type="dxa" w:w="3143"/>
            <w:vAlign w:val="center"/>
          </w:tcPr>
          <w:p>
            <w:pPr>
              <w:spacing w:line="288" w:lineRule="auto" w:before="60" w:after="60"/>
            </w:pPr>
            <w:r>
              <w:rPr>
                <w:rFonts w:ascii="Arial" w:hAnsi="Arial" w:eastAsia="Microsoft YaHei"/>
                <w:b w:val="0"/>
                <w:i w:val="0"/>
                <w:color w:val="24384C"/>
                <w:sz w:val="18"/>
              </w:rPr>
              <w:t>非接入层信令／NG 应用协议</w:t>
            </w:r>
          </w:p>
        </w:tc>
        <w:tc>
          <w:tcPr>
            <w:tcW w:type="dxa" w:w="4191"/>
            <w:vAlign w:val="center"/>
          </w:tcPr>
          <w:p>
            <w:pPr>
              <w:spacing w:line="288" w:lineRule="auto" w:before="60" w:after="60"/>
            </w:pPr>
            <w:r>
              <w:rPr>
                <w:rFonts w:ascii="Arial" w:hAnsi="Arial" w:eastAsia="Microsoft YaHei"/>
                <w:b w:val="0"/>
                <w:i w:val="0"/>
                <w:color w:val="24384C"/>
                <w:sz w:val="18"/>
              </w:rPr>
              <w:t>UE－核心网信令／gNB－AMF 信令</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SCTP／GTP-U／PFCP</w:t>
            </w:r>
          </w:p>
        </w:tc>
        <w:tc>
          <w:tcPr>
            <w:tcW w:type="dxa" w:w="3143"/>
            <w:vAlign w:val="center"/>
            <w:shd w:fill="F4F7FA"/>
          </w:tcPr>
          <w:p>
            <w:pPr>
              <w:spacing w:line="288" w:lineRule="auto" w:before="60" w:after="60"/>
            </w:pPr>
            <w:r>
              <w:rPr>
                <w:rFonts w:ascii="Arial" w:hAnsi="Arial" w:eastAsia="Microsoft YaHei"/>
                <w:b w:val="0"/>
                <w:i w:val="0"/>
                <w:color w:val="24384C"/>
                <w:sz w:val="18"/>
              </w:rPr>
              <w:t>流控制传输协议／用户面隧道协议／分组转发控制协议</w:t>
            </w:r>
          </w:p>
        </w:tc>
        <w:tc>
          <w:tcPr>
            <w:tcW w:type="dxa" w:w="4191"/>
            <w:vAlign w:val="center"/>
            <w:shd w:fill="F4F7FA"/>
          </w:tcPr>
          <w:p>
            <w:pPr>
              <w:spacing w:line="288" w:lineRule="auto" w:before="60" w:after="60"/>
            </w:pPr>
            <w:r>
              <w:rPr>
                <w:rFonts w:ascii="Arial" w:hAnsi="Arial" w:eastAsia="Microsoft YaHei"/>
                <w:b w:val="0"/>
                <w:i w:val="0"/>
                <w:color w:val="24384C"/>
                <w:sz w:val="18"/>
              </w:rPr>
              <w:t>分别承载 N2、N3、N4 通信</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DN／DNN</w:t>
            </w:r>
          </w:p>
        </w:tc>
        <w:tc>
          <w:tcPr>
            <w:tcW w:type="dxa" w:w="3143"/>
            <w:vAlign w:val="center"/>
          </w:tcPr>
          <w:p>
            <w:pPr>
              <w:spacing w:line="288" w:lineRule="auto" w:before="60" w:after="60"/>
            </w:pPr>
            <w:r>
              <w:rPr>
                <w:rFonts w:ascii="Arial" w:hAnsi="Arial" w:eastAsia="Microsoft YaHei"/>
                <w:b w:val="0"/>
                <w:i w:val="0"/>
                <w:color w:val="24384C"/>
                <w:sz w:val="18"/>
              </w:rPr>
              <w:t>数据网络／数据网络名称</w:t>
            </w:r>
          </w:p>
        </w:tc>
        <w:tc>
          <w:tcPr>
            <w:tcW w:type="dxa" w:w="4191"/>
            <w:vAlign w:val="center"/>
          </w:tcPr>
          <w:p>
            <w:pPr>
              <w:spacing w:line="288" w:lineRule="auto" w:before="60" w:after="60"/>
            </w:pPr>
            <w:r>
              <w:rPr>
                <w:rFonts w:ascii="Arial" w:hAnsi="Arial" w:eastAsia="Microsoft YaHei"/>
                <w:b w:val="0"/>
                <w:i w:val="0"/>
                <w:color w:val="24384C"/>
                <w:sz w:val="18"/>
              </w:rPr>
              <w:t>业务出口网络／终端申请的数据网标识</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PLMN／MCC／MNC</w:t>
            </w:r>
          </w:p>
        </w:tc>
        <w:tc>
          <w:tcPr>
            <w:tcW w:type="dxa" w:w="3143"/>
            <w:vAlign w:val="center"/>
            <w:shd w:fill="F4F7FA"/>
          </w:tcPr>
          <w:p>
            <w:pPr>
              <w:spacing w:line="288" w:lineRule="auto" w:before="60" w:after="60"/>
            </w:pPr>
            <w:r>
              <w:rPr>
                <w:rFonts w:ascii="Arial" w:hAnsi="Arial" w:eastAsia="Microsoft YaHei"/>
                <w:b w:val="0"/>
                <w:i w:val="0"/>
                <w:color w:val="24384C"/>
                <w:sz w:val="18"/>
              </w:rPr>
              <w:t>公共陆地移动网／移动国家码／移动网络码</w:t>
            </w:r>
          </w:p>
        </w:tc>
        <w:tc>
          <w:tcPr>
            <w:tcW w:type="dxa" w:w="4191"/>
            <w:vAlign w:val="center"/>
            <w:shd w:fill="F4F7FA"/>
          </w:tcPr>
          <w:p>
            <w:pPr>
              <w:spacing w:line="288" w:lineRule="auto" w:before="60" w:after="60"/>
            </w:pPr>
            <w:r>
              <w:rPr>
                <w:rFonts w:ascii="Arial" w:hAnsi="Arial" w:eastAsia="Microsoft YaHei"/>
                <w:b w:val="0"/>
                <w:i w:val="0"/>
                <w:color w:val="24384C"/>
                <w:sz w:val="18"/>
              </w:rPr>
              <w:t>网络与运营商身份；MNC 位数及前导零必须保留</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TAC／TAI</w:t>
            </w:r>
          </w:p>
        </w:tc>
        <w:tc>
          <w:tcPr>
            <w:tcW w:type="dxa" w:w="3143"/>
            <w:vAlign w:val="center"/>
          </w:tcPr>
          <w:p>
            <w:pPr>
              <w:spacing w:line="288" w:lineRule="auto" w:before="60" w:after="60"/>
            </w:pPr>
            <w:r>
              <w:rPr>
                <w:rFonts w:ascii="Arial" w:hAnsi="Arial" w:eastAsia="Microsoft YaHei"/>
                <w:b w:val="0"/>
                <w:i w:val="0"/>
                <w:color w:val="24384C"/>
                <w:sz w:val="18"/>
              </w:rPr>
              <w:t>跟踪区码／跟踪区标识</w:t>
            </w:r>
          </w:p>
        </w:tc>
        <w:tc>
          <w:tcPr>
            <w:tcW w:type="dxa" w:w="4191"/>
            <w:vAlign w:val="center"/>
          </w:tcPr>
          <w:p>
            <w:pPr>
              <w:spacing w:line="288" w:lineRule="auto" w:before="60" w:after="60"/>
            </w:pPr>
            <w:r>
              <w:rPr>
                <w:rFonts w:ascii="Arial" w:hAnsi="Arial" w:eastAsia="Microsoft YaHei"/>
                <w:b w:val="0"/>
                <w:i w:val="0"/>
                <w:color w:val="24384C"/>
                <w:sz w:val="18"/>
              </w:rPr>
              <w:t>终端移动性管理区域</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S-NSSAI／SST／SD</w:t>
            </w:r>
          </w:p>
        </w:tc>
        <w:tc>
          <w:tcPr>
            <w:tcW w:type="dxa" w:w="3143"/>
            <w:vAlign w:val="center"/>
            <w:shd w:fill="F4F7FA"/>
          </w:tcPr>
          <w:p>
            <w:pPr>
              <w:spacing w:line="288" w:lineRule="auto" w:before="60" w:after="60"/>
            </w:pPr>
            <w:r>
              <w:rPr>
                <w:rFonts w:ascii="Arial" w:hAnsi="Arial" w:eastAsia="Microsoft YaHei"/>
                <w:b w:val="0"/>
                <w:i w:val="0"/>
                <w:color w:val="24384C"/>
                <w:sz w:val="18"/>
              </w:rPr>
              <w:t>单一网络切片选择辅助信息／切片服务类型／切片区分符</w:t>
            </w:r>
          </w:p>
        </w:tc>
        <w:tc>
          <w:tcPr>
            <w:tcW w:type="dxa" w:w="4191"/>
            <w:vAlign w:val="center"/>
            <w:shd w:fill="F4F7FA"/>
          </w:tcPr>
          <w:p>
            <w:pPr>
              <w:spacing w:line="288" w:lineRule="auto" w:before="60" w:after="60"/>
            </w:pPr>
            <w:r>
              <w:rPr>
                <w:rFonts w:ascii="Arial" w:hAnsi="Arial" w:eastAsia="Microsoft YaHei"/>
                <w:b w:val="0"/>
                <w:i w:val="0"/>
                <w:color w:val="24384C"/>
                <w:sz w:val="18"/>
              </w:rPr>
              <w:t>标识用户使用的网络切片</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SUPI／SUCI／IMSI</w:t>
            </w:r>
          </w:p>
        </w:tc>
        <w:tc>
          <w:tcPr>
            <w:tcW w:type="dxa" w:w="3143"/>
            <w:vAlign w:val="center"/>
          </w:tcPr>
          <w:p>
            <w:pPr>
              <w:spacing w:line="288" w:lineRule="auto" w:before="60" w:after="60"/>
            </w:pPr>
            <w:r>
              <w:rPr>
                <w:rFonts w:ascii="Arial" w:hAnsi="Arial" w:eastAsia="Microsoft YaHei"/>
                <w:b w:val="0"/>
                <w:i w:val="0"/>
                <w:color w:val="24384C"/>
                <w:sz w:val="18"/>
              </w:rPr>
              <w:t>永久用户标识／隐藏用户标识／国际移动用户识别码</w:t>
            </w:r>
          </w:p>
        </w:tc>
        <w:tc>
          <w:tcPr>
            <w:tcW w:type="dxa" w:w="4191"/>
            <w:vAlign w:val="center"/>
          </w:tcPr>
          <w:p>
            <w:pPr>
              <w:spacing w:line="288" w:lineRule="auto" w:before="60" w:after="60"/>
            </w:pPr>
            <w:r>
              <w:rPr>
                <w:rFonts w:ascii="Arial" w:hAnsi="Arial" w:eastAsia="Microsoft YaHei"/>
                <w:b w:val="0"/>
                <w:i w:val="0"/>
                <w:color w:val="24384C"/>
                <w:sz w:val="18"/>
              </w:rPr>
              <w:t>用户身份及隐私保护相关标识</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PDU／PSI</w:t>
            </w:r>
          </w:p>
        </w:tc>
        <w:tc>
          <w:tcPr>
            <w:tcW w:type="dxa" w:w="3143"/>
            <w:vAlign w:val="center"/>
            <w:shd w:fill="F4F7FA"/>
          </w:tcPr>
          <w:p>
            <w:pPr>
              <w:spacing w:line="288" w:lineRule="auto" w:before="60" w:after="60"/>
            </w:pPr>
            <w:r>
              <w:rPr>
                <w:rFonts w:ascii="Arial" w:hAnsi="Arial" w:eastAsia="Microsoft YaHei"/>
                <w:b w:val="0"/>
                <w:i w:val="0"/>
                <w:color w:val="24384C"/>
                <w:sz w:val="18"/>
              </w:rPr>
              <w:t>协议数据单元／PDU 会话标识</w:t>
            </w:r>
          </w:p>
        </w:tc>
        <w:tc>
          <w:tcPr>
            <w:tcW w:type="dxa" w:w="4191"/>
            <w:vAlign w:val="center"/>
            <w:shd w:fill="F4F7FA"/>
          </w:tcPr>
          <w:p>
            <w:pPr>
              <w:spacing w:line="288" w:lineRule="auto" w:before="60" w:after="60"/>
            </w:pPr>
            <w:r>
              <w:rPr>
                <w:rFonts w:ascii="Arial" w:hAnsi="Arial" w:eastAsia="Microsoft YaHei"/>
                <w:b w:val="0"/>
                <w:i w:val="0"/>
                <w:color w:val="24384C"/>
                <w:sz w:val="18"/>
              </w:rPr>
              <w:t>数据连接及其会话编号</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QoS／QFI／5QI</w:t>
            </w:r>
          </w:p>
        </w:tc>
        <w:tc>
          <w:tcPr>
            <w:tcW w:type="dxa" w:w="3143"/>
            <w:vAlign w:val="center"/>
          </w:tcPr>
          <w:p>
            <w:pPr>
              <w:spacing w:line="288" w:lineRule="auto" w:before="60" w:after="60"/>
            </w:pPr>
            <w:r>
              <w:rPr>
                <w:rFonts w:ascii="Arial" w:hAnsi="Arial" w:eastAsia="Microsoft YaHei"/>
                <w:b w:val="0"/>
                <w:i w:val="0"/>
                <w:color w:val="24384C"/>
                <w:sz w:val="18"/>
              </w:rPr>
              <w:t>服务质量／QoS 流标识／5G QoS 标识</w:t>
            </w:r>
          </w:p>
        </w:tc>
        <w:tc>
          <w:tcPr>
            <w:tcW w:type="dxa" w:w="4191"/>
            <w:vAlign w:val="center"/>
          </w:tcPr>
          <w:p>
            <w:pPr>
              <w:spacing w:line="288" w:lineRule="auto" w:before="60" w:after="60"/>
            </w:pPr>
            <w:r>
              <w:rPr>
                <w:rFonts w:ascii="Arial" w:hAnsi="Arial" w:eastAsia="Microsoft YaHei"/>
                <w:b w:val="0"/>
                <w:i w:val="0"/>
                <w:color w:val="24384C"/>
                <w:sz w:val="18"/>
              </w:rPr>
              <w:t>标识与控制不同业务流；QFI 不等同于 5QI</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AMBR／GBR／MBR</w:t>
            </w:r>
          </w:p>
        </w:tc>
        <w:tc>
          <w:tcPr>
            <w:tcW w:type="dxa" w:w="3143"/>
            <w:vAlign w:val="center"/>
            <w:shd w:fill="F4F7FA"/>
          </w:tcPr>
          <w:p>
            <w:pPr>
              <w:spacing w:line="288" w:lineRule="auto" w:before="60" w:after="60"/>
            </w:pPr>
            <w:r>
              <w:rPr>
                <w:rFonts w:ascii="Arial" w:hAnsi="Arial" w:eastAsia="Microsoft YaHei"/>
                <w:b w:val="0"/>
                <w:i w:val="0"/>
                <w:color w:val="24384C"/>
                <w:sz w:val="18"/>
              </w:rPr>
              <w:t>聚合最大比特率／保证比特率／最大比特率</w:t>
            </w:r>
          </w:p>
        </w:tc>
        <w:tc>
          <w:tcPr>
            <w:tcW w:type="dxa" w:w="4191"/>
            <w:vAlign w:val="center"/>
            <w:shd w:fill="F4F7FA"/>
          </w:tcPr>
          <w:p>
            <w:pPr>
              <w:spacing w:line="288" w:lineRule="auto" w:before="60" w:after="60"/>
            </w:pPr>
            <w:r>
              <w:rPr>
                <w:rFonts w:ascii="Arial" w:hAnsi="Arial" w:eastAsia="Microsoft YaHei"/>
                <w:b w:val="0"/>
                <w:i w:val="0"/>
                <w:color w:val="24384C"/>
                <w:sz w:val="18"/>
              </w:rPr>
              <w:t>订阅及 QoS 策略参数，不等同于实测吞吐量</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PDR／FAR／QER／URR</w:t>
            </w:r>
          </w:p>
        </w:tc>
        <w:tc>
          <w:tcPr>
            <w:tcW w:type="dxa" w:w="3143"/>
            <w:vAlign w:val="center"/>
          </w:tcPr>
          <w:p>
            <w:pPr>
              <w:spacing w:line="288" w:lineRule="auto" w:before="60" w:after="60"/>
            </w:pPr>
            <w:r>
              <w:rPr>
                <w:rFonts w:ascii="Arial" w:hAnsi="Arial" w:eastAsia="Microsoft YaHei"/>
                <w:b w:val="0"/>
                <w:i w:val="0"/>
                <w:color w:val="24384C"/>
                <w:sz w:val="18"/>
              </w:rPr>
              <w:t>包检测／转发动作／QoS 执行／用量报告规则</w:t>
            </w:r>
          </w:p>
        </w:tc>
        <w:tc>
          <w:tcPr>
            <w:tcW w:type="dxa" w:w="4191"/>
            <w:vAlign w:val="center"/>
          </w:tcPr>
          <w:p>
            <w:pPr>
              <w:spacing w:line="288" w:lineRule="auto" w:before="60" w:after="60"/>
            </w:pPr>
            <w:r>
              <w:rPr>
                <w:rFonts w:ascii="Arial" w:hAnsi="Arial" w:eastAsia="Microsoft YaHei"/>
                <w:b w:val="0"/>
                <w:i w:val="0"/>
                <w:color w:val="24384C"/>
                <w:sz w:val="18"/>
              </w:rPr>
              <w:t>UPF 的检测、转发、QoS 与用量规则</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TEID／SEID</w:t>
            </w:r>
          </w:p>
        </w:tc>
        <w:tc>
          <w:tcPr>
            <w:tcW w:type="dxa" w:w="3143"/>
            <w:vAlign w:val="center"/>
            <w:shd w:fill="F4F7FA"/>
          </w:tcPr>
          <w:p>
            <w:pPr>
              <w:spacing w:line="288" w:lineRule="auto" w:before="60" w:after="60"/>
            </w:pPr>
            <w:r>
              <w:rPr>
                <w:rFonts w:ascii="Arial" w:hAnsi="Arial" w:eastAsia="Microsoft YaHei"/>
                <w:b w:val="0"/>
                <w:i w:val="0"/>
                <w:color w:val="24384C"/>
                <w:sz w:val="18"/>
              </w:rPr>
              <w:t>隧道端点标识／PFCP 会话端点标识</w:t>
            </w:r>
          </w:p>
        </w:tc>
        <w:tc>
          <w:tcPr>
            <w:tcW w:type="dxa" w:w="4191"/>
            <w:vAlign w:val="center"/>
            <w:shd w:fill="F4F7FA"/>
          </w:tcPr>
          <w:p>
            <w:pPr>
              <w:spacing w:line="288" w:lineRule="auto" w:before="60" w:after="60"/>
            </w:pPr>
            <w:r>
              <w:rPr>
                <w:rFonts w:ascii="Arial" w:hAnsi="Arial" w:eastAsia="Microsoft YaHei"/>
                <w:b w:val="0"/>
                <w:i w:val="0"/>
                <w:color w:val="24384C"/>
                <w:sz w:val="18"/>
              </w:rPr>
              <w:t>定位 N3 隧道及 N4 会话</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NCI／NR CGI／PCI</w:t>
            </w:r>
          </w:p>
        </w:tc>
        <w:tc>
          <w:tcPr>
            <w:tcW w:type="dxa" w:w="3143"/>
            <w:vAlign w:val="center"/>
          </w:tcPr>
          <w:p>
            <w:pPr>
              <w:spacing w:line="288" w:lineRule="auto" w:before="60" w:after="60"/>
            </w:pPr>
            <w:r>
              <w:rPr>
                <w:rFonts w:ascii="Arial" w:hAnsi="Arial" w:eastAsia="Microsoft YaHei"/>
                <w:b w:val="0"/>
                <w:i w:val="0"/>
                <w:color w:val="24384C"/>
                <w:sz w:val="18"/>
              </w:rPr>
              <w:t>NR 小区标识／NR 全球小区标识／物理小区标识</w:t>
            </w:r>
          </w:p>
        </w:tc>
        <w:tc>
          <w:tcPr>
            <w:tcW w:type="dxa" w:w="4191"/>
            <w:vAlign w:val="center"/>
          </w:tcPr>
          <w:p>
            <w:pPr>
              <w:spacing w:line="288" w:lineRule="auto" w:before="60" w:after="60"/>
            </w:pPr>
            <w:r>
              <w:rPr>
                <w:rFonts w:ascii="Arial" w:hAnsi="Arial" w:eastAsia="Microsoft YaHei"/>
                <w:b w:val="0"/>
                <w:i w:val="0"/>
                <w:color w:val="24384C"/>
                <w:sz w:val="18"/>
              </w:rPr>
              <w:t>NCI 为 36 位；NR CGI 含 PLMN；CLI 的 CELL-ID 不是 PCI</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TUN／NAT／MTU</w:t>
            </w:r>
          </w:p>
        </w:tc>
        <w:tc>
          <w:tcPr>
            <w:tcW w:type="dxa" w:w="3143"/>
            <w:vAlign w:val="center"/>
            <w:shd w:fill="F4F7FA"/>
          </w:tcPr>
          <w:p>
            <w:pPr>
              <w:spacing w:line="288" w:lineRule="auto" w:before="60" w:after="60"/>
            </w:pPr>
            <w:r>
              <w:rPr>
                <w:rFonts w:ascii="Arial" w:hAnsi="Arial" w:eastAsia="Microsoft YaHei"/>
                <w:b w:val="0"/>
                <w:i w:val="0"/>
                <w:color w:val="24384C"/>
                <w:sz w:val="18"/>
              </w:rPr>
              <w:t>虚拟三层接口／网络地址转换／最大传输单元</w:t>
            </w:r>
          </w:p>
        </w:tc>
        <w:tc>
          <w:tcPr>
            <w:tcW w:type="dxa" w:w="4191"/>
            <w:vAlign w:val="center"/>
            <w:shd w:fill="F4F7FA"/>
          </w:tcPr>
          <w:p>
            <w:pPr>
              <w:spacing w:line="288" w:lineRule="auto" w:before="60" w:after="60"/>
            </w:pPr>
            <w:r>
              <w:rPr>
                <w:rFonts w:ascii="Arial" w:hAnsi="Arial" w:eastAsia="Microsoft YaHei"/>
                <w:b w:val="0"/>
                <w:i w:val="0"/>
                <w:color w:val="24384C"/>
                <w:sz w:val="18"/>
              </w:rPr>
              <w:t>兼容用户面、地址转换及路径报文长度</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VPP／DPDK／memif</w:t>
            </w:r>
          </w:p>
        </w:tc>
        <w:tc>
          <w:tcPr>
            <w:tcW w:type="dxa" w:w="3143"/>
            <w:vAlign w:val="center"/>
          </w:tcPr>
          <w:p>
            <w:pPr>
              <w:spacing w:line="288" w:lineRule="auto" w:before="60" w:after="60"/>
            </w:pPr>
            <w:r>
              <w:rPr>
                <w:rFonts w:ascii="Arial" w:hAnsi="Arial" w:eastAsia="Microsoft YaHei"/>
                <w:b w:val="0"/>
                <w:i w:val="0"/>
                <w:color w:val="24384C"/>
                <w:sz w:val="18"/>
              </w:rPr>
              <w:t>向量分组处理／数据平面开发套件／共享内存接口</w:t>
            </w:r>
          </w:p>
        </w:tc>
        <w:tc>
          <w:tcPr>
            <w:tcW w:type="dxa" w:w="4191"/>
            <w:vAlign w:val="center"/>
          </w:tcPr>
          <w:p>
            <w:pPr>
              <w:spacing w:line="288" w:lineRule="auto" w:before="60" w:after="60"/>
            </w:pPr>
            <w:r>
              <w:rPr>
                <w:rFonts w:ascii="Arial" w:hAnsi="Arial" w:eastAsia="Microsoft YaHei"/>
                <w:b w:val="0"/>
                <w:i w:val="0"/>
                <w:color w:val="24384C"/>
                <w:sz w:val="18"/>
              </w:rPr>
              <w:t>可选加速路径的报文处理和收发组件</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SR-IOV／VF／VFIO</w:t>
            </w:r>
          </w:p>
        </w:tc>
        <w:tc>
          <w:tcPr>
            <w:tcW w:type="dxa" w:w="3143"/>
            <w:vAlign w:val="center"/>
            <w:shd w:fill="F4F7FA"/>
          </w:tcPr>
          <w:p>
            <w:pPr>
              <w:spacing w:line="288" w:lineRule="auto" w:before="60" w:after="60"/>
            </w:pPr>
            <w:r>
              <w:rPr>
                <w:rFonts w:ascii="Arial" w:hAnsi="Arial" w:eastAsia="Microsoft YaHei"/>
                <w:b w:val="0"/>
                <w:i w:val="0"/>
                <w:color w:val="24384C"/>
                <w:sz w:val="18"/>
              </w:rPr>
              <w:t>单根 I/O 虚拟化／虚拟功能／用户态设备访问框架</w:t>
            </w:r>
          </w:p>
        </w:tc>
        <w:tc>
          <w:tcPr>
            <w:tcW w:type="dxa" w:w="4191"/>
            <w:vAlign w:val="center"/>
            <w:shd w:fill="F4F7FA"/>
          </w:tcPr>
          <w:p>
            <w:pPr>
              <w:spacing w:line="288" w:lineRule="auto" w:before="60" w:after="60"/>
            </w:pPr>
            <w:r>
              <w:rPr>
                <w:rFonts w:ascii="Arial" w:hAnsi="Arial" w:eastAsia="Microsoft YaHei"/>
                <w:b w:val="0"/>
                <w:i w:val="0"/>
                <w:color w:val="24384C"/>
                <w:sz w:val="18"/>
              </w:rPr>
              <w:t>将合格的网卡虚拟功能分配给 VPP</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Pod／PVC／Helm</w:t>
            </w:r>
          </w:p>
        </w:tc>
        <w:tc>
          <w:tcPr>
            <w:tcW w:type="dxa" w:w="3143"/>
            <w:vAlign w:val="center"/>
          </w:tcPr>
          <w:p>
            <w:pPr>
              <w:spacing w:line="288" w:lineRule="auto" w:before="60" w:after="60"/>
            </w:pPr>
            <w:r>
              <w:rPr>
                <w:rFonts w:ascii="Arial" w:hAnsi="Arial" w:eastAsia="Microsoft YaHei"/>
                <w:b w:val="0"/>
                <w:i w:val="0"/>
                <w:color w:val="24384C"/>
                <w:sz w:val="18"/>
              </w:rPr>
              <w:t>容器组／持久卷声明／Kubernetes 包管理工具</w:t>
            </w:r>
          </w:p>
        </w:tc>
        <w:tc>
          <w:tcPr>
            <w:tcW w:type="dxa" w:w="4191"/>
            <w:vAlign w:val="center"/>
          </w:tcPr>
          <w:p>
            <w:pPr>
              <w:spacing w:line="288" w:lineRule="auto" w:before="60" w:after="60"/>
            </w:pPr>
            <w:r>
              <w:rPr>
                <w:rFonts w:ascii="Arial" w:hAnsi="Arial" w:eastAsia="Microsoft YaHei"/>
                <w:b w:val="0"/>
                <w:i w:val="0"/>
                <w:color w:val="24384C"/>
                <w:sz w:val="18"/>
              </w:rPr>
              <w:t>网元承载、数据库持久化及发布管理</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BBU／RRU／AAU</w:t>
            </w:r>
          </w:p>
        </w:tc>
        <w:tc>
          <w:tcPr>
            <w:tcW w:type="dxa" w:w="3143"/>
            <w:vAlign w:val="center"/>
            <w:shd w:fill="F4F7FA"/>
          </w:tcPr>
          <w:p>
            <w:pPr>
              <w:spacing w:line="288" w:lineRule="auto" w:before="60" w:after="60"/>
            </w:pPr>
            <w:r>
              <w:rPr>
                <w:rFonts w:ascii="Arial" w:hAnsi="Arial" w:eastAsia="Microsoft YaHei"/>
                <w:b w:val="0"/>
                <w:i w:val="0"/>
                <w:color w:val="24384C"/>
                <w:sz w:val="18"/>
              </w:rPr>
              <w:t>基带处理单元／射频拉远单元／有源天线单元</w:t>
            </w:r>
          </w:p>
        </w:tc>
        <w:tc>
          <w:tcPr>
            <w:tcW w:type="dxa" w:w="4191"/>
            <w:vAlign w:val="center"/>
            <w:shd w:fill="F4F7FA"/>
          </w:tcPr>
          <w:p>
            <w:pPr>
              <w:spacing w:line="288" w:lineRule="auto" w:before="60" w:after="60"/>
            </w:pPr>
            <w:r>
              <w:rPr>
                <w:rFonts w:ascii="Arial" w:hAnsi="Arial" w:eastAsia="Microsoft YaHei"/>
                <w:b w:val="0"/>
                <w:i w:val="0"/>
                <w:color w:val="24384C"/>
                <w:sz w:val="18"/>
              </w:rPr>
              <w:t>属于无线接入网硬件，非本核心网软件组成</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VSWR／SINR／MIMO</w:t>
            </w:r>
          </w:p>
        </w:tc>
        <w:tc>
          <w:tcPr>
            <w:tcW w:type="dxa" w:w="3143"/>
            <w:vAlign w:val="center"/>
          </w:tcPr>
          <w:p>
            <w:pPr>
              <w:spacing w:line="288" w:lineRule="auto" w:before="60" w:after="60"/>
            </w:pPr>
            <w:r>
              <w:rPr>
                <w:rFonts w:ascii="Arial" w:hAnsi="Arial" w:eastAsia="Microsoft YaHei"/>
                <w:b w:val="0"/>
                <w:i w:val="0"/>
                <w:color w:val="24384C"/>
                <w:sz w:val="18"/>
              </w:rPr>
              <w:t>电压驻波比／信号与干扰噪声比／多输入多输出</w:t>
            </w:r>
          </w:p>
        </w:tc>
        <w:tc>
          <w:tcPr>
            <w:tcW w:type="dxa" w:w="4191"/>
            <w:vAlign w:val="center"/>
          </w:tcPr>
          <w:p>
            <w:pPr>
              <w:spacing w:line="288" w:lineRule="auto" w:before="60" w:after="60"/>
            </w:pPr>
            <w:r>
              <w:rPr>
                <w:rFonts w:ascii="Arial" w:hAnsi="Arial" w:eastAsia="Microsoft YaHei"/>
                <w:b w:val="0"/>
                <w:i w:val="0"/>
                <w:color w:val="24384C"/>
                <w:sz w:val="18"/>
              </w:rPr>
              <w:t>属于无线侧测量或能力指标，按基站／终端规格确认</w:t>
            </w:r>
          </w:p>
        </w:tc>
      </w:tr>
    </w:tbl>
    <w:p>
      <w:pPr>
        <w:spacing w:after="40" w:line="48" w:lineRule="auto"/>
      </w:pPr>
    </w:p>
    <w:p>
      <w:pPr>
        <w:pStyle w:val="Heading2"/>
      </w:pPr>
      <w:r>
        <w:rPr>
          <w:rFonts w:ascii="Arial" w:hAnsi="Arial" w:eastAsia="Microsoft YaHei"/>
          <w:b w:val="0"/>
          <w:i w:val="0"/>
        </w:rPr>
        <w:t>1.5 参考资料与依据</w:t>
      </w:r>
    </w:p>
    <w:p>
      <w:r>
        <w:rPr>
          <w:rFonts w:ascii="Arial" w:hAnsi="Arial" w:eastAsia="Microsoft YaHei"/>
          <w:b w:val="0"/>
          <w:i w:val="0"/>
        </w:rPr>
        <w:t>本说明书中的实现与默认值优先依据本仓库对应版本。规范编号用于说明相关技术领域，引用规范不代表通过该规范全部条款的一致性认证；项目合同引用时，应约定适用 Release、版本和测试范围。</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编号</w:t>
            </w:r>
          </w:p>
        </w:tc>
        <w:tc>
          <w:tcPr>
            <w:tcW w:type="dxa" w:w="3143"/>
            <w:vAlign w:val="center"/>
            <w:shd w:fill="214D72"/>
          </w:tcPr>
          <w:p>
            <w:pPr>
              <w:spacing w:line="288" w:lineRule="auto" w:before="60" w:after="60"/>
            </w:pPr>
            <w:r>
              <w:rPr>
                <w:rFonts w:ascii="Arial" w:hAnsi="Arial" w:eastAsia="Microsoft YaHei"/>
                <w:b/>
                <w:i w:val="0"/>
                <w:color w:val="FFFFFF"/>
                <w:sz w:val="18"/>
              </w:rPr>
              <w:t>资料</w:t>
            </w:r>
          </w:p>
        </w:tc>
        <w:tc>
          <w:tcPr>
            <w:tcW w:type="dxa" w:w="4191"/>
            <w:vAlign w:val="center"/>
            <w:shd w:fill="214D72"/>
          </w:tcPr>
          <w:p>
            <w:pPr>
              <w:spacing w:line="288" w:lineRule="auto" w:before="60" w:after="60"/>
            </w:pPr>
            <w:r>
              <w:rPr>
                <w:rFonts w:ascii="Arial" w:hAnsi="Arial" w:eastAsia="Microsoft YaHei"/>
                <w:b/>
                <w:i w:val="0"/>
                <w:color w:val="FFFFFF"/>
                <w:sz w:val="18"/>
              </w:rPr>
              <w:t>使用范围</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R01</w:t>
            </w:r>
          </w:p>
        </w:tc>
        <w:tc>
          <w:tcPr>
            <w:tcW w:type="dxa" w:w="3143"/>
            <w:vAlign w:val="center"/>
          </w:tcPr>
          <w:p>
            <w:pPr>
              <w:spacing w:line="288" w:lineRule="auto" w:before="60" w:after="60"/>
            </w:pPr>
            <w:r>
              <w:rPr>
                <w:rFonts w:ascii="Arial" w:hAnsi="Arial" w:eastAsia="Microsoft YaHei"/>
                <w:b w:val="0"/>
                <w:i w:val="0"/>
                <w:color w:val="24384C"/>
                <w:sz w:val="18"/>
              </w:rPr>
              <w:t>helm/xcn/Chart.yaml、values.yaml、templates/</w:t>
            </w:r>
          </w:p>
        </w:tc>
        <w:tc>
          <w:tcPr>
            <w:tcW w:type="dxa" w:w="4191"/>
            <w:vAlign w:val="center"/>
          </w:tcPr>
          <w:p>
            <w:pPr>
              <w:spacing w:line="288" w:lineRule="auto" w:before="60" w:after="60"/>
            </w:pPr>
            <w:r>
              <w:rPr>
                <w:rFonts w:ascii="Arial" w:hAnsi="Arial" w:eastAsia="Microsoft YaHei"/>
                <w:b w:val="0"/>
                <w:i w:val="0"/>
                <w:color w:val="24384C"/>
                <w:sz w:val="18"/>
              </w:rPr>
              <w:t>版本、拓扑、资源、接口及默认配置</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R02</w:t>
            </w:r>
          </w:p>
        </w:tc>
        <w:tc>
          <w:tcPr>
            <w:tcW w:type="dxa" w:w="3143"/>
            <w:vAlign w:val="center"/>
            <w:shd w:fill="F4F7FA"/>
          </w:tcPr>
          <w:p>
            <w:pPr>
              <w:spacing w:line="288" w:lineRule="auto" w:before="60" w:after="60"/>
            </w:pPr>
            <w:r>
              <w:rPr>
                <w:rFonts w:ascii="Arial" w:hAnsi="Arial" w:eastAsia="Microsoft YaHei"/>
                <w:b w:val="0"/>
                <w:i w:val="0"/>
                <w:color w:val="24384C"/>
                <w:sz w:val="18"/>
              </w:rPr>
              <w:t>helm/xcn/README.md；docker/runtime/setup.sh</w:t>
            </w:r>
          </w:p>
        </w:tc>
        <w:tc>
          <w:tcPr>
            <w:tcW w:type="dxa" w:w="4191"/>
            <w:vAlign w:val="center"/>
            <w:shd w:fill="F4F7FA"/>
          </w:tcPr>
          <w:p>
            <w:pPr>
              <w:spacing w:line="288" w:lineRule="auto" w:before="60" w:after="60"/>
            </w:pPr>
            <w:r>
              <w:rPr>
                <w:rFonts w:ascii="Arial" w:hAnsi="Arial" w:eastAsia="Microsoft YaHei"/>
                <w:b w:val="0"/>
                <w:i w:val="0"/>
                <w:color w:val="24384C"/>
                <w:sz w:val="18"/>
              </w:rPr>
              <w:t>部署、TUN／memif、CLI 与路由行为</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R03</w:t>
            </w:r>
          </w:p>
        </w:tc>
        <w:tc>
          <w:tcPr>
            <w:tcW w:type="dxa" w:w="3143"/>
            <w:vAlign w:val="center"/>
          </w:tcPr>
          <w:p>
            <w:pPr>
              <w:spacing w:line="288" w:lineRule="auto" w:before="60" w:after="60"/>
            </w:pPr>
            <w:r>
              <w:rPr>
                <w:rFonts w:ascii="Arial" w:hAnsi="Arial" w:eastAsia="Microsoft YaHei"/>
                <w:b w:val="0"/>
                <w:i w:val="0"/>
                <w:color w:val="24384C"/>
                <w:sz w:val="18"/>
              </w:rPr>
              <w:t>docs/plmn-tac-live-validation.md</w:t>
            </w:r>
          </w:p>
        </w:tc>
        <w:tc>
          <w:tcPr>
            <w:tcW w:type="dxa" w:w="4191"/>
            <w:vAlign w:val="center"/>
          </w:tcPr>
          <w:p>
            <w:pPr>
              <w:spacing w:line="288" w:lineRule="auto" w:before="60" w:after="60"/>
            </w:pPr>
            <w:r>
              <w:rPr>
                <w:rFonts w:ascii="Arial" w:hAnsi="Arial" w:eastAsia="Microsoft YaHei"/>
                <w:b w:val="0"/>
                <w:i w:val="0"/>
                <w:color w:val="24384C"/>
                <w:sz w:val="18"/>
              </w:rPr>
              <w:t>PLMN／TAC 功能验证范围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R04</w:t>
            </w:r>
          </w:p>
        </w:tc>
        <w:tc>
          <w:tcPr>
            <w:tcW w:type="dxa" w:w="3143"/>
            <w:vAlign w:val="center"/>
            <w:shd w:fill="F4F7FA"/>
          </w:tcPr>
          <w:p>
            <w:pPr>
              <w:spacing w:line="288" w:lineRule="auto" w:before="60" w:after="60"/>
            </w:pPr>
            <w:r>
              <w:rPr>
                <w:rFonts w:ascii="Arial" w:hAnsi="Arial" w:eastAsia="Microsoft YaHei"/>
                <w:b w:val="0"/>
                <w:i w:val="0"/>
                <w:color w:val="24384C"/>
                <w:sz w:val="18"/>
              </w:rPr>
              <w:t>docs/ue-ipv4-validation.md</w:t>
            </w:r>
          </w:p>
        </w:tc>
        <w:tc>
          <w:tcPr>
            <w:tcW w:type="dxa" w:w="4191"/>
            <w:vAlign w:val="center"/>
            <w:shd w:fill="F4F7FA"/>
          </w:tcPr>
          <w:p>
            <w:pPr>
              <w:spacing w:line="288" w:lineRule="auto" w:before="60" w:after="60"/>
            </w:pPr>
            <w:r>
              <w:rPr>
                <w:rFonts w:ascii="Arial" w:hAnsi="Arial" w:eastAsia="Microsoft YaHei"/>
                <w:b w:val="0"/>
                <w:i w:val="0"/>
                <w:color w:val="24384C"/>
                <w:sz w:val="18"/>
              </w:rPr>
              <w:t>IPv4 子网、动态池及双模式验证</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R05</w:t>
            </w:r>
          </w:p>
        </w:tc>
        <w:tc>
          <w:tcPr>
            <w:tcW w:type="dxa" w:w="3143"/>
            <w:vAlign w:val="center"/>
          </w:tcPr>
          <w:p>
            <w:pPr>
              <w:spacing w:line="288" w:lineRule="auto" w:before="60" w:after="60"/>
            </w:pPr>
            <w:r>
              <w:rPr>
                <w:rFonts w:ascii="Arial" w:hAnsi="Arial" w:eastAsia="Microsoft YaHei"/>
                <w:b w:val="0"/>
                <w:i w:val="0"/>
                <w:color w:val="24384C"/>
                <w:sz w:val="18"/>
              </w:rPr>
              <w:t>docs/webui-framed-routes.md；docs/framed-routes-live-validation.md</w:t>
            </w:r>
          </w:p>
        </w:tc>
        <w:tc>
          <w:tcPr>
            <w:tcW w:type="dxa" w:w="4191"/>
            <w:vAlign w:val="center"/>
          </w:tcPr>
          <w:p>
            <w:pPr>
              <w:spacing w:line="288" w:lineRule="auto" w:before="60" w:after="60"/>
            </w:pPr>
            <w:r>
              <w:rPr>
                <w:rFonts w:ascii="Arial" w:hAnsi="Arial" w:eastAsia="Microsoft YaHei"/>
                <w:b w:val="0"/>
                <w:i w:val="0"/>
                <w:color w:val="24384C"/>
                <w:sz w:val="18"/>
              </w:rPr>
              <w:t>订阅后路由及真实会话验证边界</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R06</w:t>
            </w:r>
          </w:p>
        </w:tc>
        <w:tc>
          <w:tcPr>
            <w:tcW w:type="dxa" w:w="3143"/>
            <w:vAlign w:val="center"/>
            <w:shd w:fill="F4F7FA"/>
          </w:tcPr>
          <w:p>
            <w:pPr>
              <w:spacing w:line="288" w:lineRule="auto" w:before="60" w:after="60"/>
            </w:pPr>
            <w:r>
              <w:rPr>
                <w:rFonts w:ascii="Arial" w:hAnsi="Arial" w:eastAsia="Microsoft YaHei"/>
                <w:b w:val="0"/>
                <w:i w:val="0"/>
                <w:color w:val="24384C"/>
                <w:sz w:val="18"/>
              </w:rPr>
              <w:t>docs/ue-events-stability-validation.md</w:t>
            </w:r>
          </w:p>
        </w:tc>
        <w:tc>
          <w:tcPr>
            <w:tcW w:type="dxa" w:w="4191"/>
            <w:vAlign w:val="center"/>
            <w:shd w:fill="F4F7FA"/>
          </w:tcPr>
          <w:p>
            <w:pPr>
              <w:spacing w:line="288" w:lineRule="auto" w:before="60" w:after="60"/>
            </w:pPr>
            <w:r>
              <w:rPr>
                <w:rFonts w:ascii="Arial" w:hAnsi="Arial" w:eastAsia="Microsoft YaHei"/>
                <w:b w:val="0"/>
                <w:i w:val="0"/>
                <w:color w:val="24384C"/>
                <w:sz w:val="18"/>
              </w:rPr>
              <w:t>事件历史、资源与稳定性专项记录</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R07</w:t>
            </w:r>
          </w:p>
        </w:tc>
        <w:tc>
          <w:tcPr>
            <w:tcW w:type="dxa" w:w="3143"/>
            <w:vAlign w:val="center"/>
          </w:tcPr>
          <w:p>
            <w:pPr>
              <w:spacing w:line="288" w:lineRule="auto" w:before="60" w:after="60"/>
            </w:pPr>
            <w:r>
              <w:rPr>
                <w:rFonts w:ascii="Arial" w:hAnsi="Arial" w:eastAsia="Microsoft YaHei"/>
                <w:b w:val="0"/>
                <w:i w:val="0"/>
                <w:color w:val="24384C"/>
                <w:sz w:val="18"/>
              </w:rPr>
              <w:t>docs/epco-user-intent.md</w:t>
            </w:r>
          </w:p>
        </w:tc>
        <w:tc>
          <w:tcPr>
            <w:tcW w:type="dxa" w:w="4191"/>
            <w:vAlign w:val="center"/>
          </w:tcPr>
          <w:p>
            <w:pPr>
              <w:spacing w:line="288" w:lineRule="auto" w:before="60" w:after="60"/>
            </w:pPr>
            <w:r>
              <w:rPr>
                <w:rFonts w:ascii="Arial" w:hAnsi="Arial" w:eastAsia="Microsoft YaHei"/>
                <w:b w:val="0"/>
                <w:i w:val="0"/>
                <w:color w:val="24384C"/>
                <w:sz w:val="18"/>
              </w:rPr>
              <w:t>可选用户意图扩展及当前限制</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R08</w:t>
            </w:r>
          </w:p>
        </w:tc>
        <w:tc>
          <w:tcPr>
            <w:tcW w:type="dxa" w:w="3143"/>
            <w:vAlign w:val="center"/>
            <w:shd w:fill="F4F7FA"/>
          </w:tcPr>
          <w:p>
            <w:pPr>
              <w:spacing w:line="288" w:lineRule="auto" w:before="60" w:after="60"/>
            </w:pPr>
            <w:r>
              <w:rPr>
                <w:rFonts w:ascii="Arial" w:hAnsi="Arial" w:eastAsia="Microsoft YaHei"/>
                <w:b w:val="0"/>
                <w:i w:val="0"/>
                <w:color w:val="24384C"/>
                <w:sz w:val="18"/>
              </w:rPr>
              <w:t>项目网络规划、地址与 VLAN 表、基站对接规范、供货 BOM、验收大纲</w:t>
            </w:r>
          </w:p>
        </w:tc>
        <w:tc>
          <w:tcPr>
            <w:tcW w:type="dxa" w:w="4191"/>
            <w:vAlign w:val="center"/>
            <w:shd w:fill="F4F7FA"/>
          </w:tcPr>
          <w:p>
            <w:pPr>
              <w:spacing w:line="288" w:lineRule="auto" w:before="60" w:after="60"/>
            </w:pPr>
            <w:r>
              <w:rPr>
                <w:rFonts w:ascii="Arial" w:hAnsi="Arial" w:eastAsia="Microsoft YaHei"/>
                <w:b w:val="0"/>
                <w:i w:val="0"/>
                <w:color w:val="24384C"/>
                <w:sz w:val="18"/>
              </w:rPr>
              <w:t>【投标人补齐实际文件编号和版本】</w:t>
            </w:r>
          </w:p>
        </w:tc>
      </w:tr>
    </w:tbl>
    <w:p>
      <w:pPr>
        <w:spacing w:after="40" w:line="48" w:lineRule="auto"/>
      </w:pPr>
    </w:p>
    <w:p>
      <w:r>
        <w:rPr>
          <w:rFonts w:ascii="Arial" w:hAnsi="Arial" w:eastAsia="Microsoft YaHei"/>
          <w:b w:val="0"/>
          <w:i w:val="0"/>
        </w:rPr>
        <w:t>相关国际技术规范参考：</w:t>
      </w:r>
    </w:p>
    <w:p>
      <w:pPr>
        <w:pStyle w:val="ListBullet"/>
      </w:pPr>
      <w:hyperlink r:id="rId11">
        <w:r>
          <w:rPr>
            <w:rFonts w:ascii="Arial" w:hAnsi="Arial" w:eastAsia="Microsoft YaHei"/>
            <w:b w:val="0"/>
            <w:i w:val="0"/>
            <w:color w:val="176A9B"/>
            <w:u w:val="single"/>
          </w:rPr>
          <w:t>3GPP TS 23.501：5G 系统架构</w:t>
        </w:r>
      </w:hyperlink>
      <w:r>
        <w:rPr>
          <w:rFonts w:ascii="Arial" w:hAnsi="Arial" w:eastAsia="Microsoft YaHei"/>
          <w:b w:val="0"/>
          <w:i w:val="0"/>
        </w:rPr>
        <w:t>，用于理解网元与参考点。</w:t>
      </w:r>
    </w:p>
    <w:p>
      <w:pPr>
        <w:pStyle w:val="ListBullet"/>
      </w:pPr>
      <w:hyperlink r:id="rId12">
        <w:r>
          <w:rPr>
            <w:rFonts w:ascii="Arial" w:hAnsi="Arial" w:eastAsia="Microsoft YaHei"/>
            <w:b w:val="0"/>
            <w:i w:val="0"/>
            <w:color w:val="176A9B"/>
            <w:u w:val="single"/>
          </w:rPr>
          <w:t>3GPP 5GS 规范目录，含 TS 23.502 流程规范</w:t>
        </w:r>
      </w:hyperlink>
      <w:r>
        <w:rPr>
          <w:rFonts w:ascii="Arial" w:hAnsi="Arial" w:eastAsia="Microsoft YaHei"/>
          <w:b w:val="0"/>
          <w:i w:val="0"/>
        </w:rPr>
        <w:t>，用于对照注册、会话及移动性流程。</w:t>
      </w:r>
    </w:p>
    <w:p>
      <w:pPr>
        <w:pStyle w:val="ListBullet"/>
      </w:pPr>
      <w:hyperlink r:id="rId13">
        <w:r>
          <w:rPr>
            <w:rFonts w:ascii="Arial" w:hAnsi="Arial" w:eastAsia="Microsoft YaHei"/>
            <w:b w:val="0"/>
            <w:i w:val="0"/>
            <w:color w:val="176A9B"/>
            <w:u w:val="single"/>
          </w:rPr>
          <w:t>3GPP TS 38.413：NGAP</w:t>
        </w:r>
      </w:hyperlink>
      <w:r>
        <w:rPr>
          <w:rFonts w:ascii="Arial" w:hAnsi="Arial" w:eastAsia="Microsoft YaHei"/>
          <w:b w:val="0"/>
          <w:i w:val="0"/>
        </w:rPr>
        <w:t>，用于 N2 信令对接。</w:t>
      </w:r>
    </w:p>
    <w:p>
      <w:pPr>
        <w:pStyle w:val="ListBullet"/>
      </w:pPr>
      <w:hyperlink r:id="rId14">
        <w:r>
          <w:rPr>
            <w:rFonts w:ascii="Arial" w:hAnsi="Arial" w:eastAsia="Microsoft YaHei"/>
            <w:b w:val="0"/>
            <w:i w:val="0"/>
            <w:color w:val="176A9B"/>
            <w:u w:val="single"/>
          </w:rPr>
          <w:t>3GPP TS 29.244：控制面与用户面接口</w:t>
        </w:r>
      </w:hyperlink>
      <w:r>
        <w:rPr>
          <w:rFonts w:ascii="Arial" w:hAnsi="Arial" w:eastAsia="Microsoft YaHei"/>
          <w:b w:val="0"/>
          <w:i w:val="0"/>
        </w:rPr>
        <w:t>，用于 PFCP／N4 对接。</w:t>
      </w:r>
    </w:p>
    <w:p>
      <w:pPr>
        <w:pStyle w:val="ListBullet"/>
      </w:pPr>
      <w:hyperlink r:id="rId15">
        <w:r>
          <w:rPr>
            <w:rFonts w:ascii="Arial" w:hAnsi="Arial" w:eastAsia="Microsoft YaHei"/>
            <w:b w:val="0"/>
            <w:i w:val="0"/>
            <w:color w:val="176A9B"/>
            <w:u w:val="single"/>
          </w:rPr>
          <w:t>3GPP TS 29.281：用户面隧道协议</w:t>
        </w:r>
      </w:hyperlink>
      <w:r>
        <w:rPr>
          <w:rFonts w:ascii="Arial" w:hAnsi="Arial" w:eastAsia="Microsoft YaHei"/>
          <w:b w:val="0"/>
          <w:i w:val="0"/>
        </w:rPr>
        <w:t>，用于 GTP-U 协议对接；项目对接需选择双方约定的版本。</w:t>
      </w:r>
    </w:p>
    <w:p>
      <w:pPr>
        <w:pStyle w:val="ListBullet"/>
      </w:pPr>
      <w:hyperlink r:id="rId16">
        <w:r>
          <w:rPr>
            <w:rFonts w:ascii="Arial" w:hAnsi="Arial" w:eastAsia="Microsoft YaHei"/>
            <w:b w:val="0"/>
            <w:i w:val="0"/>
            <w:color w:val="176A9B"/>
            <w:u w:val="single"/>
          </w:rPr>
          <w:t>3GPP TS 33.501：5G 安全架构与过程</w:t>
        </w:r>
      </w:hyperlink>
      <w:r>
        <w:rPr>
          <w:rFonts w:ascii="Arial" w:hAnsi="Arial" w:eastAsia="Microsoft YaHei"/>
          <w:b w:val="0"/>
          <w:i w:val="0"/>
        </w:rPr>
        <w:t>，用于安全设计对照。</w:t>
      </w:r>
    </w:p>
    <w:p>
      <w:r>
        <w:rPr>
          <w:rFonts w:ascii="Arial" w:hAnsi="Arial" w:eastAsia="Microsoft YaHei"/>
          <w:b w:val="0"/>
          <w:i w:val="0"/>
        </w:rPr>
        <w:t>国家标准、行业标准、等保及项目专项要求：【投标人填写标准编号、版本、适用条款和对应证明材料】。尚未确认的标准或认证不得列为已满足。</w:t>
      </w:r>
    </w:p>
    <w:p>
      <w:pPr>
        <w:pStyle w:val="Heading1"/>
        <w:pageBreakBefore/>
      </w:pPr>
      <w:r>
        <w:rPr>
          <w:rFonts w:ascii="Arial" w:hAnsi="Arial" w:eastAsia="Microsoft YaHei"/>
          <w:b w:val="0"/>
          <w:i w:val="0"/>
        </w:rPr>
        <w:t>2. ⚠ 安全须知</w:t>
      </w:r>
    </w:p>
    <w:p>
      <w:pPr>
        <w:pStyle w:val="Heading2"/>
      </w:pPr>
      <w:r>
        <w:rPr>
          <w:rFonts w:ascii="Arial" w:hAnsi="Arial" w:eastAsia="Microsoft YaHei"/>
          <w:b w:val="0"/>
          <w:i w:val="0"/>
        </w:rPr>
        <w:t>2.1 警示标识与操作责任</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标识</w:t>
            </w:r>
          </w:p>
        </w:tc>
        <w:tc>
          <w:tcPr>
            <w:tcW w:type="dxa" w:w="3143"/>
            <w:vAlign w:val="center"/>
            <w:shd w:fill="214D72"/>
          </w:tcPr>
          <w:p>
            <w:pPr>
              <w:spacing w:line="288" w:lineRule="auto" w:before="60" w:after="60"/>
            </w:pPr>
            <w:r>
              <w:rPr>
                <w:rFonts w:ascii="Arial" w:hAnsi="Arial" w:eastAsia="Microsoft YaHei"/>
                <w:b/>
                <w:i w:val="0"/>
                <w:color w:val="FFFFFF"/>
                <w:sz w:val="18"/>
              </w:rPr>
              <w:t>含义</w:t>
            </w:r>
          </w:p>
        </w:tc>
        <w:tc>
          <w:tcPr>
            <w:tcW w:type="dxa" w:w="4191"/>
            <w:vAlign w:val="center"/>
            <w:shd w:fill="214D72"/>
          </w:tcPr>
          <w:p>
            <w:pPr>
              <w:spacing w:line="288" w:lineRule="auto" w:before="60" w:after="60"/>
            </w:pPr>
            <w:r>
              <w:rPr>
                <w:rFonts w:ascii="Arial" w:hAnsi="Arial" w:eastAsia="Microsoft YaHei"/>
                <w:b/>
                <w:i w:val="0"/>
                <w:color w:val="FFFFFF"/>
                <w:sz w:val="18"/>
              </w:rPr>
              <w:t>处理要求</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 危险</w:t>
            </w:r>
          </w:p>
        </w:tc>
        <w:tc>
          <w:tcPr>
            <w:tcW w:type="dxa" w:w="3143"/>
            <w:vAlign w:val="center"/>
          </w:tcPr>
          <w:p>
            <w:pPr>
              <w:spacing w:line="288" w:lineRule="auto" w:before="60" w:after="60"/>
            </w:pPr>
            <w:r>
              <w:rPr>
                <w:rFonts w:ascii="Arial" w:hAnsi="Arial" w:eastAsia="Microsoft YaHei"/>
                <w:b w:val="0"/>
                <w:i w:val="0"/>
                <w:color w:val="24384C"/>
                <w:sz w:val="18"/>
              </w:rPr>
              <w:t>可能涉及触电、设备倾倒、激光或其他人身伤害</w:t>
            </w:r>
          </w:p>
        </w:tc>
        <w:tc>
          <w:tcPr>
            <w:tcW w:type="dxa" w:w="4191"/>
            <w:vAlign w:val="center"/>
          </w:tcPr>
          <w:p>
            <w:pPr>
              <w:spacing w:line="288" w:lineRule="auto" w:before="60" w:after="60"/>
            </w:pPr>
            <w:r>
              <w:rPr>
                <w:rFonts w:ascii="Arial" w:hAnsi="Arial" w:eastAsia="Microsoft YaHei"/>
                <w:b w:val="0"/>
                <w:i w:val="0"/>
                <w:color w:val="24384C"/>
                <w:sz w:val="18"/>
              </w:rPr>
              <w:t>立即停止不符合条件的操作，由合格人员处理</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 警告</w:t>
            </w:r>
          </w:p>
        </w:tc>
        <w:tc>
          <w:tcPr>
            <w:tcW w:type="dxa" w:w="3143"/>
            <w:vAlign w:val="center"/>
            <w:shd w:fill="F4F7FA"/>
          </w:tcPr>
          <w:p>
            <w:pPr>
              <w:spacing w:line="288" w:lineRule="auto" w:before="60" w:after="60"/>
            </w:pPr>
            <w:r>
              <w:rPr>
                <w:rFonts w:ascii="Arial" w:hAnsi="Arial" w:eastAsia="Microsoft YaHei"/>
                <w:b w:val="0"/>
                <w:i w:val="0"/>
                <w:color w:val="24384C"/>
                <w:sz w:val="18"/>
              </w:rPr>
              <w:t>可能导致业务中断、数据丢失或安全凭据泄露</w:t>
            </w:r>
          </w:p>
        </w:tc>
        <w:tc>
          <w:tcPr>
            <w:tcW w:type="dxa" w:w="4191"/>
            <w:vAlign w:val="center"/>
            <w:shd w:fill="F4F7FA"/>
          </w:tcPr>
          <w:p>
            <w:pPr>
              <w:spacing w:line="288" w:lineRule="auto" w:before="60" w:after="60"/>
            </w:pPr>
            <w:r>
              <w:rPr>
                <w:rFonts w:ascii="Arial" w:hAnsi="Arial" w:eastAsia="Microsoft YaHei"/>
                <w:b w:val="0"/>
                <w:i w:val="0"/>
                <w:color w:val="24384C"/>
                <w:sz w:val="18"/>
              </w:rPr>
              <w:t>备份、审核操作范围，按批准的维护流程执行</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注意</w:t>
            </w:r>
          </w:p>
        </w:tc>
        <w:tc>
          <w:tcPr>
            <w:tcW w:type="dxa" w:w="3143"/>
            <w:vAlign w:val="center"/>
          </w:tcPr>
          <w:p>
            <w:pPr>
              <w:spacing w:line="288" w:lineRule="auto" w:before="60" w:after="60"/>
            </w:pPr>
            <w:r>
              <w:rPr>
                <w:rFonts w:ascii="Arial" w:hAnsi="Arial" w:eastAsia="Microsoft YaHei"/>
                <w:b w:val="0"/>
                <w:i w:val="0"/>
                <w:color w:val="24384C"/>
                <w:sz w:val="18"/>
              </w:rPr>
              <w:t>可能导致配置错误、性能下降或诊断误判</w:t>
            </w:r>
          </w:p>
        </w:tc>
        <w:tc>
          <w:tcPr>
            <w:tcW w:type="dxa" w:w="4191"/>
            <w:vAlign w:val="center"/>
          </w:tcPr>
          <w:p>
            <w:pPr>
              <w:spacing w:line="288" w:lineRule="auto" w:before="60" w:after="60"/>
            </w:pPr>
            <w:r>
              <w:rPr>
                <w:rFonts w:ascii="Arial" w:hAnsi="Arial" w:eastAsia="Microsoft YaHei"/>
                <w:b w:val="0"/>
                <w:i w:val="0"/>
                <w:color w:val="24384C"/>
                <w:sz w:val="18"/>
              </w:rPr>
              <w:t>核对前提条件、参数与验证结果</w:t>
            </w:r>
          </w:p>
        </w:tc>
      </w:tr>
    </w:tbl>
    <w:p>
      <w:pPr>
        <w:spacing w:after="40" w:line="48" w:lineRule="auto"/>
      </w:pPr>
    </w:p>
    <w:p>
      <w:pPr>
        <w:pStyle w:val="Heading2"/>
      </w:pPr>
      <w:r>
        <w:rPr>
          <w:rFonts w:ascii="Arial" w:hAnsi="Arial" w:eastAsia="Microsoft YaHei"/>
          <w:b w:val="0"/>
          <w:i w:val="0"/>
        </w:rPr>
        <w:t>2.2 电气、接地与防雷安全</w:t>
      </w:r>
    </w:p>
    <w:p>
      <w:r>
        <w:rPr>
          <w:rFonts w:ascii="Arial" w:hAnsi="Arial" w:eastAsia="Microsoft YaHei"/>
          <w:b w:val="0"/>
          <w:i w:val="0"/>
        </w:rPr>
        <w:t>XCN 软件随服务器运行，电压、功耗、接地电阻和浪涌保护要求采用配套设备原厂说明及现场批准的电气设计。不得将未经确认的服务器指标写为 XCN 固有规格。</w:t>
      </w:r>
    </w:p>
    <w:p>
      <w:pPr>
        <w:pStyle w:val="ListNumber"/>
        <w:numPr>
          <w:ilvl w:val="0"/>
          <w:numId w:val="16"/>
        </w:numPr>
      </w:pPr>
      <w:r>
        <w:rPr>
          <w:rFonts w:ascii="Arial" w:hAnsi="Arial" w:eastAsia="Microsoft YaHei"/>
          <w:b w:val="0"/>
          <w:i w:val="0"/>
        </w:rPr>
        <w:t>上架前检查保护接地、配电容量、插座、PDU、UPS 和防雷设施；保护接地应先接后拆。</w:t>
      </w:r>
    </w:p>
    <w:p>
      <w:pPr>
        <w:pStyle w:val="ListNumber"/>
        <w:numPr>
          <w:ilvl w:val="0"/>
          <w:numId w:val="16"/>
        </w:numPr>
      </w:pPr>
      <w:r>
        <w:rPr>
          <w:rFonts w:ascii="Arial" w:hAnsi="Arial" w:eastAsia="Microsoft YaHei"/>
          <w:b w:val="0"/>
          <w:i w:val="0"/>
        </w:rPr>
        <w:t>拆机、移动及更换非热插拔部件前，正常停止业务和操作系统，再按原厂要求断开全部电源输入；双电源设备不得只断开一路即视为断电。</w:t>
      </w:r>
    </w:p>
    <w:p>
      <w:pPr>
        <w:pStyle w:val="ListNumber"/>
        <w:numPr>
          <w:ilvl w:val="0"/>
          <w:numId w:val="16"/>
        </w:numPr>
      </w:pPr>
      <w:r>
        <w:rPr>
          <w:rFonts w:ascii="Arial" w:hAnsi="Arial" w:eastAsia="Microsoft YaHei"/>
          <w:b w:val="0"/>
          <w:i w:val="0"/>
        </w:rPr>
        <w:t>电源接线、绝缘测试及电压测量由具备资质的人员实施。不得对运行中的电子设备或已连接设备擅自进行绝缘耐压测试。</w:t>
      </w:r>
    </w:p>
    <w:p>
      <w:pPr>
        <w:pStyle w:val="ListNumber"/>
        <w:numPr>
          <w:ilvl w:val="0"/>
          <w:numId w:val="16"/>
        </w:numPr>
      </w:pPr>
      <w:r>
        <w:rPr>
          <w:rFonts w:ascii="Arial" w:hAnsi="Arial" w:eastAsia="Microsoft YaHei"/>
          <w:b w:val="0"/>
          <w:i w:val="0"/>
        </w:rPr>
        <w:t>电源冗余、UPS 续航及雷击防护属于配套硬件和机房工程验收内容，应保留测试记录。</w:t>
      </w:r>
    </w:p>
    <w:p>
      <w:pPr>
        <w:pStyle w:val="Heading2"/>
      </w:pPr>
      <w:r>
        <w:rPr>
          <w:rFonts w:ascii="Arial" w:hAnsi="Arial" w:eastAsia="Microsoft YaHei"/>
          <w:b w:val="0"/>
          <w:i w:val="0"/>
        </w:rPr>
        <w:t>2.3 射频与光口安全</w:t>
      </w:r>
    </w:p>
    <w:p>
      <w:r>
        <w:rPr>
          <w:rFonts w:ascii="Arial" w:hAnsi="Arial" w:eastAsia="Microsoft YaHei"/>
          <w:b w:val="0"/>
          <w:i w:val="0"/>
        </w:rPr>
        <w:t>XCN 核心网软件不包含无线发射机、天线和射频功放，不定义天线安全距离或辐射功率限值。与 gNB、RRU、AAU 联合部署时，射频禁区、安全距离、功率设置及现场标识按对应无线设备文件和批准的现场规范执行。</w:t>
      </w:r>
    </w:p>
    <w:p>
      <w:r>
        <w:rPr>
          <w:rFonts w:ascii="Arial" w:hAnsi="Arial" w:eastAsia="Microsoft YaHei"/>
          <w:b w:val="0"/>
          <w:i w:val="0"/>
        </w:rPr>
        <w:t>采用光纤连接的服务器或交换机，应检查光模块兼容性及激光安全标识。不得直视已上电光口；未使用光口和光纤端面应加防尘保护。</w:t>
      </w:r>
    </w:p>
    <w:p>
      <w:pPr>
        <w:pStyle w:val="Heading2"/>
      </w:pPr>
      <w:r>
        <w:rPr>
          <w:rFonts w:ascii="Arial" w:hAnsi="Arial" w:eastAsia="Microsoft YaHei"/>
          <w:b w:val="0"/>
          <w:i w:val="0"/>
        </w:rPr>
        <w:t>2.4 机械、安装与环境安全</w:t>
      </w:r>
    </w:p>
    <w:p>
      <w:r>
        <w:rPr>
          <w:rFonts w:ascii="Arial" w:hAnsi="Arial" w:eastAsia="Microsoft YaHei"/>
          <w:b w:val="0"/>
          <w:i w:val="0"/>
        </w:rPr>
        <w:t>服务器上架应核对机柜深度、承重、导轨、固定螺钉及机柜防倾倒措施；搬运人数、吊装器具和个人防护用品按设备重量及现场要求配置。核心网服务器安装不包含塔上作业，涉及塔上无线设备时应另行执行登高作业规范。</w:t>
      </w:r>
    </w:p>
    <w:p>
      <w:r>
        <w:rPr>
          <w:rFonts w:ascii="Arial" w:hAnsi="Arial" w:eastAsia="Microsoft YaHei"/>
          <w:b w:val="0"/>
          <w:i w:val="0"/>
        </w:rPr>
        <w:t>保持冷／热通道及风道畅通，不遮挡散热口；避免凝露、进水、导电粉尘和易燃物。防护等级、温湿度、海拔和噪声限值按供货硬件规格执行。UPS 电池、含电池部件及其他化学品交由指定渠道回收，不擅自拆解或混入普通垃圾。</w:t>
      </w:r>
    </w:p>
    <w:p>
      <w:pPr>
        <w:pStyle w:val="Heading2"/>
      </w:pPr>
      <w:r>
        <w:rPr>
          <w:rFonts w:ascii="Arial" w:hAnsi="Arial" w:eastAsia="Microsoft YaHei"/>
          <w:b w:val="0"/>
          <w:i w:val="0"/>
        </w:rPr>
        <w:t>2.5 网络、数据与软件操作安全</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事项</w:t>
            </w:r>
          </w:p>
        </w:tc>
        <w:tc>
          <w:tcPr>
            <w:tcW w:type="dxa" w:w="6953"/>
            <w:vAlign w:val="center"/>
            <w:shd w:fill="214D72"/>
          </w:tcPr>
          <w:p>
            <w:pPr>
              <w:spacing w:line="288" w:lineRule="auto" w:before="60" w:after="60"/>
            </w:pPr>
            <w:r>
              <w:rPr>
                <w:rFonts w:ascii="Arial" w:hAnsi="Arial" w:eastAsia="Microsoft YaHei"/>
                <w:b/>
                <w:i w:val="0"/>
                <w:color w:val="FFFFFF"/>
                <w:sz w:val="18"/>
              </w:rPr>
              <w:t>要求与当前实现注意点</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管理访问</w:t>
            </w:r>
          </w:p>
        </w:tc>
        <w:tc>
          <w:tcPr>
            <w:tcW w:type="dxa" w:w="6953"/>
            <w:vAlign w:val="center"/>
          </w:tcPr>
          <w:p>
            <w:pPr>
              <w:spacing w:line="288" w:lineRule="auto" w:before="60" w:after="60"/>
            </w:pPr>
            <w:r>
              <w:rPr>
                <w:rFonts w:ascii="Arial" w:hAnsi="Arial" w:eastAsia="Microsoft YaHei"/>
                <w:b w:val="0"/>
                <w:i w:val="0"/>
                <w:color w:val="24384C"/>
                <w:sz w:val="18"/>
              </w:rPr>
              <w:t>WebUI、Kubernetes API、数据库及诊断接口应限制在授权管理网；按项目要求接入堡垒机、访问控制及审计设施</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初始账号与凭据</w:t>
            </w:r>
          </w:p>
        </w:tc>
        <w:tc>
          <w:tcPr>
            <w:tcW w:type="dxa" w:w="6953"/>
            <w:vAlign w:val="center"/>
            <w:shd w:fill="F4F7FA"/>
          </w:tcPr>
          <w:p>
            <w:pPr>
              <w:spacing w:line="288" w:lineRule="auto" w:before="60" w:after="60"/>
            </w:pPr>
            <w:r>
              <w:rPr>
                <w:rFonts w:ascii="Arial" w:hAnsi="Arial" w:eastAsia="Microsoft YaHei"/>
                <w:b w:val="0"/>
                <w:i w:val="0"/>
                <w:color w:val="24384C"/>
                <w:sz w:val="18"/>
              </w:rPr>
              <w:t>首次启用后修改初始管理口令，替换示例 WebUI Secret、JWT Secret 及归属网示例私钥；禁止把鉴权密钥写入标书或公共日志</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传输保护</w:t>
            </w:r>
          </w:p>
        </w:tc>
        <w:tc>
          <w:tcPr>
            <w:tcW w:type="dxa" w:w="6953"/>
            <w:vAlign w:val="center"/>
          </w:tcPr>
          <w:p>
            <w:pPr>
              <w:spacing w:line="288" w:lineRule="auto" w:before="60" w:after="60"/>
            </w:pPr>
            <w:r>
              <w:rPr>
                <w:rFonts w:ascii="Arial" w:hAnsi="Arial" w:eastAsia="Microsoft YaHei"/>
                <w:b w:val="0"/>
                <w:i w:val="0"/>
                <w:color w:val="24384C"/>
                <w:sz w:val="18"/>
              </w:rPr>
              <w:t>当前 Chart 的 SBI 与 WebUI 使用 HTTP 示例配置，不能视为已启用 TLS／mTLS；需要时通过经验证的网元配置、反向代理或安全网关实现</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NAS 算法</w:t>
            </w:r>
          </w:p>
        </w:tc>
        <w:tc>
          <w:tcPr>
            <w:tcW w:type="dxa" w:w="6953"/>
            <w:vAlign w:val="center"/>
            <w:shd w:fill="F4F7FA"/>
          </w:tcPr>
          <w:p>
            <w:pPr>
              <w:spacing w:line="288" w:lineRule="auto" w:before="60" w:after="60"/>
            </w:pPr>
            <w:r>
              <w:rPr>
                <w:rFonts w:ascii="Arial" w:hAnsi="Arial" w:eastAsia="Microsoft YaHei"/>
                <w:b w:val="0"/>
                <w:i w:val="0"/>
                <w:color w:val="24384C"/>
                <w:sz w:val="18"/>
              </w:rPr>
              <w:t>当前 AMF 模板优先配置 NEA0，并包含 NIA0 选项；空算法不提供对应的加密或完整性保护。应按项目安全策略调整并联调，不能仅凭安全上下文有效就认定 NAS 已加密</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数据库</w:t>
            </w:r>
          </w:p>
        </w:tc>
        <w:tc>
          <w:tcPr>
            <w:tcW w:type="dxa" w:w="6953"/>
            <w:vAlign w:val="center"/>
          </w:tcPr>
          <w:p>
            <w:pPr>
              <w:spacing w:line="288" w:lineRule="auto" w:before="60" w:after="60"/>
            </w:pPr>
            <w:r>
              <w:rPr>
                <w:rFonts w:ascii="Arial" w:hAnsi="Arial" w:eastAsia="Microsoft YaHei"/>
                <w:b w:val="0"/>
                <w:i w:val="0"/>
                <w:color w:val="24384C"/>
                <w:sz w:val="18"/>
              </w:rPr>
              <w:t>当前默认 MongoDB 为集群内单实例；访问控制、鉴权、备份加密及异地留存需按项目方案落实，不能因使用 ClusterIP 即认为自动安全</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特权权限</w:t>
            </w:r>
          </w:p>
        </w:tc>
        <w:tc>
          <w:tcPr>
            <w:tcW w:type="dxa" w:w="6953"/>
            <w:vAlign w:val="center"/>
            <w:shd w:fill="F4F7FA"/>
          </w:tcPr>
          <w:p>
            <w:pPr>
              <w:spacing w:line="288" w:lineRule="auto" w:before="60" w:after="60"/>
            </w:pPr>
            <w:r>
              <w:rPr>
                <w:rFonts w:ascii="Arial" w:hAnsi="Arial" w:eastAsia="Microsoft YaHei"/>
                <w:b w:val="0"/>
                <w:i w:val="0"/>
                <w:color w:val="24384C"/>
                <w:sz w:val="18"/>
              </w:rPr>
              <w:t>UPF 使用特权容器并操作网络；VPP 模式需要设备、大页及 CPU 资源。hostNetwork 模式会影响宿主网络，须核对端口和防火墙</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业务操作</w:t>
            </w:r>
          </w:p>
        </w:tc>
        <w:tc>
          <w:tcPr>
            <w:tcW w:type="dxa" w:w="6953"/>
            <w:vAlign w:val="center"/>
          </w:tcPr>
          <w:p>
            <w:pPr>
              <w:spacing w:line="288" w:lineRule="auto" w:before="60" w:after="60"/>
            </w:pPr>
            <w:r>
              <w:rPr>
                <w:rFonts w:ascii="Arial" w:hAnsi="Arial" w:eastAsia="Microsoft YaHei"/>
                <w:b w:val="0"/>
                <w:i w:val="0"/>
                <w:color w:val="24384C"/>
                <w:sz w:val="18"/>
              </w:rPr>
              <w:t>修改地址池、切片、PLMN、用户面模式或重建 5GC Pod 可能影响全部会话；执行后应安排终端重新接入验证</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证据留存</w:t>
            </w:r>
          </w:p>
        </w:tc>
        <w:tc>
          <w:tcPr>
            <w:tcW w:type="dxa" w:w="6953"/>
            <w:vAlign w:val="center"/>
            <w:shd w:fill="F4F7FA"/>
          </w:tcPr>
          <w:p>
            <w:pPr>
              <w:spacing w:line="288" w:lineRule="auto" w:before="60" w:after="60"/>
            </w:pPr>
            <w:r>
              <w:rPr>
                <w:rFonts w:ascii="Arial" w:hAnsi="Arial" w:eastAsia="Microsoft YaHei"/>
                <w:b w:val="0"/>
                <w:i w:val="0"/>
                <w:color w:val="24384C"/>
                <w:sz w:val="18"/>
              </w:rPr>
              <w:t>日志、抓包、Helm 参数和备份可能包含 SUPI、IP、密钥或 Secret；按权限保存，外发前脱敏</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镜像与版本</w:t>
            </w:r>
          </w:p>
        </w:tc>
        <w:tc>
          <w:tcPr>
            <w:tcW w:type="dxa" w:w="6953"/>
            <w:vAlign w:val="center"/>
          </w:tcPr>
          <w:p>
            <w:pPr>
              <w:spacing w:line="288" w:lineRule="auto" w:before="60" w:after="60"/>
            </w:pPr>
            <w:r>
              <w:rPr>
                <w:rFonts w:ascii="Arial" w:hAnsi="Arial" w:eastAsia="Microsoft YaHei"/>
                <w:b w:val="0"/>
                <w:i w:val="0"/>
                <w:color w:val="24384C"/>
                <w:sz w:val="18"/>
              </w:rPr>
              <w:t>交付采用经过验证的固定版本并记录镜像摘要；latest 标签仅表示标签名称，不能证明镜像内容固定</w:t>
            </w:r>
          </w:p>
        </w:tc>
      </w:tr>
    </w:tbl>
    <w:p>
      <w:pPr>
        <w:spacing w:after="40" w:line="48" w:lineRule="auto"/>
      </w:pPr>
    </w:p>
    <w:p>
      <w:r>
        <w:rPr>
          <w:rFonts w:ascii="Arial" w:hAnsi="Arial" w:eastAsia="Microsoft YaHei"/>
          <w:b w:val="0"/>
          <w:i w:val="0"/>
        </w:rPr>
        <w:t>当前 Chart 未实现设计文档中的 gNB 证书准入、IPsec 自动配置或 RANNodeName HMAC 准入。需要此类能力时，应单独实施并验收，不能将方案设计写成默认已交付功能。</w:t>
      </w:r>
    </w:p>
    <w:p>
      <w:pPr>
        <w:pStyle w:val="Heading2"/>
      </w:pPr>
      <w:r>
        <w:rPr>
          <w:rFonts w:ascii="Arial" w:hAnsi="Arial" w:eastAsia="Microsoft YaHei"/>
          <w:b w:val="0"/>
          <w:i w:val="0"/>
        </w:rPr>
        <w:t>2.6 合规与认证说明</w:t>
      </w:r>
    </w:p>
    <w:p>
      <w:r>
        <w:rPr>
          <w:rFonts w:ascii="Arial" w:hAnsi="Arial" w:eastAsia="Microsoft YaHei"/>
          <w:b w:val="0"/>
          <w:i w:val="0"/>
        </w:rPr>
        <w:t>XCN 核心网软件本身无射频发射设备型号核准代码。配套基站、服务器、网卡、光模块和电源的 CE、FCC、SRRC 等材料，应逐项对应实际供货型号及适用范围，由投标人附有效证书或检测报告。当前仓库不提供可直接用于投标的 XCN 整机认证证明。</w:t>
      </w:r>
    </w:p>
    <w:p>
      <w:r>
        <w:rPr>
          <w:rFonts w:ascii="Arial" w:hAnsi="Arial" w:eastAsia="Microsoft YaHei"/>
          <w:b w:val="0"/>
          <w:i w:val="0"/>
        </w:rPr>
        <w:t>开源软件及第三方组件的许可义务按交付的软件清单、仓库 LICENSE／第三方声明和合同约定履行；正式交付时应附组件及许可清单。</w:t>
      </w:r>
    </w:p>
    <w:p>
      <w:pPr>
        <w:pStyle w:val="Heading1"/>
        <w:pageBreakBefore/>
      </w:pPr>
      <w:r>
        <w:rPr>
          <w:rFonts w:ascii="Arial" w:hAnsi="Arial" w:eastAsia="Microsoft YaHei"/>
          <w:b w:val="0"/>
          <w:i w:val="0"/>
        </w:rPr>
        <w:t>3. 产品概述</w:t>
      </w:r>
    </w:p>
    <w:p>
      <w:pPr>
        <w:pStyle w:val="Heading2"/>
      </w:pPr>
      <w:r>
        <w:rPr>
          <w:rFonts w:ascii="Arial" w:hAnsi="Arial" w:eastAsia="Microsoft YaHei"/>
          <w:b w:val="0"/>
          <w:i w:val="0"/>
        </w:rPr>
        <w:t>3.1 产品定位</w:t>
      </w:r>
    </w:p>
    <w:p>
      <w:r>
        <w:rPr>
          <w:rFonts w:ascii="Arial" w:hAnsi="Arial" w:eastAsia="Microsoft YaHei"/>
          <w:b w:val="0"/>
          <w:i w:val="0"/>
        </w:rPr>
        <w:t>XCN 为基于 Open5GS 的软件化核心网系统，采用控制面与用户面分离的 5GC 架构，可部署在满足条件的通用服务器及 Kubernetes 平台。系统通过容器化交付核心网网元、Web 管理界面和订阅数据库，为 5G SA 数据业务提供接入、认证、会话、转发及运维能力。</w:t>
      </w:r>
    </w:p>
    <w:p>
      <w:r>
        <w:rPr>
          <w:rFonts w:ascii="Arial" w:hAnsi="Arial" w:eastAsia="Microsoft YaHei"/>
          <w:b w:val="0"/>
          <w:i w:val="0"/>
        </w:rPr>
        <w:t>无线制式、工作频段、载波带宽、MIMO 层数及空口发射功率由 gNB、终端及无线规划决定。核心网通过 N2／N3 接口与接入网配合，不以无线侧参数代替自身处理能力指标。</w:t>
      </w:r>
    </w:p>
    <w:p>
      <w:pPr>
        <w:pStyle w:val="Heading2"/>
      </w:pPr>
      <w:r>
        <w:rPr>
          <w:rFonts w:ascii="Arial" w:hAnsi="Arial" w:eastAsia="Microsoft YaHei"/>
          <w:b w:val="0"/>
          <w:i w:val="0"/>
        </w:rPr>
        <w:t>3.2 主要功能与交付边界</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功能</w:t>
            </w:r>
          </w:p>
        </w:tc>
        <w:tc>
          <w:tcPr>
            <w:tcW w:type="dxa" w:w="3143"/>
            <w:vAlign w:val="center"/>
            <w:shd w:fill="214D72"/>
          </w:tcPr>
          <w:p>
            <w:pPr>
              <w:spacing w:line="288" w:lineRule="auto" w:before="60" w:after="60"/>
            </w:pPr>
            <w:r>
              <w:rPr>
                <w:rFonts w:ascii="Arial" w:hAnsi="Arial" w:eastAsia="Microsoft YaHei"/>
                <w:b/>
                <w:i w:val="0"/>
                <w:color w:val="FFFFFF"/>
                <w:sz w:val="18"/>
              </w:rPr>
              <w:t>当前实现</w:t>
            </w:r>
          </w:p>
        </w:tc>
        <w:tc>
          <w:tcPr>
            <w:tcW w:type="dxa" w:w="4191"/>
            <w:vAlign w:val="center"/>
            <w:shd w:fill="214D72"/>
          </w:tcPr>
          <w:p>
            <w:pPr>
              <w:spacing w:line="288" w:lineRule="auto" w:before="60" w:after="60"/>
            </w:pPr>
            <w:r>
              <w:rPr>
                <w:rFonts w:ascii="Arial" w:hAnsi="Arial" w:eastAsia="Microsoft YaHei"/>
                <w:b/>
                <w:i w:val="0"/>
                <w:color w:val="FFFFFF"/>
                <w:sz w:val="18"/>
              </w:rPr>
              <w:t>使用条件／边界</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用户接入与认证</w:t>
            </w:r>
          </w:p>
        </w:tc>
        <w:tc>
          <w:tcPr>
            <w:tcW w:type="dxa" w:w="3143"/>
            <w:vAlign w:val="center"/>
          </w:tcPr>
          <w:p>
            <w:pPr>
              <w:spacing w:line="288" w:lineRule="auto" w:before="60" w:after="60"/>
            </w:pPr>
            <w:r>
              <w:rPr>
                <w:rFonts w:ascii="Arial" w:hAnsi="Arial" w:eastAsia="Microsoft YaHei"/>
                <w:b w:val="0"/>
                <w:i w:val="0"/>
                <w:color w:val="24384C"/>
                <w:sz w:val="18"/>
              </w:rPr>
              <w:t>5G SA 注册、身份处理、鉴权、NAS 安全、注销及连接状态管理</w:t>
            </w:r>
          </w:p>
        </w:tc>
        <w:tc>
          <w:tcPr>
            <w:tcW w:type="dxa" w:w="4191"/>
            <w:vAlign w:val="center"/>
          </w:tcPr>
          <w:p>
            <w:pPr>
              <w:spacing w:line="288" w:lineRule="auto" w:before="60" w:after="60"/>
            </w:pPr>
            <w:r>
              <w:rPr>
                <w:rFonts w:ascii="Arial" w:hAnsi="Arial" w:eastAsia="Microsoft YaHei"/>
                <w:b w:val="0"/>
                <w:i w:val="0"/>
                <w:color w:val="24384C"/>
                <w:sz w:val="18"/>
              </w:rPr>
              <w:t>SIM 与订阅数据一致；算法及策略按项目确认</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移动性管理</w:t>
            </w:r>
          </w:p>
        </w:tc>
        <w:tc>
          <w:tcPr>
            <w:tcW w:type="dxa" w:w="3143"/>
            <w:vAlign w:val="center"/>
            <w:shd w:fill="F4F7FA"/>
          </w:tcPr>
          <w:p>
            <w:pPr>
              <w:spacing w:line="288" w:lineRule="auto" w:before="60" w:after="60"/>
            </w:pPr>
            <w:r>
              <w:rPr>
                <w:rFonts w:ascii="Arial" w:hAnsi="Arial" w:eastAsia="Microsoft YaHei"/>
                <w:b w:val="0"/>
                <w:i w:val="0"/>
                <w:color w:val="24384C"/>
                <w:sz w:val="18"/>
              </w:rPr>
              <w:t>跟踪区与位置报告、空闲／连接态管理、寻呼、N2 切换及 Xn Path Switch 相关处理</w:t>
            </w:r>
          </w:p>
        </w:tc>
        <w:tc>
          <w:tcPr>
            <w:tcW w:type="dxa" w:w="4191"/>
            <w:vAlign w:val="center"/>
            <w:shd w:fill="F4F7FA"/>
          </w:tcPr>
          <w:p>
            <w:pPr>
              <w:spacing w:line="288" w:lineRule="auto" w:before="60" w:after="60"/>
            </w:pPr>
            <w:r>
              <w:rPr>
                <w:rFonts w:ascii="Arial" w:hAnsi="Arial" w:eastAsia="Microsoft YaHei"/>
                <w:b w:val="0"/>
                <w:i w:val="0"/>
                <w:color w:val="24384C"/>
                <w:sz w:val="18"/>
              </w:rPr>
              <w:t>需基站、终端及传输网络共同支持并完成互通验收</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会话管理</w:t>
            </w:r>
          </w:p>
        </w:tc>
        <w:tc>
          <w:tcPr>
            <w:tcW w:type="dxa" w:w="3143"/>
            <w:vAlign w:val="center"/>
          </w:tcPr>
          <w:p>
            <w:pPr>
              <w:spacing w:line="288" w:lineRule="auto" w:before="60" w:after="60"/>
            </w:pPr>
            <w:r>
              <w:rPr>
                <w:rFonts w:ascii="Arial" w:hAnsi="Arial" w:eastAsia="Microsoft YaHei"/>
                <w:b w:val="0"/>
                <w:i w:val="0"/>
                <w:color w:val="24384C"/>
                <w:sz w:val="18"/>
              </w:rPr>
              <w:t>PDU 会话建立、修改、释放，DNN／切片与订阅匹配</w:t>
            </w:r>
          </w:p>
        </w:tc>
        <w:tc>
          <w:tcPr>
            <w:tcW w:type="dxa" w:w="4191"/>
            <w:vAlign w:val="center"/>
          </w:tcPr>
          <w:p>
            <w:pPr>
              <w:spacing w:line="288" w:lineRule="auto" w:before="60" w:after="60"/>
            </w:pPr>
            <w:r>
              <w:rPr>
                <w:rFonts w:ascii="Arial" w:hAnsi="Arial" w:eastAsia="Microsoft YaHei"/>
                <w:b w:val="0"/>
                <w:i w:val="0"/>
                <w:color w:val="24384C"/>
                <w:sz w:val="18"/>
              </w:rPr>
              <w:t>在线订阅变更不等于已建立会话立即更新</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用户面转发</w:t>
            </w:r>
          </w:p>
        </w:tc>
        <w:tc>
          <w:tcPr>
            <w:tcW w:type="dxa" w:w="3143"/>
            <w:vAlign w:val="center"/>
            <w:shd w:fill="F4F7FA"/>
          </w:tcPr>
          <w:p>
            <w:pPr>
              <w:spacing w:line="288" w:lineRule="auto" w:before="60" w:after="60"/>
            </w:pPr>
            <w:r>
              <w:rPr>
                <w:rFonts w:ascii="Arial" w:hAnsi="Arial" w:eastAsia="Microsoft YaHei"/>
                <w:b w:val="0"/>
                <w:i w:val="0"/>
                <w:color w:val="24384C"/>
                <w:sz w:val="18"/>
              </w:rPr>
              <w:t>GTP-U 封装／解封装、PFCP 规则控制、N6 连接</w:t>
            </w:r>
          </w:p>
        </w:tc>
        <w:tc>
          <w:tcPr>
            <w:tcW w:type="dxa" w:w="4191"/>
            <w:vAlign w:val="center"/>
            <w:shd w:fill="F4F7FA"/>
          </w:tcPr>
          <w:p>
            <w:pPr>
              <w:spacing w:line="288" w:lineRule="auto" w:before="60" w:after="60"/>
            </w:pPr>
            <w:r>
              <w:rPr>
                <w:rFonts w:ascii="Arial" w:hAnsi="Arial" w:eastAsia="Microsoft YaHei"/>
                <w:b w:val="0"/>
                <w:i w:val="0"/>
                <w:color w:val="24384C"/>
                <w:sz w:val="18"/>
              </w:rPr>
              <w:t>根据场景选择 UDP/TUN 或 VPP/memif</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策略与 QoS</w:t>
            </w:r>
          </w:p>
        </w:tc>
        <w:tc>
          <w:tcPr>
            <w:tcW w:type="dxa" w:w="3143"/>
            <w:vAlign w:val="center"/>
          </w:tcPr>
          <w:p>
            <w:pPr>
              <w:spacing w:line="288" w:lineRule="auto" w:before="60" w:after="60"/>
            </w:pPr>
            <w:r>
              <w:rPr>
                <w:rFonts w:ascii="Arial" w:hAnsi="Arial" w:eastAsia="Microsoft YaHei"/>
                <w:b w:val="0"/>
                <w:i w:val="0"/>
                <w:color w:val="24384C"/>
                <w:sz w:val="18"/>
              </w:rPr>
              <w:t>订阅 QoS、AMBR、QFI／5QI 及相关规则；存在专用 QoS 策略增强实现与测试</w:t>
            </w:r>
          </w:p>
        </w:tc>
        <w:tc>
          <w:tcPr>
            <w:tcW w:type="dxa" w:w="4191"/>
            <w:vAlign w:val="center"/>
          </w:tcPr>
          <w:p>
            <w:pPr>
              <w:spacing w:line="288" w:lineRule="auto" w:before="60" w:after="60"/>
            </w:pPr>
            <w:r>
              <w:rPr>
                <w:rFonts w:ascii="Arial" w:hAnsi="Arial" w:eastAsia="Microsoft YaHei"/>
                <w:b w:val="0"/>
                <w:i w:val="0"/>
                <w:color w:val="24384C"/>
                <w:sz w:val="18"/>
              </w:rPr>
              <w:t>端到端效果依赖无线调度、传输及业务端；参数值不等同于保障实测值</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网络身份与切片</w:t>
            </w:r>
          </w:p>
        </w:tc>
        <w:tc>
          <w:tcPr>
            <w:tcW w:type="dxa" w:w="3143"/>
            <w:vAlign w:val="center"/>
            <w:shd w:fill="F4F7FA"/>
          </w:tcPr>
          <w:p>
            <w:pPr>
              <w:spacing w:line="288" w:lineRule="auto" w:before="60" w:after="60"/>
            </w:pPr>
            <w:r>
              <w:rPr>
                <w:rFonts w:ascii="Arial" w:hAnsi="Arial" w:eastAsia="Microsoft YaHei"/>
                <w:b w:val="0"/>
                <w:i w:val="0"/>
                <w:color w:val="24384C"/>
                <w:sz w:val="18"/>
              </w:rPr>
              <w:t>当前模板配置多 PLMN、TAI 和 S-NSSAI，包含 NRF、NSSF 等配套功能</w:t>
            </w:r>
          </w:p>
        </w:tc>
        <w:tc>
          <w:tcPr>
            <w:tcW w:type="dxa" w:w="4191"/>
            <w:vAlign w:val="center"/>
            <w:shd w:fill="F4F7FA"/>
          </w:tcPr>
          <w:p>
            <w:pPr>
              <w:spacing w:line="288" w:lineRule="auto" w:before="60" w:after="60"/>
            </w:pPr>
            <w:r>
              <w:rPr>
                <w:rFonts w:ascii="Arial" w:hAnsi="Arial" w:eastAsia="Microsoft YaHei"/>
                <w:b w:val="0"/>
                <w:i w:val="0"/>
                <w:color w:val="24384C"/>
                <w:sz w:val="18"/>
              </w:rPr>
              <w:t>默认配置见 3.6；定制 PLMN 需同步核对各相关网元配置</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IPv4 地址管理</w:t>
            </w:r>
          </w:p>
        </w:tc>
        <w:tc>
          <w:tcPr>
            <w:tcW w:type="dxa" w:w="3143"/>
            <w:vAlign w:val="center"/>
          </w:tcPr>
          <w:p>
            <w:pPr>
              <w:spacing w:line="288" w:lineRule="auto" w:before="60" w:after="60"/>
            </w:pPr>
            <w:r>
              <w:rPr>
                <w:rFonts w:ascii="Arial" w:hAnsi="Arial" w:eastAsia="Microsoft YaHei"/>
                <w:b w:val="0"/>
                <w:i w:val="0"/>
                <w:color w:val="24384C"/>
                <w:sz w:val="18"/>
              </w:rPr>
              <w:t>统一 UE 子网／网关、可选动态池范围及静态订阅地址</w:t>
            </w:r>
          </w:p>
        </w:tc>
        <w:tc>
          <w:tcPr>
            <w:tcW w:type="dxa" w:w="4191"/>
            <w:vAlign w:val="center"/>
          </w:tcPr>
          <w:p>
            <w:pPr>
              <w:spacing w:line="288" w:lineRule="auto" w:before="60" w:after="60"/>
            </w:pPr>
            <w:r>
              <w:rPr>
                <w:rFonts w:ascii="Arial" w:hAnsi="Arial" w:eastAsia="Microsoft YaHei"/>
                <w:b w:val="0"/>
                <w:i w:val="0"/>
                <w:color w:val="24384C"/>
                <w:sz w:val="18"/>
              </w:rPr>
              <w:t>静态地址应避开网关、网络／广播地址及动态范围，避免重复</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订阅管理</w:t>
            </w:r>
          </w:p>
        </w:tc>
        <w:tc>
          <w:tcPr>
            <w:tcW w:type="dxa" w:w="3143"/>
            <w:vAlign w:val="center"/>
            <w:shd w:fill="F4F7FA"/>
          </w:tcPr>
          <w:p>
            <w:pPr>
              <w:spacing w:line="288" w:lineRule="auto" w:before="60" w:after="60"/>
            </w:pPr>
            <w:r>
              <w:rPr>
                <w:rFonts w:ascii="Arial" w:hAnsi="Arial" w:eastAsia="Microsoft YaHei"/>
                <w:b w:val="0"/>
                <w:i w:val="0"/>
                <w:color w:val="24384C"/>
                <w:sz w:val="18"/>
              </w:rPr>
              <w:t>WebUI 新增、查询、修改和删除订阅，管理切片及 Session 配置</w:t>
            </w:r>
          </w:p>
        </w:tc>
        <w:tc>
          <w:tcPr>
            <w:tcW w:type="dxa" w:w="4191"/>
            <w:vAlign w:val="center"/>
            <w:shd w:fill="F4F7FA"/>
          </w:tcPr>
          <w:p>
            <w:pPr>
              <w:spacing w:line="288" w:lineRule="auto" w:before="60" w:after="60"/>
            </w:pPr>
            <w:r>
              <w:rPr>
                <w:rFonts w:ascii="Arial" w:hAnsi="Arial" w:eastAsia="Microsoft YaHei"/>
                <w:b w:val="0"/>
                <w:i w:val="0"/>
                <w:color w:val="24384C"/>
                <w:sz w:val="18"/>
              </w:rPr>
              <w:t>账号权限受控；鉴权资料由授权人员录入</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IPv4 后路由</w:t>
            </w:r>
          </w:p>
        </w:tc>
        <w:tc>
          <w:tcPr>
            <w:tcW w:type="dxa" w:w="3143"/>
            <w:vAlign w:val="center"/>
          </w:tcPr>
          <w:p>
            <w:pPr>
              <w:spacing w:line="288" w:lineRule="auto" w:before="60" w:after="60"/>
            </w:pPr>
            <w:r>
              <w:rPr>
                <w:rFonts w:ascii="Arial" w:hAnsi="Arial" w:eastAsia="Microsoft YaHei"/>
                <w:b w:val="0"/>
                <w:i w:val="0"/>
                <w:color w:val="24384C"/>
                <w:sz w:val="18"/>
              </w:rPr>
              <w:t>每个订阅 Session 最多 8 条 IPv4 CIDR，支持增删改</w:t>
            </w:r>
          </w:p>
        </w:tc>
        <w:tc>
          <w:tcPr>
            <w:tcW w:type="dxa" w:w="4191"/>
            <w:vAlign w:val="center"/>
          </w:tcPr>
          <w:p>
            <w:pPr>
              <w:spacing w:line="288" w:lineRule="auto" w:before="60" w:after="60"/>
            </w:pPr>
            <w:r>
              <w:rPr>
                <w:rFonts w:ascii="Arial" w:hAnsi="Arial" w:eastAsia="Microsoft YaHei"/>
                <w:b w:val="0"/>
                <w:i w:val="0"/>
                <w:color w:val="24384C"/>
                <w:sz w:val="18"/>
              </w:rPr>
              <w:t>需重新建立会话；还需 UE、Linux／VPP、DN 路由及 NAT 配合；非页面自动开通</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运维诊断</w:t>
            </w:r>
          </w:p>
        </w:tc>
        <w:tc>
          <w:tcPr>
            <w:tcW w:type="dxa" w:w="3143"/>
            <w:vAlign w:val="center"/>
            <w:shd w:fill="F4F7FA"/>
          </w:tcPr>
          <w:p>
            <w:pPr>
              <w:spacing w:line="288" w:lineRule="auto" w:before="60" w:after="60"/>
            </w:pPr>
            <w:r>
              <w:rPr>
                <w:rFonts w:ascii="Arial" w:hAnsi="Arial" w:eastAsia="Microsoft YaHei"/>
                <w:b w:val="0"/>
                <w:i w:val="0"/>
                <w:color w:val="24384C"/>
                <w:sz w:val="18"/>
              </w:rPr>
              <w:t>UE／gNB 详情、分层速率、UE 控制面事件历史、日志及指标接口</w:t>
            </w:r>
          </w:p>
        </w:tc>
        <w:tc>
          <w:tcPr>
            <w:tcW w:type="dxa" w:w="4191"/>
            <w:vAlign w:val="center"/>
            <w:shd w:fill="F4F7FA"/>
          </w:tcPr>
          <w:p>
            <w:pPr>
              <w:spacing w:line="288" w:lineRule="auto" w:before="60" w:after="60"/>
            </w:pPr>
            <w:r>
              <w:rPr>
                <w:rFonts w:ascii="Arial" w:hAnsi="Arial" w:eastAsia="Microsoft YaHei"/>
                <w:b w:val="0"/>
                <w:i w:val="0"/>
                <w:color w:val="24384C"/>
                <w:sz w:val="18"/>
              </w:rPr>
              <w:t>xcnctl 为当前运维工具；不承诺通用厂商 MML 命令兼容</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可选业务扩展</w:t>
            </w:r>
          </w:p>
        </w:tc>
        <w:tc>
          <w:tcPr>
            <w:tcW w:type="dxa" w:w="3143"/>
            <w:vAlign w:val="center"/>
          </w:tcPr>
          <w:p>
            <w:pPr>
              <w:spacing w:line="288" w:lineRule="auto" w:before="60" w:after="60"/>
            </w:pPr>
            <w:r>
              <w:rPr>
                <w:rFonts w:ascii="Arial" w:hAnsi="Arial" w:eastAsia="Microsoft YaHei"/>
                <w:b w:val="0"/>
                <w:i w:val="0"/>
                <w:color w:val="24384C"/>
                <w:sz w:val="18"/>
              </w:rPr>
              <w:t>ePCO 用户意图与算力通知相关增强</w:t>
            </w:r>
          </w:p>
        </w:tc>
        <w:tc>
          <w:tcPr>
            <w:tcW w:type="dxa" w:w="4191"/>
            <w:vAlign w:val="center"/>
          </w:tcPr>
          <w:p>
            <w:pPr>
              <w:spacing w:line="288" w:lineRule="auto" w:before="60" w:after="60"/>
            </w:pPr>
            <w:r>
              <w:rPr>
                <w:rFonts w:ascii="Arial" w:hAnsi="Arial" w:eastAsia="Microsoft YaHei"/>
                <w:b w:val="0"/>
                <w:i w:val="0"/>
                <w:color w:val="24384C"/>
                <w:sz w:val="18"/>
              </w:rPr>
              <w:t>默认关闭；私有扩展需专门联调，非通用 3GPP 标准业务承诺</w:t>
            </w:r>
          </w:p>
        </w:tc>
      </w:tr>
    </w:tbl>
    <w:p>
      <w:pPr>
        <w:spacing w:after="40" w:line="48" w:lineRule="auto"/>
      </w:pPr>
    </w:p>
    <w:p>
      <w:r>
        <w:rPr>
          <w:rFonts w:ascii="Arial" w:hAnsi="Arial" w:eastAsia="Microsoft YaHei"/>
          <w:b w:val="0"/>
          <w:i w:val="0"/>
        </w:rPr>
        <w:t>IPv6 相关会话及 TUN 示例配置存在于当前模板中，但本说明书的通用部署与业务验收以 IPv4 为主。IPv6／双栈、纯 IPv6 业务通知及加速模式 IPv6 N6 应按项目分别验证，不能由配置存在推断端到端验收完成。</w:t>
      </w:r>
    </w:p>
    <w:p>
      <w:pPr>
        <w:pStyle w:val="Heading2"/>
      </w:pPr>
      <w:r>
        <w:rPr>
          <w:rFonts w:ascii="Arial" w:hAnsi="Arial" w:eastAsia="Microsoft YaHei"/>
          <w:b w:val="0"/>
          <w:i w:val="0"/>
        </w:rPr>
        <w:t>3.3 系统架构与工作原理</w:t>
      </w:r>
    </w:p>
    <w:p>
      <w:pPr>
        <w:jc w:val="center"/>
      </w:pPr>
      <w:r>
        <w:drawing>
          <wp:inline xmlns:a="http://schemas.openxmlformats.org/drawingml/2006/main" xmlns:pic="http://schemas.openxmlformats.org/drawingml/2006/picture">
            <wp:extent cx="6048000" cy="3259200"/>
            <wp:docPr id="1" name="Picture 1"/>
            <wp:cNvGraphicFramePr>
              <a:graphicFrameLocks noChangeAspect="1"/>
            </wp:cNvGraphicFramePr>
            <a:graphic>
              <a:graphicData uri="http://schemas.openxmlformats.org/drawingml/2006/picture">
                <pic:pic>
                  <pic:nvPicPr>
                    <pic:cNvPr id="0" name="xcn-architecture.png"/>
                    <pic:cNvPicPr/>
                  </pic:nvPicPr>
                  <pic:blipFill>
                    <a:blip r:embed="rId17"/>
                    <a:stretch>
                      <a:fillRect/>
                    </a:stretch>
                  </pic:blipFill>
                  <pic:spPr>
                    <a:xfrm>
                      <a:off x="0" y="0"/>
                      <a:ext cx="6048000" cy="3259200"/>
                    </a:xfrm>
                    <a:prstGeom prst="rect"/>
                  </pic:spPr>
                </pic:pic>
              </a:graphicData>
            </a:graphic>
          </wp:inline>
        </w:drawing>
      </w:r>
    </w:p>
    <w:p>
      <w:r>
        <w:rPr>
          <w:rFonts w:ascii="Arial" w:hAnsi="Arial" w:eastAsia="Microsoft YaHei"/>
          <w:b w:val="0"/>
          <w:i w:val="0"/>
        </w:rPr>
        <w:t>图 1 为逻辑关系示意。UE 的 NAS 信令经 gNB 在 N1／N2 路径到达 AMF；业务数据经 gNB 的 N3 隧道到达 UPF，再通过 N6 进入数据网。SMF 经 N4 控制 UPF。控制面服务调用按当前配置使用 SCP，并通过 NRF 完成相应注册／发现；数据库连接不属于 SBI。</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工作负载</w:t>
            </w:r>
          </w:p>
        </w:tc>
        <w:tc>
          <w:tcPr>
            <w:tcW w:type="dxa" w:w="3143"/>
            <w:vAlign w:val="center"/>
            <w:shd w:fill="214D72"/>
          </w:tcPr>
          <w:p>
            <w:pPr>
              <w:spacing w:line="288" w:lineRule="auto" w:before="60" w:after="60"/>
            </w:pPr>
            <w:r>
              <w:rPr>
                <w:rFonts w:ascii="Arial" w:hAnsi="Arial" w:eastAsia="Microsoft YaHei"/>
                <w:b/>
                <w:i w:val="0"/>
                <w:color w:val="FFFFFF"/>
                <w:sz w:val="18"/>
              </w:rPr>
              <w:t>组成</w:t>
            </w:r>
          </w:p>
        </w:tc>
        <w:tc>
          <w:tcPr>
            <w:tcW w:type="dxa" w:w="4191"/>
            <w:vAlign w:val="center"/>
            <w:shd w:fill="214D72"/>
          </w:tcPr>
          <w:p>
            <w:pPr>
              <w:spacing w:line="288" w:lineRule="auto" w:before="60" w:after="60"/>
            </w:pPr>
            <w:r>
              <w:rPr>
                <w:rFonts w:ascii="Arial" w:hAnsi="Arial" w:eastAsia="Microsoft YaHei"/>
                <w:b/>
                <w:i w:val="0"/>
                <w:color w:val="FFFFFF"/>
                <w:sz w:val="18"/>
              </w:rPr>
              <w:t>作用</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xcn-core</w:t>
            </w:r>
          </w:p>
        </w:tc>
        <w:tc>
          <w:tcPr>
            <w:tcW w:type="dxa" w:w="3143"/>
            <w:vAlign w:val="center"/>
          </w:tcPr>
          <w:p>
            <w:pPr>
              <w:spacing w:line="288" w:lineRule="auto" w:before="60" w:after="60"/>
            </w:pPr>
            <w:r>
              <w:rPr>
                <w:rFonts w:ascii="Arial" w:hAnsi="Arial" w:eastAsia="Microsoft YaHei"/>
                <w:b w:val="0"/>
                <w:i w:val="0"/>
                <w:color w:val="24384C"/>
                <w:sz w:val="18"/>
              </w:rPr>
              <w:t>NRF、SCP</w:t>
            </w:r>
          </w:p>
        </w:tc>
        <w:tc>
          <w:tcPr>
            <w:tcW w:type="dxa" w:w="4191"/>
            <w:vAlign w:val="center"/>
          </w:tcPr>
          <w:p>
            <w:pPr>
              <w:spacing w:line="288" w:lineRule="auto" w:before="60" w:after="60"/>
            </w:pPr>
            <w:r>
              <w:rPr>
                <w:rFonts w:ascii="Arial" w:hAnsi="Arial" w:eastAsia="Microsoft YaHei"/>
                <w:b w:val="0"/>
                <w:i w:val="0"/>
                <w:color w:val="24384C"/>
                <w:sz w:val="18"/>
              </w:rPr>
              <w:t>服务注册／发现及通信代理</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xcn-5gc</w:t>
            </w:r>
          </w:p>
        </w:tc>
        <w:tc>
          <w:tcPr>
            <w:tcW w:type="dxa" w:w="3143"/>
            <w:vAlign w:val="center"/>
            <w:shd w:fill="F4F7FA"/>
          </w:tcPr>
          <w:p>
            <w:pPr>
              <w:spacing w:line="288" w:lineRule="auto" w:before="60" w:after="60"/>
            </w:pPr>
            <w:r>
              <w:rPr>
                <w:rFonts w:ascii="Arial" w:hAnsi="Arial" w:eastAsia="Microsoft YaHei"/>
                <w:b w:val="0"/>
                <w:i w:val="0"/>
                <w:color w:val="24384C"/>
                <w:sz w:val="18"/>
              </w:rPr>
              <w:t>AMF、SMF、UPF、AUSF、UDM、UDR、NSSF、PCF</w:t>
            </w:r>
          </w:p>
        </w:tc>
        <w:tc>
          <w:tcPr>
            <w:tcW w:type="dxa" w:w="4191"/>
            <w:vAlign w:val="center"/>
            <w:shd w:fill="F4F7FA"/>
          </w:tcPr>
          <w:p>
            <w:pPr>
              <w:spacing w:line="288" w:lineRule="auto" w:before="60" w:after="60"/>
            </w:pPr>
            <w:r>
              <w:rPr>
                <w:rFonts w:ascii="Arial" w:hAnsi="Arial" w:eastAsia="Microsoft YaHei"/>
                <w:b w:val="0"/>
                <w:i w:val="0"/>
                <w:color w:val="24384C"/>
                <w:sz w:val="18"/>
              </w:rPr>
              <w:t>接入、鉴权、会话、策略、切片与用户面；memif 模式增加 VPP 容器</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xcn-webui</w:t>
            </w:r>
          </w:p>
        </w:tc>
        <w:tc>
          <w:tcPr>
            <w:tcW w:type="dxa" w:w="3143"/>
            <w:vAlign w:val="center"/>
          </w:tcPr>
          <w:p>
            <w:pPr>
              <w:spacing w:line="288" w:lineRule="auto" w:before="60" w:after="60"/>
            </w:pPr>
            <w:r>
              <w:rPr>
                <w:rFonts w:ascii="Arial" w:hAnsi="Arial" w:eastAsia="Microsoft YaHei"/>
                <w:b w:val="0"/>
                <w:i w:val="0"/>
                <w:color w:val="24384C"/>
                <w:sz w:val="18"/>
              </w:rPr>
              <w:t>WebUI 及初始化容器</w:t>
            </w:r>
          </w:p>
        </w:tc>
        <w:tc>
          <w:tcPr>
            <w:tcW w:type="dxa" w:w="4191"/>
            <w:vAlign w:val="center"/>
          </w:tcPr>
          <w:p>
            <w:pPr>
              <w:spacing w:line="288" w:lineRule="auto" w:before="60" w:after="60"/>
            </w:pPr>
            <w:r>
              <w:rPr>
                <w:rFonts w:ascii="Arial" w:hAnsi="Arial" w:eastAsia="Microsoft YaHei"/>
                <w:b w:val="0"/>
                <w:i w:val="0"/>
                <w:color w:val="24384C"/>
                <w:sz w:val="18"/>
              </w:rPr>
              <w:t>订阅与管理账号操作</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xcn-mongodb</w:t>
            </w:r>
          </w:p>
        </w:tc>
        <w:tc>
          <w:tcPr>
            <w:tcW w:type="dxa" w:w="3143"/>
            <w:vAlign w:val="center"/>
            <w:shd w:fill="F4F7FA"/>
          </w:tcPr>
          <w:p>
            <w:pPr>
              <w:spacing w:line="288" w:lineRule="auto" w:before="60" w:after="60"/>
            </w:pPr>
            <w:r>
              <w:rPr>
                <w:rFonts w:ascii="Arial" w:hAnsi="Arial" w:eastAsia="Microsoft YaHei"/>
                <w:b w:val="0"/>
                <w:i w:val="0"/>
                <w:color w:val="24384C"/>
                <w:sz w:val="18"/>
              </w:rPr>
              <w:t>单副本 StatefulSet＋PVC</w:t>
            </w:r>
          </w:p>
        </w:tc>
        <w:tc>
          <w:tcPr>
            <w:tcW w:type="dxa" w:w="4191"/>
            <w:vAlign w:val="center"/>
            <w:shd w:fill="F4F7FA"/>
          </w:tcPr>
          <w:p>
            <w:pPr>
              <w:spacing w:line="288" w:lineRule="auto" w:before="60" w:after="60"/>
            </w:pPr>
            <w:r>
              <w:rPr>
                <w:rFonts w:ascii="Arial" w:hAnsi="Arial" w:eastAsia="Microsoft YaHei"/>
                <w:b w:val="0"/>
                <w:i w:val="0"/>
                <w:color w:val="24384C"/>
                <w:sz w:val="18"/>
              </w:rPr>
              <w:t>订阅、账号及相关持久数据</w:t>
            </w:r>
          </w:p>
        </w:tc>
      </w:tr>
    </w:tbl>
    <w:p>
      <w:pPr>
        <w:spacing w:after="40" w:line="48" w:lineRule="auto"/>
      </w:pPr>
    </w:p>
    <w:p>
      <w:r>
        <w:rPr>
          <w:rFonts w:ascii="Arial" w:hAnsi="Arial" w:eastAsia="Microsoft YaHei"/>
          <w:b w:val="0"/>
          <w:i w:val="0"/>
        </w:rPr>
        <w:t>BBU－RRU／AAU 的前传连接、天线馈线、无线帧时钟不由 XCN 核心网连接或提供。核心网宿主机应保持系统时间同步，便于日志、证书及跨网元事件关联；gNB 的 GNSS／PTP／SyncE 等无线同步按基站方案建设。</w:t>
      </w:r>
    </w:p>
    <w:p>
      <w:pPr>
        <w:pStyle w:val="Heading2"/>
      </w:pPr>
      <w:r>
        <w:rPr>
          <w:rFonts w:ascii="Arial" w:hAnsi="Arial" w:eastAsia="Microsoft YaHei"/>
          <w:b w:val="0"/>
          <w:i w:val="0"/>
        </w:rPr>
        <w:t>3.4 主要网络接口</w:t>
      </w:r>
    </w:p>
    <w:p>
      <w:r>
        <w:rPr>
          <w:rFonts w:ascii="Arial" w:hAnsi="Arial" w:eastAsia="Microsoft YaHei"/>
          <w:b w:val="0"/>
          <w:i w:val="0"/>
        </w:rPr>
        <w:t>以下为当前 Chart 的默认端口；实际防火墙与路由以部署模式、渲染清单及现场规划为准。SCTP 与 TCP 为不同传输协议，不能用 TCP 放通结果代替 N2 验证。</w:t>
      </w:r>
    </w:p>
    <w:tbl>
      <w:tblPr>
        <w:tblStyle w:val="TableGrid"/>
        <w:tblW w:type="auto" w:w="0"/>
        <w:tblLayout w:type="fixed"/>
        <w:tblLook w:firstColumn="1" w:firstRow="1" w:lastColumn="0" w:lastRow="0" w:noHBand="0" w:noVBand="1" w:val="04A0"/>
      </w:tblPr>
      <w:tblGrid>
        <w:gridCol w:w="2000"/>
        <w:gridCol w:w="2191"/>
        <w:gridCol w:w="2572"/>
        <w:gridCol w:w="2762"/>
      </w:tblGrid>
      <w:tr>
        <w:trPr>
          <w:cantSplit/>
          <w:tblHeader/>
        </w:trPr>
        <w:tc>
          <w:tcPr>
            <w:tcW w:type="dxa" w:w="2000"/>
            <w:vAlign w:val="center"/>
            <w:shd w:fill="214D72"/>
          </w:tcPr>
          <w:p>
            <w:pPr>
              <w:spacing w:line="288" w:lineRule="auto" w:before="60" w:after="60"/>
            </w:pPr>
            <w:r>
              <w:rPr>
                <w:rFonts w:ascii="Arial" w:hAnsi="Arial" w:eastAsia="Microsoft YaHei"/>
                <w:b/>
                <w:i w:val="0"/>
                <w:color w:val="FFFFFF"/>
                <w:sz w:val="18"/>
              </w:rPr>
              <w:t>接口／服务</w:t>
            </w:r>
          </w:p>
        </w:tc>
        <w:tc>
          <w:tcPr>
            <w:tcW w:type="dxa" w:w="2191"/>
            <w:vAlign w:val="center"/>
            <w:shd w:fill="214D72"/>
          </w:tcPr>
          <w:p>
            <w:pPr>
              <w:spacing w:line="288" w:lineRule="auto" w:before="60" w:after="60"/>
            </w:pPr>
            <w:r>
              <w:rPr>
                <w:rFonts w:ascii="Arial" w:hAnsi="Arial" w:eastAsia="Microsoft YaHei"/>
                <w:b/>
                <w:i w:val="0"/>
                <w:color w:val="FFFFFF"/>
                <w:sz w:val="18"/>
              </w:rPr>
              <w:t>通信双方</w:t>
            </w:r>
          </w:p>
        </w:tc>
        <w:tc>
          <w:tcPr>
            <w:tcW w:type="dxa" w:w="2572"/>
            <w:vAlign w:val="center"/>
            <w:shd w:fill="214D72"/>
          </w:tcPr>
          <w:p>
            <w:pPr>
              <w:spacing w:line="288" w:lineRule="auto" w:before="60" w:after="60"/>
            </w:pPr>
            <w:r>
              <w:rPr>
                <w:rFonts w:ascii="Arial" w:hAnsi="Arial" w:eastAsia="Microsoft YaHei"/>
                <w:b/>
                <w:i w:val="0"/>
                <w:color w:val="FFFFFF"/>
                <w:sz w:val="18"/>
              </w:rPr>
              <w:t>协议与默认端口</w:t>
            </w:r>
          </w:p>
        </w:tc>
        <w:tc>
          <w:tcPr>
            <w:tcW w:type="dxa" w:w="2762"/>
            <w:vAlign w:val="center"/>
            <w:shd w:fill="214D72"/>
          </w:tcPr>
          <w:p>
            <w:pPr>
              <w:spacing w:line="288" w:lineRule="auto" w:before="60" w:after="60"/>
            </w:pPr>
            <w:r>
              <w:rPr>
                <w:rFonts w:ascii="Arial" w:hAnsi="Arial" w:eastAsia="Microsoft YaHei"/>
                <w:b/>
                <w:i w:val="0"/>
                <w:color w:val="FFFFFF"/>
                <w:sz w:val="18"/>
              </w:rPr>
              <w:t>部署说明</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N1</w:t>
            </w:r>
          </w:p>
        </w:tc>
        <w:tc>
          <w:tcPr>
            <w:tcW w:type="dxa" w:w="2191"/>
            <w:vAlign w:val="center"/>
          </w:tcPr>
          <w:p>
            <w:pPr>
              <w:spacing w:line="288" w:lineRule="auto" w:before="60" w:after="60"/>
            </w:pPr>
            <w:r>
              <w:rPr>
                <w:rFonts w:ascii="Arial" w:hAnsi="Arial" w:eastAsia="Microsoft YaHei"/>
                <w:b w:val="0"/>
                <w:i w:val="0"/>
                <w:color w:val="24384C"/>
                <w:sz w:val="18"/>
              </w:rPr>
              <w:t>UE－AMF，经 gNB 转送</w:t>
            </w:r>
          </w:p>
        </w:tc>
        <w:tc>
          <w:tcPr>
            <w:tcW w:type="dxa" w:w="2572"/>
            <w:vAlign w:val="center"/>
          </w:tcPr>
          <w:p>
            <w:pPr>
              <w:spacing w:line="288" w:lineRule="auto" w:before="60" w:after="60"/>
            </w:pPr>
            <w:r>
              <w:rPr>
                <w:rFonts w:ascii="Arial" w:hAnsi="Arial" w:eastAsia="Microsoft YaHei"/>
                <w:b w:val="0"/>
                <w:i w:val="0"/>
                <w:color w:val="24384C"/>
                <w:sz w:val="18"/>
              </w:rPr>
              <w:t>NAS，不单独开放一个服务器端口</w:t>
            </w:r>
          </w:p>
        </w:tc>
        <w:tc>
          <w:tcPr>
            <w:tcW w:type="dxa" w:w="2762"/>
            <w:vAlign w:val="center"/>
          </w:tcPr>
          <w:p>
            <w:pPr>
              <w:spacing w:line="288" w:lineRule="auto" w:before="60" w:after="60"/>
            </w:pPr>
            <w:r>
              <w:rPr>
                <w:rFonts w:ascii="Arial" w:hAnsi="Arial" w:eastAsia="Microsoft YaHei"/>
                <w:b w:val="0"/>
                <w:i w:val="0"/>
                <w:color w:val="24384C"/>
                <w:sz w:val="18"/>
              </w:rPr>
              <w:t>结合 NGAP／NAS 流程定位</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N2</w:t>
            </w:r>
          </w:p>
        </w:tc>
        <w:tc>
          <w:tcPr>
            <w:tcW w:type="dxa" w:w="2191"/>
            <w:vAlign w:val="center"/>
            <w:shd w:fill="F4F7FA"/>
          </w:tcPr>
          <w:p>
            <w:pPr>
              <w:spacing w:line="288" w:lineRule="auto" w:before="60" w:after="60"/>
            </w:pPr>
            <w:r>
              <w:rPr>
                <w:rFonts w:ascii="Arial" w:hAnsi="Arial" w:eastAsia="Microsoft YaHei"/>
                <w:b w:val="0"/>
                <w:i w:val="0"/>
                <w:color w:val="24384C"/>
                <w:sz w:val="18"/>
              </w:rPr>
              <w:t>gNB－AMF</w:t>
            </w:r>
          </w:p>
        </w:tc>
        <w:tc>
          <w:tcPr>
            <w:tcW w:type="dxa" w:w="2572"/>
            <w:vAlign w:val="center"/>
            <w:shd w:fill="F4F7FA"/>
          </w:tcPr>
          <w:p>
            <w:pPr>
              <w:spacing w:line="288" w:lineRule="auto" w:before="60" w:after="60"/>
            </w:pPr>
            <w:r>
              <w:rPr>
                <w:rFonts w:ascii="Arial" w:hAnsi="Arial" w:eastAsia="Microsoft YaHei"/>
                <w:b w:val="0"/>
                <w:i w:val="0"/>
                <w:color w:val="24384C"/>
                <w:sz w:val="18"/>
              </w:rPr>
              <w:t>NGAP／SCTP 38412</w:t>
            </w:r>
          </w:p>
        </w:tc>
        <w:tc>
          <w:tcPr>
            <w:tcW w:type="dxa" w:w="2762"/>
            <w:vAlign w:val="center"/>
            <w:shd w:fill="F4F7FA"/>
          </w:tcPr>
          <w:p>
            <w:pPr>
              <w:spacing w:line="288" w:lineRule="auto" w:before="60" w:after="60"/>
            </w:pPr>
            <w:r>
              <w:rPr>
                <w:rFonts w:ascii="Arial" w:hAnsi="Arial" w:eastAsia="Microsoft YaHei"/>
                <w:b w:val="0"/>
                <w:i w:val="0"/>
                <w:color w:val="24384C"/>
                <w:sz w:val="18"/>
              </w:rPr>
              <w:t>hostNetwork 时使用配置的节点地址；另有默认 NodePort 31412</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N3</w:t>
            </w:r>
          </w:p>
        </w:tc>
        <w:tc>
          <w:tcPr>
            <w:tcW w:type="dxa" w:w="2191"/>
            <w:vAlign w:val="center"/>
          </w:tcPr>
          <w:p>
            <w:pPr>
              <w:spacing w:line="288" w:lineRule="auto" w:before="60" w:after="60"/>
            </w:pPr>
            <w:r>
              <w:rPr>
                <w:rFonts w:ascii="Arial" w:hAnsi="Arial" w:eastAsia="Microsoft YaHei"/>
                <w:b w:val="0"/>
                <w:i w:val="0"/>
                <w:color w:val="24384C"/>
                <w:sz w:val="18"/>
              </w:rPr>
              <w:t>gNB－UPF</w:t>
            </w:r>
          </w:p>
        </w:tc>
        <w:tc>
          <w:tcPr>
            <w:tcW w:type="dxa" w:w="2572"/>
            <w:vAlign w:val="center"/>
          </w:tcPr>
          <w:p>
            <w:pPr>
              <w:spacing w:line="288" w:lineRule="auto" w:before="60" w:after="60"/>
            </w:pPr>
            <w:r>
              <w:rPr>
                <w:rFonts w:ascii="Arial" w:hAnsi="Arial" w:eastAsia="Microsoft YaHei"/>
                <w:b w:val="0"/>
                <w:i w:val="0"/>
                <w:color w:val="24384C"/>
                <w:sz w:val="18"/>
              </w:rPr>
              <w:t>GTP-U／UDP 2152</w:t>
            </w:r>
          </w:p>
        </w:tc>
        <w:tc>
          <w:tcPr>
            <w:tcW w:type="dxa" w:w="2762"/>
            <w:vAlign w:val="center"/>
          </w:tcPr>
          <w:p>
            <w:pPr>
              <w:spacing w:line="288" w:lineRule="auto" w:before="60" w:after="60"/>
            </w:pPr>
            <w:r>
              <w:rPr>
                <w:rFonts w:ascii="Arial" w:hAnsi="Arial" w:eastAsia="Microsoft YaHei"/>
                <w:b w:val="0"/>
                <w:i w:val="0"/>
                <w:color w:val="24384C"/>
                <w:sz w:val="18"/>
              </w:rPr>
              <w:t>TUN 直达 UPF；memif 经 VPP 的专用 N3 地址；默认 NodePort 32152 不替代加速模式路由</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N4</w:t>
            </w:r>
          </w:p>
        </w:tc>
        <w:tc>
          <w:tcPr>
            <w:tcW w:type="dxa" w:w="2191"/>
            <w:vAlign w:val="center"/>
            <w:shd w:fill="F4F7FA"/>
          </w:tcPr>
          <w:p>
            <w:pPr>
              <w:spacing w:line="288" w:lineRule="auto" w:before="60" w:after="60"/>
            </w:pPr>
            <w:r>
              <w:rPr>
                <w:rFonts w:ascii="Arial" w:hAnsi="Arial" w:eastAsia="Microsoft YaHei"/>
                <w:b w:val="0"/>
                <w:i w:val="0"/>
                <w:color w:val="24384C"/>
                <w:sz w:val="18"/>
              </w:rPr>
              <w:t>SMF－UPF</w:t>
            </w:r>
          </w:p>
        </w:tc>
        <w:tc>
          <w:tcPr>
            <w:tcW w:type="dxa" w:w="2572"/>
            <w:vAlign w:val="center"/>
            <w:shd w:fill="F4F7FA"/>
          </w:tcPr>
          <w:p>
            <w:pPr>
              <w:spacing w:line="288" w:lineRule="auto" w:before="60" w:after="60"/>
            </w:pPr>
            <w:r>
              <w:rPr>
                <w:rFonts w:ascii="Arial" w:hAnsi="Arial" w:eastAsia="Microsoft YaHei"/>
                <w:b w:val="0"/>
                <w:i w:val="0"/>
                <w:color w:val="24384C"/>
                <w:sz w:val="18"/>
              </w:rPr>
              <w:t>PFCP／UDP 8805</w:t>
            </w:r>
          </w:p>
        </w:tc>
        <w:tc>
          <w:tcPr>
            <w:tcW w:type="dxa" w:w="2762"/>
            <w:vAlign w:val="center"/>
            <w:shd w:fill="F4F7FA"/>
          </w:tcPr>
          <w:p>
            <w:pPr>
              <w:spacing w:line="288" w:lineRule="auto" w:before="60" w:after="60"/>
            </w:pPr>
            <w:r>
              <w:rPr>
                <w:rFonts w:ascii="Arial" w:hAnsi="Arial" w:eastAsia="Microsoft YaHei"/>
                <w:b w:val="0"/>
                <w:i w:val="0"/>
                <w:color w:val="24384C"/>
                <w:sz w:val="18"/>
              </w:rPr>
              <w:t>当前同 Pod，SMF 127.0.0.4、UPF 127.0.0.7，无需向外部开放</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N6</w:t>
            </w:r>
          </w:p>
        </w:tc>
        <w:tc>
          <w:tcPr>
            <w:tcW w:type="dxa" w:w="2191"/>
            <w:vAlign w:val="center"/>
          </w:tcPr>
          <w:p>
            <w:pPr>
              <w:spacing w:line="288" w:lineRule="auto" w:before="60" w:after="60"/>
            </w:pPr>
            <w:r>
              <w:rPr>
                <w:rFonts w:ascii="Arial" w:hAnsi="Arial" w:eastAsia="Microsoft YaHei"/>
                <w:b w:val="0"/>
                <w:i w:val="0"/>
                <w:color w:val="24384C"/>
                <w:sz w:val="18"/>
              </w:rPr>
              <w:t>UPF－DN</w:t>
            </w:r>
          </w:p>
        </w:tc>
        <w:tc>
          <w:tcPr>
            <w:tcW w:type="dxa" w:w="2572"/>
            <w:vAlign w:val="center"/>
          </w:tcPr>
          <w:p>
            <w:pPr>
              <w:spacing w:line="288" w:lineRule="auto" w:before="60" w:after="60"/>
            </w:pPr>
            <w:r>
              <w:rPr>
                <w:rFonts w:ascii="Arial" w:hAnsi="Arial" w:eastAsia="Microsoft YaHei"/>
                <w:b w:val="0"/>
                <w:i w:val="0"/>
                <w:color w:val="24384C"/>
                <w:sz w:val="18"/>
              </w:rPr>
              <w:t>按业务承载 IPv4 等 IP 流量</w:t>
            </w:r>
          </w:p>
        </w:tc>
        <w:tc>
          <w:tcPr>
            <w:tcW w:type="dxa" w:w="2762"/>
            <w:vAlign w:val="center"/>
          </w:tcPr>
          <w:p>
            <w:pPr>
              <w:spacing w:line="288" w:lineRule="auto" w:before="60" w:after="60"/>
            </w:pPr>
            <w:r>
              <w:rPr>
                <w:rFonts w:ascii="Arial" w:hAnsi="Arial" w:eastAsia="Microsoft YaHei"/>
                <w:b w:val="0"/>
                <w:i w:val="0"/>
                <w:color w:val="24384C"/>
                <w:sz w:val="18"/>
              </w:rPr>
              <w:t>无单一固定业务端口；需双向路由或 NAT</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NRF／SCP SBI</w:t>
            </w:r>
          </w:p>
        </w:tc>
        <w:tc>
          <w:tcPr>
            <w:tcW w:type="dxa" w:w="2191"/>
            <w:vAlign w:val="center"/>
            <w:shd w:fill="F4F7FA"/>
          </w:tcPr>
          <w:p>
            <w:pPr>
              <w:spacing w:line="288" w:lineRule="auto" w:before="60" w:after="60"/>
            </w:pPr>
            <w:r>
              <w:rPr>
                <w:rFonts w:ascii="Arial" w:hAnsi="Arial" w:eastAsia="Microsoft YaHei"/>
                <w:b w:val="0"/>
                <w:i w:val="0"/>
                <w:color w:val="24384C"/>
                <w:sz w:val="18"/>
              </w:rPr>
              <w:t>核心网内部</w:t>
            </w:r>
          </w:p>
        </w:tc>
        <w:tc>
          <w:tcPr>
            <w:tcW w:type="dxa" w:w="2572"/>
            <w:vAlign w:val="center"/>
            <w:shd w:fill="F4F7FA"/>
          </w:tcPr>
          <w:p>
            <w:pPr>
              <w:spacing w:line="288" w:lineRule="auto" w:before="60" w:after="60"/>
            </w:pPr>
            <w:r>
              <w:rPr>
                <w:rFonts w:ascii="Arial" w:hAnsi="Arial" w:eastAsia="Microsoft YaHei"/>
                <w:b w:val="0"/>
                <w:i w:val="0"/>
                <w:color w:val="24384C"/>
                <w:sz w:val="18"/>
              </w:rPr>
              <w:t>Service TCP 7777</w:t>
            </w:r>
          </w:p>
        </w:tc>
        <w:tc>
          <w:tcPr>
            <w:tcW w:type="dxa" w:w="2762"/>
            <w:vAlign w:val="center"/>
            <w:shd w:fill="F4F7FA"/>
          </w:tcPr>
          <w:p>
            <w:pPr>
              <w:spacing w:line="288" w:lineRule="auto" w:before="60" w:after="60"/>
            </w:pPr>
            <w:r>
              <w:rPr>
                <w:rFonts w:ascii="Arial" w:hAnsi="Arial" w:eastAsia="Microsoft YaHei"/>
                <w:b w:val="0"/>
                <w:i w:val="0"/>
                <w:color w:val="24384C"/>
                <w:sz w:val="18"/>
              </w:rPr>
              <w:t>容器实际监听分别 7777／7778</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其余控制面 SBI</w:t>
            </w:r>
          </w:p>
        </w:tc>
        <w:tc>
          <w:tcPr>
            <w:tcW w:type="dxa" w:w="2191"/>
            <w:vAlign w:val="center"/>
          </w:tcPr>
          <w:p>
            <w:pPr>
              <w:spacing w:line="288" w:lineRule="auto" w:before="60" w:after="60"/>
            </w:pPr>
            <w:r>
              <w:rPr>
                <w:rFonts w:ascii="Arial" w:hAnsi="Arial" w:eastAsia="Microsoft YaHei"/>
                <w:b w:val="0"/>
                <w:i w:val="0"/>
                <w:color w:val="24384C"/>
                <w:sz w:val="18"/>
              </w:rPr>
              <w:t>核心网内部</w:t>
            </w:r>
          </w:p>
        </w:tc>
        <w:tc>
          <w:tcPr>
            <w:tcW w:type="dxa" w:w="2572"/>
            <w:vAlign w:val="center"/>
          </w:tcPr>
          <w:p>
            <w:pPr>
              <w:spacing w:line="288" w:lineRule="auto" w:before="60" w:after="60"/>
            </w:pPr>
            <w:r>
              <w:rPr>
                <w:rFonts w:ascii="Arial" w:hAnsi="Arial" w:eastAsia="Microsoft YaHei"/>
                <w:b w:val="0"/>
                <w:i w:val="0"/>
                <w:color w:val="24384C"/>
                <w:sz w:val="18"/>
              </w:rPr>
              <w:t>Service TCP 7777</w:t>
            </w:r>
          </w:p>
        </w:tc>
        <w:tc>
          <w:tcPr>
            <w:tcW w:type="dxa" w:w="2762"/>
            <w:vAlign w:val="center"/>
          </w:tcPr>
          <w:p>
            <w:pPr>
              <w:spacing w:line="288" w:lineRule="auto" w:before="60" w:after="60"/>
            </w:pPr>
            <w:r>
              <w:rPr>
                <w:rFonts w:ascii="Arial" w:hAnsi="Arial" w:eastAsia="Microsoft YaHei"/>
                <w:b w:val="0"/>
                <w:i w:val="0"/>
                <w:color w:val="24384C"/>
                <w:sz w:val="18"/>
              </w:rPr>
              <w:t>AMF／SMF／AUSF／UDM／UDR／NSSF／PCF 实际监听依次 7779～7785</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PCF 外部策略访问</w:t>
            </w:r>
          </w:p>
        </w:tc>
        <w:tc>
          <w:tcPr>
            <w:tcW w:type="dxa" w:w="2191"/>
            <w:vAlign w:val="center"/>
            <w:shd w:fill="F4F7FA"/>
          </w:tcPr>
          <w:p>
            <w:pPr>
              <w:spacing w:line="288" w:lineRule="auto" w:before="60" w:after="60"/>
            </w:pPr>
            <w:r>
              <w:rPr>
                <w:rFonts w:ascii="Arial" w:hAnsi="Arial" w:eastAsia="Microsoft YaHei"/>
                <w:b w:val="0"/>
                <w:i w:val="0"/>
                <w:color w:val="24384C"/>
                <w:sz w:val="18"/>
              </w:rPr>
              <w:t>授权应用－PCF</w:t>
            </w:r>
          </w:p>
        </w:tc>
        <w:tc>
          <w:tcPr>
            <w:tcW w:type="dxa" w:w="2572"/>
            <w:vAlign w:val="center"/>
            <w:shd w:fill="F4F7FA"/>
          </w:tcPr>
          <w:p>
            <w:pPr>
              <w:spacing w:line="288" w:lineRule="auto" w:before="60" w:after="60"/>
            </w:pPr>
            <w:r>
              <w:rPr>
                <w:rFonts w:ascii="Arial" w:hAnsi="Arial" w:eastAsia="Microsoft YaHei"/>
                <w:b w:val="0"/>
                <w:i w:val="0"/>
                <w:color w:val="24384C"/>
                <w:sz w:val="18"/>
              </w:rPr>
              <w:t>默认 NodePort TCP 30777</w:t>
            </w:r>
          </w:p>
        </w:tc>
        <w:tc>
          <w:tcPr>
            <w:tcW w:type="dxa" w:w="2762"/>
            <w:vAlign w:val="center"/>
            <w:shd w:fill="F4F7FA"/>
          </w:tcPr>
          <w:p>
            <w:pPr>
              <w:spacing w:line="288" w:lineRule="auto" w:before="60" w:after="60"/>
            </w:pPr>
            <w:r>
              <w:rPr>
                <w:rFonts w:ascii="Arial" w:hAnsi="Arial" w:eastAsia="Microsoft YaHei"/>
                <w:b w:val="0"/>
                <w:i w:val="0"/>
                <w:color w:val="24384C"/>
                <w:sz w:val="18"/>
              </w:rPr>
              <w:t>按需限制来源；不要无条件向公网开放</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运维指标／诊断</w:t>
            </w:r>
          </w:p>
        </w:tc>
        <w:tc>
          <w:tcPr>
            <w:tcW w:type="dxa" w:w="2191"/>
            <w:vAlign w:val="center"/>
          </w:tcPr>
          <w:p>
            <w:pPr>
              <w:spacing w:line="288" w:lineRule="auto" w:before="60" w:after="60"/>
            </w:pPr>
            <w:r>
              <w:rPr>
                <w:rFonts w:ascii="Arial" w:hAnsi="Arial" w:eastAsia="Microsoft YaHei"/>
                <w:b w:val="0"/>
                <w:i w:val="0"/>
                <w:color w:val="24384C"/>
                <w:sz w:val="18"/>
              </w:rPr>
              <w:t>管理网－网元</w:t>
            </w:r>
          </w:p>
        </w:tc>
        <w:tc>
          <w:tcPr>
            <w:tcW w:type="dxa" w:w="2572"/>
            <w:vAlign w:val="center"/>
          </w:tcPr>
          <w:p>
            <w:pPr>
              <w:spacing w:line="288" w:lineRule="auto" w:before="60" w:after="60"/>
            </w:pPr>
            <w:r>
              <w:rPr>
                <w:rFonts w:ascii="Arial" w:hAnsi="Arial" w:eastAsia="Microsoft YaHei"/>
                <w:b w:val="0"/>
                <w:i w:val="0"/>
                <w:color w:val="24384C"/>
                <w:sz w:val="18"/>
              </w:rPr>
              <w:t>Service TCP 9090；AMF／SMF／UPF／PCF 容器为 9091～9094</w:t>
            </w:r>
          </w:p>
        </w:tc>
        <w:tc>
          <w:tcPr>
            <w:tcW w:type="dxa" w:w="2762"/>
            <w:vAlign w:val="center"/>
          </w:tcPr>
          <w:p>
            <w:pPr>
              <w:spacing w:line="288" w:lineRule="auto" w:before="60" w:after="60"/>
            </w:pPr>
            <w:r>
              <w:rPr>
                <w:rFonts w:ascii="Arial" w:hAnsi="Arial" w:eastAsia="Microsoft YaHei"/>
                <w:b w:val="0"/>
                <w:i w:val="0"/>
                <w:color w:val="24384C"/>
                <w:sz w:val="18"/>
              </w:rPr>
              <w:t>含 UE／会话信息；PCF Service 为 NodePort 时指标也可能获得节点端口，应核对实际清单</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WebUI</w:t>
            </w:r>
          </w:p>
        </w:tc>
        <w:tc>
          <w:tcPr>
            <w:tcW w:type="dxa" w:w="2191"/>
            <w:vAlign w:val="center"/>
            <w:shd w:fill="F4F7FA"/>
          </w:tcPr>
          <w:p>
            <w:pPr>
              <w:spacing w:line="288" w:lineRule="auto" w:before="60" w:after="60"/>
            </w:pPr>
            <w:r>
              <w:rPr>
                <w:rFonts w:ascii="Arial" w:hAnsi="Arial" w:eastAsia="Microsoft YaHei"/>
                <w:b w:val="0"/>
                <w:i w:val="0"/>
                <w:color w:val="24384C"/>
                <w:sz w:val="18"/>
              </w:rPr>
              <w:t>管理员－管理页面</w:t>
            </w:r>
          </w:p>
        </w:tc>
        <w:tc>
          <w:tcPr>
            <w:tcW w:type="dxa" w:w="2572"/>
            <w:vAlign w:val="center"/>
            <w:shd w:fill="F4F7FA"/>
          </w:tcPr>
          <w:p>
            <w:pPr>
              <w:spacing w:line="288" w:lineRule="auto" w:before="60" w:after="60"/>
            </w:pPr>
            <w:r>
              <w:rPr>
                <w:rFonts w:ascii="Arial" w:hAnsi="Arial" w:eastAsia="Microsoft YaHei"/>
                <w:b w:val="0"/>
                <w:i w:val="0"/>
                <w:color w:val="24384C"/>
                <w:sz w:val="18"/>
              </w:rPr>
              <w:t>TCP 9999</w:t>
            </w:r>
          </w:p>
        </w:tc>
        <w:tc>
          <w:tcPr>
            <w:tcW w:type="dxa" w:w="2762"/>
            <w:vAlign w:val="center"/>
            <w:shd w:fill="F4F7FA"/>
          </w:tcPr>
          <w:p>
            <w:pPr>
              <w:spacing w:line="288" w:lineRule="auto" w:before="60" w:after="60"/>
            </w:pPr>
            <w:r>
              <w:rPr>
                <w:rFonts w:ascii="Arial" w:hAnsi="Arial" w:eastAsia="Microsoft YaHei"/>
                <w:b w:val="0"/>
                <w:i w:val="0"/>
                <w:color w:val="24384C"/>
                <w:sz w:val="18"/>
              </w:rPr>
              <w:t>默认 Service＋hostPort；项目需要 HTTPS 时另行配置并验证</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MongoDB</w:t>
            </w:r>
          </w:p>
        </w:tc>
        <w:tc>
          <w:tcPr>
            <w:tcW w:type="dxa" w:w="2191"/>
            <w:vAlign w:val="center"/>
          </w:tcPr>
          <w:p>
            <w:pPr>
              <w:spacing w:line="288" w:lineRule="auto" w:before="60" w:after="60"/>
            </w:pPr>
            <w:r>
              <w:rPr>
                <w:rFonts w:ascii="Arial" w:hAnsi="Arial" w:eastAsia="Microsoft YaHei"/>
                <w:b w:val="0"/>
                <w:i w:val="0"/>
                <w:color w:val="24384C"/>
                <w:sz w:val="18"/>
              </w:rPr>
              <w:t>UDR／PCF／WebUI 等－数据库</w:t>
            </w:r>
          </w:p>
        </w:tc>
        <w:tc>
          <w:tcPr>
            <w:tcW w:type="dxa" w:w="2572"/>
            <w:vAlign w:val="center"/>
          </w:tcPr>
          <w:p>
            <w:pPr>
              <w:spacing w:line="288" w:lineRule="auto" w:before="60" w:after="60"/>
            </w:pPr>
            <w:r>
              <w:rPr>
                <w:rFonts w:ascii="Arial" w:hAnsi="Arial" w:eastAsia="Microsoft YaHei"/>
                <w:b w:val="0"/>
                <w:i w:val="0"/>
                <w:color w:val="24384C"/>
                <w:sz w:val="18"/>
              </w:rPr>
              <w:t>TCP 27017</w:t>
            </w:r>
          </w:p>
        </w:tc>
        <w:tc>
          <w:tcPr>
            <w:tcW w:type="dxa" w:w="2762"/>
            <w:vAlign w:val="center"/>
          </w:tcPr>
          <w:p>
            <w:pPr>
              <w:spacing w:line="288" w:lineRule="auto" w:before="60" w:after="60"/>
            </w:pPr>
            <w:r>
              <w:rPr>
                <w:rFonts w:ascii="Arial" w:hAnsi="Arial" w:eastAsia="Microsoft YaHei"/>
                <w:b w:val="0"/>
                <w:i w:val="0"/>
                <w:color w:val="24384C"/>
                <w:sz w:val="18"/>
              </w:rPr>
              <w:t>默认仅集群 Service；不作为外部业务入口</w:t>
            </w:r>
          </w:p>
        </w:tc>
      </w:tr>
    </w:tbl>
    <w:p>
      <w:pPr>
        <w:spacing w:after="40" w:line="48" w:lineRule="auto"/>
      </w:pPr>
    </w:p>
    <w:p>
      <w:r>
        <w:rPr>
          <w:rFonts w:ascii="Arial" w:hAnsi="Arial" w:eastAsia="Microsoft YaHei"/>
          <w:b w:val="0"/>
          <w:i w:val="0"/>
        </w:rPr>
        <w:t>启用 hostNetwork 后，0.0.0.0 监听可能在宿主可达接口上暴露服务，不能仅依赖 Service 类型判断暴露范围。非 hostNetwork 的 hostPort／NodePort 也需核对节点转发、防火墙及 CNI 对 SCTP 的支持。采用 NodePort 时，gNB 实际使用的 AMF 端口、N3 广告地址与到达端口应联合验证，不能只确认 Service 已创建。</w:t>
      </w:r>
    </w:p>
    <w:p>
      <w:pPr>
        <w:pStyle w:val="Heading2"/>
      </w:pPr>
      <w:r>
        <w:rPr>
          <w:rFonts w:ascii="Arial" w:hAnsi="Arial" w:eastAsia="Microsoft YaHei"/>
          <w:b w:val="0"/>
          <w:i w:val="0"/>
        </w:rPr>
        <w:t>3.5 两种用户面模式</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项目</w:t>
            </w:r>
          </w:p>
        </w:tc>
        <w:tc>
          <w:tcPr>
            <w:tcW w:type="dxa" w:w="3143"/>
            <w:vAlign w:val="center"/>
            <w:shd w:fill="214D72"/>
          </w:tcPr>
          <w:p>
            <w:pPr>
              <w:spacing w:line="288" w:lineRule="auto" w:before="60" w:after="60"/>
            </w:pPr>
            <w:r>
              <w:rPr>
                <w:rFonts w:ascii="Arial" w:hAnsi="Arial" w:eastAsia="Microsoft YaHei"/>
                <w:b/>
                <w:i w:val="0"/>
                <w:color w:val="FFFFFF"/>
                <w:sz w:val="18"/>
              </w:rPr>
              <w:t>UDP/TUN 模式</w:t>
            </w:r>
          </w:p>
        </w:tc>
        <w:tc>
          <w:tcPr>
            <w:tcW w:type="dxa" w:w="4191"/>
            <w:vAlign w:val="center"/>
            <w:shd w:fill="214D72"/>
          </w:tcPr>
          <w:p>
            <w:pPr>
              <w:spacing w:line="288" w:lineRule="auto" w:before="60" w:after="60"/>
            </w:pPr>
            <w:r>
              <w:rPr>
                <w:rFonts w:ascii="Arial" w:hAnsi="Arial" w:eastAsia="Microsoft YaHei"/>
                <w:b/>
                <w:i w:val="0"/>
                <w:color w:val="FFFFFF"/>
                <w:sz w:val="18"/>
              </w:rPr>
              <w:t>VPP/memif 模式</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选择参数</w:t>
            </w:r>
          </w:p>
        </w:tc>
        <w:tc>
          <w:tcPr>
            <w:tcW w:type="dxa" w:w="3143"/>
            <w:vAlign w:val="center"/>
          </w:tcPr>
          <w:p>
            <w:pPr>
              <w:spacing w:line="288" w:lineRule="auto" w:before="60" w:after="60"/>
            </w:pPr>
            <w:r>
              <w:rPr>
                <w:rFonts w:ascii="Arial" w:hAnsi="Arial" w:eastAsia="Microsoft YaHei"/>
                <w:b w:val="0"/>
                <w:i w:val="0"/>
                <w:color w:val="24384C"/>
                <w:sz w:val="18"/>
              </w:rPr>
              <w:t>networking.upf.mode=tun</w:t>
            </w:r>
          </w:p>
        </w:tc>
        <w:tc>
          <w:tcPr>
            <w:tcW w:type="dxa" w:w="4191"/>
            <w:vAlign w:val="center"/>
          </w:tcPr>
          <w:p>
            <w:pPr>
              <w:spacing w:line="288" w:lineRule="auto" w:before="60" w:after="60"/>
            </w:pPr>
            <w:r>
              <w:rPr>
                <w:rFonts w:ascii="Arial" w:hAnsi="Arial" w:eastAsia="Microsoft YaHei"/>
                <w:b w:val="0"/>
                <w:i w:val="0"/>
                <w:color w:val="24384C"/>
                <w:sz w:val="18"/>
              </w:rPr>
              <w:t>networking.upf.mode=memif</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N3 路径</w:t>
            </w:r>
          </w:p>
        </w:tc>
        <w:tc>
          <w:tcPr>
            <w:tcW w:type="dxa" w:w="3143"/>
            <w:vAlign w:val="center"/>
            <w:shd w:fill="F4F7FA"/>
          </w:tcPr>
          <w:p>
            <w:pPr>
              <w:spacing w:line="288" w:lineRule="auto" w:before="60" w:after="60"/>
            </w:pPr>
            <w:r>
              <w:rPr>
                <w:rFonts w:ascii="Arial" w:hAnsi="Arial" w:eastAsia="Microsoft YaHei"/>
                <w:b w:val="0"/>
                <w:i w:val="0"/>
                <w:color w:val="24384C"/>
                <w:sz w:val="18"/>
              </w:rPr>
              <w:t>Linux UDP socket</w:t>
            </w:r>
          </w:p>
        </w:tc>
        <w:tc>
          <w:tcPr>
            <w:tcW w:type="dxa" w:w="4191"/>
            <w:vAlign w:val="center"/>
            <w:shd w:fill="F4F7FA"/>
          </w:tcPr>
          <w:p>
            <w:pPr>
              <w:spacing w:line="288" w:lineRule="auto" w:before="60" w:after="60"/>
            </w:pPr>
            <w:r>
              <w:rPr>
                <w:rFonts w:ascii="Arial" w:hAnsi="Arial" w:eastAsia="Microsoft YaHei"/>
                <w:b w:val="0"/>
                <w:i w:val="0"/>
                <w:color w:val="24384C"/>
                <w:sz w:val="18"/>
              </w:rPr>
              <w:t>N3 VF → VPP／DPDK → N3 raw-IP memif → UPF</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N6 路径</w:t>
            </w:r>
          </w:p>
        </w:tc>
        <w:tc>
          <w:tcPr>
            <w:tcW w:type="dxa" w:w="3143"/>
            <w:vAlign w:val="center"/>
          </w:tcPr>
          <w:p>
            <w:pPr>
              <w:spacing w:line="288" w:lineRule="auto" w:before="60" w:after="60"/>
            </w:pPr>
            <w:r>
              <w:rPr>
                <w:rFonts w:ascii="Arial" w:hAnsi="Arial" w:eastAsia="Microsoft YaHei"/>
                <w:b w:val="0"/>
                <w:i w:val="0"/>
                <w:color w:val="24384C"/>
                <w:sz w:val="18"/>
              </w:rPr>
              <w:t>UPF → ogstun → Linux 路由／NAT</w:t>
            </w:r>
          </w:p>
        </w:tc>
        <w:tc>
          <w:tcPr>
            <w:tcW w:type="dxa" w:w="4191"/>
            <w:vAlign w:val="center"/>
          </w:tcPr>
          <w:p>
            <w:pPr>
              <w:spacing w:line="288" w:lineRule="auto" w:before="60" w:after="60"/>
            </w:pPr>
            <w:r>
              <w:rPr>
                <w:rFonts w:ascii="Arial" w:hAnsi="Arial" w:eastAsia="Microsoft YaHei"/>
                <w:b w:val="0"/>
                <w:i w:val="0"/>
                <w:color w:val="24384C"/>
                <w:sz w:val="18"/>
              </w:rPr>
              <w:t>UPF → N6 memif → VPP 路由／NAT44 → N6 VF</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主要前提</w:t>
            </w:r>
          </w:p>
        </w:tc>
        <w:tc>
          <w:tcPr>
            <w:tcW w:type="dxa" w:w="3143"/>
            <w:vAlign w:val="center"/>
            <w:shd w:fill="F4F7FA"/>
          </w:tcPr>
          <w:p>
            <w:pPr>
              <w:spacing w:line="288" w:lineRule="auto" w:before="60" w:after="60"/>
            </w:pPr>
            <w:r>
              <w:rPr>
                <w:rFonts w:ascii="Arial" w:hAnsi="Arial" w:eastAsia="Microsoft YaHei"/>
                <w:b w:val="0"/>
                <w:i w:val="0"/>
                <w:color w:val="24384C"/>
                <w:sz w:val="18"/>
              </w:rPr>
              <w:t>/dev/net/tun、SCTP、NET_ADMIN／特权容器及可用路由</w:t>
            </w:r>
          </w:p>
        </w:tc>
        <w:tc>
          <w:tcPr>
            <w:tcW w:type="dxa" w:w="4191"/>
            <w:vAlign w:val="center"/>
            <w:shd w:fill="F4F7FA"/>
          </w:tcPr>
          <w:p>
            <w:pPr>
              <w:spacing w:line="288" w:lineRule="auto" w:before="60" w:after="60"/>
            </w:pPr>
            <w:r>
              <w:rPr>
                <w:rFonts w:ascii="Arial" w:hAnsi="Arial" w:eastAsia="Microsoft YaHei"/>
                <w:b w:val="0"/>
                <w:i w:val="0"/>
                <w:color w:val="24384C"/>
                <w:sz w:val="18"/>
              </w:rPr>
              <w:t>额外需要两个合格 VF、设备插件、VFIO／IOMMU 条件、大页、CPU 分配机制及可达的 N3／N6 地址</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典型用途</w:t>
            </w:r>
          </w:p>
        </w:tc>
        <w:tc>
          <w:tcPr>
            <w:tcW w:type="dxa" w:w="3143"/>
            <w:vAlign w:val="center"/>
          </w:tcPr>
          <w:p>
            <w:pPr>
              <w:spacing w:line="288" w:lineRule="auto" w:before="60" w:after="60"/>
            </w:pPr>
            <w:r>
              <w:rPr>
                <w:rFonts w:ascii="Arial" w:hAnsi="Arial" w:eastAsia="Microsoft YaHei"/>
                <w:b w:val="0"/>
                <w:i w:val="0"/>
                <w:color w:val="24384C"/>
                <w:sz w:val="18"/>
              </w:rPr>
              <w:t>兼容部署、功能联调及不具备 VF 的环境</w:t>
            </w:r>
          </w:p>
        </w:tc>
        <w:tc>
          <w:tcPr>
            <w:tcW w:type="dxa" w:w="4191"/>
            <w:vAlign w:val="center"/>
          </w:tcPr>
          <w:p>
            <w:pPr>
              <w:spacing w:line="288" w:lineRule="auto" w:before="60" w:after="60"/>
            </w:pPr>
            <w:r>
              <w:rPr>
                <w:rFonts w:ascii="Arial" w:hAnsi="Arial" w:eastAsia="Microsoft YaHei"/>
                <w:b w:val="0"/>
                <w:i w:val="0"/>
                <w:color w:val="24384C"/>
                <w:sz w:val="18"/>
              </w:rPr>
              <w:t>已具备相应硬件与平台条件的加速部署</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故障定位</w:t>
            </w:r>
          </w:p>
        </w:tc>
        <w:tc>
          <w:tcPr>
            <w:tcW w:type="dxa" w:w="3143"/>
            <w:vAlign w:val="center"/>
            <w:shd w:fill="F4F7FA"/>
          </w:tcPr>
          <w:p>
            <w:pPr>
              <w:spacing w:line="288" w:lineRule="auto" w:before="60" w:after="60"/>
            </w:pPr>
            <w:r>
              <w:rPr>
                <w:rFonts w:ascii="Arial" w:hAnsi="Arial" w:eastAsia="Microsoft YaHei"/>
                <w:b w:val="0"/>
                <w:i w:val="0"/>
                <w:color w:val="24384C"/>
                <w:sz w:val="18"/>
              </w:rPr>
              <w:t>UDP 监听、ogstun、主机路由及 iptables</w:t>
            </w:r>
          </w:p>
        </w:tc>
        <w:tc>
          <w:tcPr>
            <w:tcW w:type="dxa" w:w="4191"/>
            <w:vAlign w:val="center"/>
            <w:shd w:fill="F4F7FA"/>
          </w:tcPr>
          <w:p>
            <w:pPr>
              <w:spacing w:line="288" w:lineRule="auto" w:before="60" w:after="60"/>
            </w:pPr>
            <w:r>
              <w:rPr>
                <w:rFonts w:ascii="Arial" w:hAnsi="Arial" w:eastAsia="Microsoft YaHei"/>
                <w:b w:val="0"/>
                <w:i w:val="0"/>
                <w:color w:val="24384C"/>
                <w:sz w:val="18"/>
              </w:rPr>
              <w:t>额外检查 VF、memif、VPP FIB／邻居、NAT、队列与 Worker</w:t>
            </w:r>
          </w:p>
        </w:tc>
      </w:tr>
    </w:tbl>
    <w:p>
      <w:pPr>
        <w:spacing w:after="40" w:line="48" w:lineRule="auto"/>
      </w:pPr>
    </w:p>
    <w:p>
      <w:r>
        <w:rPr>
          <w:rFonts w:ascii="Arial" w:hAnsi="Arial" w:eastAsia="Microsoft YaHei"/>
          <w:b w:val="0"/>
          <w:i w:val="0"/>
        </w:rPr>
        <w:t>当前 Chart 默认 mode 为空，以兼容旧配置；其默认组合解析为 UDP/TUN。新项目应显式指定 tun 或 memif。切换模式会重建相关工作负载，原 PFCP／PDU 会话不会因此自动恢复，终端需按重新接入流程验证。</w:t>
      </w:r>
    </w:p>
    <w:p>
      <w:r>
        <w:rPr>
          <w:rFonts w:ascii="Arial" w:hAnsi="Arial" w:eastAsia="Microsoft YaHei"/>
          <w:b w:val="0"/>
          <w:i w:val="0"/>
        </w:rPr>
        <w:t>memif 模式仍由 Open5GS UPF 承担 PFCP 与 PDR／FAR／QER／URR 等处理；VPP 为收发、路由及 NAT 等提供加速路径。不能将本实现等同于替换为另一套 VPP 原生 UPF。</w:t>
      </w:r>
    </w:p>
    <w:p>
      <w:pPr>
        <w:pStyle w:val="Heading2"/>
      </w:pPr>
      <w:r>
        <w:rPr>
          <w:rFonts w:ascii="Arial" w:hAnsi="Arial" w:eastAsia="Microsoft YaHei"/>
          <w:b w:val="0"/>
          <w:i w:val="0"/>
        </w:rPr>
        <w:t>3.6 默认业务配置与可配置项</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项目</w:t>
            </w:r>
          </w:p>
        </w:tc>
        <w:tc>
          <w:tcPr>
            <w:tcW w:type="dxa" w:w="3143"/>
            <w:vAlign w:val="center"/>
            <w:shd w:fill="214D72"/>
          </w:tcPr>
          <w:p>
            <w:pPr>
              <w:spacing w:line="288" w:lineRule="auto" w:before="60" w:after="60"/>
            </w:pPr>
            <w:r>
              <w:rPr>
                <w:rFonts w:ascii="Arial" w:hAnsi="Arial" w:eastAsia="Microsoft YaHei"/>
                <w:b/>
                <w:i w:val="0"/>
                <w:color w:val="FFFFFF"/>
                <w:sz w:val="18"/>
              </w:rPr>
              <w:t>当前模板／默认值</w:t>
            </w:r>
          </w:p>
        </w:tc>
        <w:tc>
          <w:tcPr>
            <w:tcW w:type="dxa" w:w="4191"/>
            <w:vAlign w:val="center"/>
            <w:shd w:fill="214D72"/>
          </w:tcPr>
          <w:p>
            <w:pPr>
              <w:spacing w:line="288" w:lineRule="auto" w:before="60" w:after="60"/>
            </w:pPr>
            <w:r>
              <w:rPr>
                <w:rFonts w:ascii="Arial" w:hAnsi="Arial" w:eastAsia="Microsoft YaHei"/>
                <w:b/>
                <w:i w:val="0"/>
                <w:color w:val="FFFFFF"/>
                <w:sz w:val="18"/>
              </w:rPr>
              <w:t>修改说明</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PLMN</w:t>
            </w:r>
          </w:p>
        </w:tc>
        <w:tc>
          <w:tcPr>
            <w:tcW w:type="dxa" w:w="3143"/>
            <w:vAlign w:val="center"/>
          </w:tcPr>
          <w:p>
            <w:pPr>
              <w:spacing w:line="288" w:lineRule="auto" w:before="60" w:after="60"/>
            </w:pPr>
            <w:r>
              <w:rPr>
                <w:rFonts w:ascii="Arial" w:hAnsi="Arial" w:eastAsia="Microsoft YaHei"/>
                <w:b w:val="0"/>
                <w:i w:val="0"/>
                <w:color w:val="24384C"/>
                <w:sz w:val="18"/>
              </w:rPr>
              <w:t>46011、46000、46001</w:t>
            </w:r>
          </w:p>
        </w:tc>
        <w:tc>
          <w:tcPr>
            <w:tcW w:type="dxa" w:w="4191"/>
            <w:vAlign w:val="center"/>
          </w:tcPr>
          <w:p>
            <w:pPr>
              <w:spacing w:line="288" w:lineRule="auto" w:before="60" w:after="60"/>
            </w:pPr>
            <w:r>
              <w:rPr>
                <w:rFonts w:ascii="Arial" w:hAnsi="Arial" w:eastAsia="Microsoft YaHei"/>
                <w:b w:val="0"/>
                <w:i w:val="0"/>
                <w:color w:val="24384C"/>
                <w:sz w:val="18"/>
              </w:rPr>
              <w:t>为模板中的网络标识，使用须符合项目授权；当前无通用 PLMN／TAC values 开关，需受控修改相关模板并验证</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TAC</w:t>
            </w:r>
          </w:p>
        </w:tc>
        <w:tc>
          <w:tcPr>
            <w:tcW w:type="dxa" w:w="3143"/>
            <w:vAlign w:val="center"/>
            <w:shd w:fill="F4F7FA"/>
          </w:tcPr>
          <w:p>
            <w:pPr>
              <w:spacing w:line="288" w:lineRule="auto" w:before="60" w:after="60"/>
            </w:pPr>
            <w:r>
              <w:rPr>
                <w:rFonts w:ascii="Arial" w:hAnsi="Arial" w:eastAsia="Microsoft YaHei"/>
                <w:b w:val="0"/>
                <w:i w:val="0"/>
                <w:color w:val="24384C"/>
                <w:sz w:val="18"/>
              </w:rPr>
              <w:t>各上述 PLMN 配置 0、1</w:t>
            </w:r>
          </w:p>
        </w:tc>
        <w:tc>
          <w:tcPr>
            <w:tcW w:type="dxa" w:w="4191"/>
            <w:vAlign w:val="center"/>
            <w:shd w:fill="F4F7FA"/>
          </w:tcPr>
          <w:p>
            <w:pPr>
              <w:spacing w:line="288" w:lineRule="auto" w:before="60" w:after="60"/>
            </w:pPr>
            <w:r>
              <w:rPr>
                <w:rFonts w:ascii="Arial" w:hAnsi="Arial" w:eastAsia="Microsoft YaHei"/>
                <w:b w:val="0"/>
                <w:i w:val="0"/>
                <w:color w:val="24384C"/>
                <w:sz w:val="18"/>
              </w:rPr>
              <w:t>OAI 当前实测使用 TAC 1；TAC 0 的 OAI 配置限制见 R03，不能宣称该组合已完成 OAI 互通</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切片</w:t>
            </w:r>
          </w:p>
        </w:tc>
        <w:tc>
          <w:tcPr>
            <w:tcW w:type="dxa" w:w="3143"/>
            <w:vAlign w:val="center"/>
          </w:tcPr>
          <w:p>
            <w:pPr>
              <w:spacing w:line="288" w:lineRule="auto" w:before="60" w:after="60"/>
            </w:pPr>
            <w:r>
              <w:rPr>
                <w:rFonts w:ascii="Arial" w:hAnsi="Arial" w:eastAsia="Microsoft YaHei"/>
                <w:b w:val="0"/>
                <w:i w:val="0"/>
                <w:color w:val="24384C"/>
                <w:sz w:val="18"/>
              </w:rPr>
              <w:t>SST=1、SD=010101</w:t>
            </w:r>
          </w:p>
        </w:tc>
        <w:tc>
          <w:tcPr>
            <w:tcW w:type="dxa" w:w="4191"/>
            <w:vAlign w:val="center"/>
          </w:tcPr>
          <w:p>
            <w:pPr>
              <w:spacing w:line="288" w:lineRule="auto" w:before="60" w:after="60"/>
            </w:pPr>
            <w:r>
              <w:rPr>
                <w:rFonts w:ascii="Arial" w:hAnsi="Arial" w:eastAsia="Microsoft YaHei"/>
                <w:b w:val="0"/>
                <w:i w:val="0"/>
                <w:color w:val="24384C"/>
                <w:sz w:val="18"/>
              </w:rPr>
              <w:t>SD 按 6 位十六进制标识处理，gNB、订阅和网元配置应一致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UE IPv4 网段／网关</w:t>
            </w:r>
          </w:p>
        </w:tc>
        <w:tc>
          <w:tcPr>
            <w:tcW w:type="dxa" w:w="3143"/>
            <w:vAlign w:val="center"/>
            <w:shd w:fill="F4F7FA"/>
          </w:tcPr>
          <w:p>
            <w:pPr>
              <w:spacing w:line="288" w:lineRule="auto" w:before="60" w:after="60"/>
            </w:pPr>
            <w:r>
              <w:rPr>
                <w:rFonts w:ascii="Arial" w:hAnsi="Arial" w:eastAsia="Microsoft YaHei"/>
                <w:b w:val="0"/>
                <w:i w:val="0"/>
                <w:color w:val="24384C"/>
                <w:sz w:val="18"/>
              </w:rPr>
              <w:t>10.45.0.0/16；10.45.0.1</w:t>
            </w:r>
          </w:p>
        </w:tc>
        <w:tc>
          <w:tcPr>
            <w:tcW w:type="dxa" w:w="4191"/>
            <w:vAlign w:val="center"/>
            <w:shd w:fill="F4F7FA"/>
          </w:tcPr>
          <w:p>
            <w:pPr>
              <w:spacing w:line="288" w:lineRule="auto" w:before="60" w:after="60"/>
            </w:pPr>
            <w:r>
              <w:rPr>
                <w:rFonts w:ascii="Arial" w:hAnsi="Arial" w:eastAsia="Microsoft YaHei"/>
                <w:b w:val="0"/>
                <w:i w:val="0"/>
                <w:color w:val="24384C"/>
                <w:sz w:val="18"/>
              </w:rPr>
              <w:t>networking.ue.ipv4Subnet／ipv4Gateway 统一供 SMF、UPF/TUN、VPP 内侧配置使用</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动态 IPv4 范围</w:t>
            </w:r>
          </w:p>
        </w:tc>
        <w:tc>
          <w:tcPr>
            <w:tcW w:type="dxa" w:w="3143"/>
            <w:vAlign w:val="center"/>
          </w:tcPr>
          <w:p>
            <w:pPr>
              <w:spacing w:line="288" w:lineRule="auto" w:before="60" w:after="60"/>
            </w:pPr>
            <w:r>
              <w:rPr>
                <w:rFonts w:ascii="Arial" w:hAnsi="Arial" w:eastAsia="Microsoft YaHei"/>
                <w:b w:val="0"/>
                <w:i w:val="0"/>
                <w:color w:val="24384C"/>
                <w:sz w:val="18"/>
              </w:rPr>
              <w:t>networking.smf.ipv4PoolRanges 默认空列表</w:t>
            </w:r>
          </w:p>
        </w:tc>
        <w:tc>
          <w:tcPr>
            <w:tcW w:type="dxa" w:w="4191"/>
            <w:vAlign w:val="center"/>
          </w:tcPr>
          <w:p>
            <w:pPr>
              <w:spacing w:line="288" w:lineRule="auto" w:before="60" w:after="60"/>
            </w:pPr>
            <w:r>
              <w:rPr>
                <w:rFonts w:ascii="Arial" w:hAnsi="Arial" w:eastAsia="Microsoft YaHei"/>
                <w:b w:val="0"/>
                <w:i w:val="0"/>
                <w:color w:val="24384C"/>
                <w:sz w:val="18"/>
              </w:rPr>
              <w:t>空列表沿用默认分配行为；需要静态地址时应显式规划不重叠的动态范围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DNN</w:t>
            </w:r>
          </w:p>
        </w:tc>
        <w:tc>
          <w:tcPr>
            <w:tcW w:type="dxa" w:w="3143"/>
            <w:vAlign w:val="center"/>
            <w:shd w:fill="F4F7FA"/>
          </w:tcPr>
          <w:p>
            <w:pPr>
              <w:spacing w:line="288" w:lineRule="auto" w:before="60" w:after="60"/>
            </w:pPr>
            <w:r>
              <w:rPr>
                <w:rFonts w:ascii="Arial" w:hAnsi="Arial" w:eastAsia="Microsoft YaHei"/>
                <w:b w:val="0"/>
                <w:i w:val="0"/>
                <w:color w:val="24384C"/>
                <w:sz w:val="18"/>
              </w:rPr>
              <w:t>由订阅与对接配置约定；现有联调记录使用 cmnet、internet</w:t>
            </w:r>
          </w:p>
        </w:tc>
        <w:tc>
          <w:tcPr>
            <w:tcW w:type="dxa" w:w="4191"/>
            <w:vAlign w:val="center"/>
            <w:shd w:fill="F4F7FA"/>
          </w:tcPr>
          <w:p>
            <w:pPr>
              <w:spacing w:line="288" w:lineRule="auto" w:before="60" w:after="60"/>
            </w:pPr>
            <w:r>
              <w:rPr>
                <w:rFonts w:ascii="Arial" w:hAnsi="Arial" w:eastAsia="Microsoft YaHei"/>
                <w:b w:val="0"/>
                <w:i w:val="0"/>
                <w:color w:val="24384C"/>
                <w:sz w:val="18"/>
              </w:rPr>
              <w:t>DNN 是业务配置，不能由示例名称推断自动开通</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会话 MTU</w:t>
            </w:r>
          </w:p>
        </w:tc>
        <w:tc>
          <w:tcPr>
            <w:tcW w:type="dxa" w:w="3143"/>
            <w:vAlign w:val="center"/>
          </w:tcPr>
          <w:p>
            <w:pPr>
              <w:spacing w:line="288" w:lineRule="auto" w:before="60" w:after="60"/>
            </w:pPr>
            <w:r>
              <w:rPr>
                <w:rFonts w:ascii="Arial" w:hAnsi="Arial" w:eastAsia="Microsoft YaHei"/>
                <w:b w:val="0"/>
                <w:i w:val="0"/>
                <w:color w:val="24384C"/>
                <w:sz w:val="18"/>
              </w:rPr>
              <w:t>SMF 模板为 1400</w:t>
            </w:r>
          </w:p>
        </w:tc>
        <w:tc>
          <w:tcPr>
            <w:tcW w:type="dxa" w:w="4191"/>
            <w:vAlign w:val="center"/>
          </w:tcPr>
          <w:p>
            <w:pPr>
              <w:spacing w:line="288" w:lineRule="auto" w:before="60" w:after="60"/>
            </w:pPr>
            <w:r>
              <w:rPr>
                <w:rFonts w:ascii="Arial" w:hAnsi="Arial" w:eastAsia="Microsoft YaHei"/>
                <w:b w:val="0"/>
                <w:i w:val="0"/>
                <w:color w:val="24384C"/>
                <w:sz w:val="18"/>
              </w:rPr>
              <w:t>结合 gNB、隧道及 DN 路径确认；不能仅据此认定所有大报文均可通过</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DNS</w:t>
            </w:r>
          </w:p>
        </w:tc>
        <w:tc>
          <w:tcPr>
            <w:tcW w:type="dxa" w:w="3143"/>
            <w:vAlign w:val="center"/>
            <w:shd w:fill="F4F7FA"/>
          </w:tcPr>
          <w:p>
            <w:pPr>
              <w:spacing w:line="288" w:lineRule="auto" w:before="60" w:after="60"/>
            </w:pPr>
            <w:r>
              <w:rPr>
                <w:rFonts w:ascii="Arial" w:hAnsi="Arial" w:eastAsia="Microsoft YaHei"/>
                <w:b w:val="0"/>
                <w:i w:val="0"/>
                <w:color w:val="24384C"/>
                <w:sz w:val="18"/>
              </w:rPr>
              <w:t>SMF 模板含公共 DNS 示例</w:t>
            </w:r>
          </w:p>
        </w:tc>
        <w:tc>
          <w:tcPr>
            <w:tcW w:type="dxa" w:w="4191"/>
            <w:vAlign w:val="center"/>
            <w:shd w:fill="F4F7FA"/>
          </w:tcPr>
          <w:p>
            <w:pPr>
              <w:spacing w:line="288" w:lineRule="auto" w:before="60" w:after="60"/>
            </w:pPr>
            <w:r>
              <w:rPr>
                <w:rFonts w:ascii="Arial" w:hAnsi="Arial" w:eastAsia="Microsoft YaHei"/>
                <w:b w:val="0"/>
                <w:i w:val="0"/>
                <w:color w:val="24384C"/>
                <w:sz w:val="18"/>
              </w:rPr>
              <w:t>正式部署按可达性、内网域名和项目要求修改</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UE 配置上限</w:t>
            </w:r>
          </w:p>
        </w:tc>
        <w:tc>
          <w:tcPr>
            <w:tcW w:type="dxa" w:w="3143"/>
            <w:vAlign w:val="center"/>
          </w:tcPr>
          <w:p>
            <w:pPr>
              <w:spacing w:line="288" w:lineRule="auto" w:before="60" w:after="60"/>
            </w:pPr>
            <w:r>
              <w:rPr>
                <w:rFonts w:ascii="Arial" w:hAnsi="Arial" w:eastAsia="Microsoft YaHei"/>
                <w:b w:val="0"/>
                <w:i w:val="0"/>
                <w:color w:val="24384C"/>
                <w:sz w:val="18"/>
              </w:rPr>
              <w:t>当前网元模板 global.max.ue=1024</w:t>
            </w:r>
          </w:p>
        </w:tc>
        <w:tc>
          <w:tcPr>
            <w:tcW w:type="dxa" w:w="4191"/>
            <w:vAlign w:val="center"/>
          </w:tcPr>
          <w:p>
            <w:pPr>
              <w:spacing w:line="288" w:lineRule="auto" w:before="60" w:after="60"/>
            </w:pPr>
            <w:r>
              <w:rPr>
                <w:rFonts w:ascii="Arial" w:hAnsi="Arial" w:eastAsia="Microsoft YaHei"/>
                <w:b w:val="0"/>
                <w:i w:val="0"/>
                <w:color w:val="24384C"/>
                <w:sz w:val="18"/>
              </w:rPr>
              <w:t>为资源池配置，非商用并发能力、吞吐量或许可证承诺；保留的空闲上下文也可能占用资源池</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速率统计</w:t>
            </w:r>
          </w:p>
        </w:tc>
        <w:tc>
          <w:tcPr>
            <w:tcW w:type="dxa" w:w="3143"/>
            <w:vAlign w:val="center"/>
            <w:shd w:fill="F4F7FA"/>
          </w:tcPr>
          <w:p>
            <w:pPr>
              <w:spacing w:line="288" w:lineRule="auto" w:before="60" w:after="60"/>
            </w:pPr>
            <w:r>
              <w:rPr>
                <w:rFonts w:ascii="Arial" w:hAnsi="Arial" w:eastAsia="Microsoft YaHei"/>
                <w:b w:val="0"/>
                <w:i w:val="0"/>
                <w:color w:val="24384C"/>
                <w:sz w:val="18"/>
              </w:rPr>
              <w:t>默认启用；采样周期 1000 ms</w:t>
            </w:r>
          </w:p>
        </w:tc>
        <w:tc>
          <w:tcPr>
            <w:tcW w:type="dxa" w:w="4191"/>
            <w:vAlign w:val="center"/>
            <w:shd w:fill="F4F7FA"/>
          </w:tcPr>
          <w:p>
            <w:pPr>
              <w:spacing w:line="288" w:lineRule="auto" w:before="60" w:after="60"/>
            </w:pPr>
            <w:r>
              <w:rPr>
                <w:rFonts w:ascii="Arial" w:hAnsi="Arial" w:eastAsia="Microsoft YaHei"/>
                <w:b w:val="0"/>
                <w:i w:val="0"/>
                <w:color w:val="24384C"/>
                <w:sz w:val="18"/>
              </w:rPr>
              <w:t>可按用户／会话／QFI／规则观察；不作为计费结算口径</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事件历史</w:t>
            </w:r>
          </w:p>
        </w:tc>
        <w:tc>
          <w:tcPr>
            <w:tcW w:type="dxa" w:w="3143"/>
            <w:vAlign w:val="center"/>
          </w:tcPr>
          <w:p>
            <w:pPr>
              <w:spacing w:line="288" w:lineRule="auto" w:before="60" w:after="60"/>
            </w:pPr>
            <w:r>
              <w:rPr>
                <w:rFonts w:ascii="Arial" w:hAnsi="Arial" w:eastAsia="Microsoft YaHei"/>
                <w:b w:val="0"/>
                <w:i w:val="0"/>
                <w:color w:val="24384C"/>
                <w:sz w:val="18"/>
              </w:rPr>
              <w:t>AMF／SMF 分别默认容量 65536 条，单 UE 上限 512 条</w:t>
            </w:r>
          </w:p>
        </w:tc>
        <w:tc>
          <w:tcPr>
            <w:tcW w:type="dxa" w:w="4191"/>
            <w:vAlign w:val="center"/>
          </w:tcPr>
          <w:p>
            <w:pPr>
              <w:spacing w:line="288" w:lineRule="auto" w:before="60" w:after="60"/>
            </w:pPr>
            <w:r>
              <w:rPr>
                <w:rFonts w:ascii="Arial" w:hAnsi="Arial" w:eastAsia="Microsoft YaHei"/>
                <w:b w:val="0"/>
                <w:i w:val="0"/>
                <w:color w:val="24384C"/>
                <w:sz w:val="18"/>
              </w:rPr>
              <w:t>有界内存；释放 UE 后可保留历史，淘汰或网元重启会丢失</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MongoDB PVC</w:t>
            </w:r>
          </w:p>
        </w:tc>
        <w:tc>
          <w:tcPr>
            <w:tcW w:type="dxa" w:w="3143"/>
            <w:vAlign w:val="center"/>
            <w:shd w:fill="F4F7FA"/>
          </w:tcPr>
          <w:p>
            <w:pPr>
              <w:spacing w:line="288" w:lineRule="auto" w:before="60" w:after="60"/>
            </w:pPr>
            <w:r>
              <w:rPr>
                <w:rFonts w:ascii="Arial" w:hAnsi="Arial" w:eastAsia="Microsoft YaHei"/>
                <w:b w:val="0"/>
                <w:i w:val="0"/>
                <w:color w:val="24384C"/>
                <w:sz w:val="18"/>
              </w:rPr>
              <w:t>默认启用，1 GiB，StorageClass local-path</w:t>
            </w:r>
          </w:p>
        </w:tc>
        <w:tc>
          <w:tcPr>
            <w:tcW w:type="dxa" w:w="4191"/>
            <w:vAlign w:val="center"/>
            <w:shd w:fill="F4F7FA"/>
          </w:tcPr>
          <w:p>
            <w:pPr>
              <w:spacing w:line="288" w:lineRule="auto" w:before="60" w:after="60"/>
            </w:pPr>
            <w:r>
              <w:rPr>
                <w:rFonts w:ascii="Arial" w:hAnsi="Arial" w:eastAsia="Microsoft YaHei"/>
                <w:b w:val="0"/>
                <w:i w:val="0"/>
                <w:color w:val="24384C"/>
                <w:sz w:val="18"/>
              </w:rPr>
              <w:t>按实际数据量、增长和备份要求扩容；本地卷不提供跨节点数据冗余</w:t>
            </w:r>
          </w:p>
        </w:tc>
      </w:tr>
    </w:tbl>
    <w:p>
      <w:pPr>
        <w:spacing w:after="40" w:line="48" w:lineRule="auto"/>
      </w:pPr>
    </w:p>
    <w:p>
      <w:pPr>
        <w:pStyle w:val="Heading2"/>
      </w:pPr>
      <w:r>
        <w:rPr>
          <w:rFonts w:ascii="Arial" w:hAnsi="Arial" w:eastAsia="Microsoft YaHei"/>
          <w:b w:val="0"/>
          <w:i w:val="0"/>
        </w:rPr>
        <w:t>3.7 硬件组成、资源与环境</w:t>
      </w:r>
    </w:p>
    <w:p>
      <w:r>
        <w:rPr>
          <w:rFonts w:ascii="Arial" w:hAnsi="Arial" w:eastAsia="Microsoft YaHei"/>
          <w:b w:val="0"/>
          <w:i w:val="0"/>
        </w:rPr>
        <w:t>XCN 软件无固定机箱尺寸、重量、额定功耗、风扇形式或物理接口引脚。供货包含服务器时，以上指标以及供电、电气安全、防护等级由对应硬件资料给出，填写于 6.5。服务器管理口、业务网口、光口及告警能力亦随硬件型号确定。</w:t>
      </w:r>
    </w:p>
    <w:p>
      <w:r>
        <w:rPr>
          <w:rFonts w:ascii="Arial" w:hAnsi="Arial" w:eastAsia="Microsoft YaHei"/>
          <w:b w:val="0"/>
          <w:i w:val="0"/>
        </w:rPr>
        <w:t>当前默认资源配置的部分关键值如下，CPU 单位为逻辑核：</w:t>
      </w:r>
    </w:p>
    <w:tbl>
      <w:tblPr>
        <w:tblStyle w:val="TableGrid"/>
        <w:tblW w:type="auto" w:w="0"/>
        <w:tblLayout w:type="fixed"/>
        <w:tblLook w:firstColumn="1" w:firstRow="1" w:lastColumn="0" w:lastRow="0" w:noHBand="0" w:noVBand="1" w:val="04A0"/>
      </w:tblPr>
      <w:tblGrid>
        <w:gridCol w:w="2000"/>
        <w:gridCol w:w="2191"/>
        <w:gridCol w:w="2572"/>
        <w:gridCol w:w="2762"/>
      </w:tblGrid>
      <w:tr>
        <w:trPr>
          <w:cantSplit/>
          <w:tblHeader/>
        </w:trPr>
        <w:tc>
          <w:tcPr>
            <w:tcW w:type="dxa" w:w="2000"/>
            <w:vAlign w:val="center"/>
            <w:shd w:fill="214D72"/>
          </w:tcPr>
          <w:p>
            <w:pPr>
              <w:spacing w:line="288" w:lineRule="auto" w:before="60" w:after="60"/>
            </w:pPr>
            <w:r>
              <w:rPr>
                <w:rFonts w:ascii="Arial" w:hAnsi="Arial" w:eastAsia="Microsoft YaHei"/>
                <w:b/>
                <w:i w:val="0"/>
                <w:color w:val="FFFFFF"/>
                <w:sz w:val="18"/>
              </w:rPr>
              <w:t>组件</w:t>
            </w:r>
          </w:p>
        </w:tc>
        <w:tc>
          <w:tcPr>
            <w:tcW w:type="dxa" w:w="2191"/>
            <w:vAlign w:val="center"/>
            <w:shd w:fill="214D72"/>
          </w:tcPr>
          <w:p>
            <w:pPr>
              <w:spacing w:line="288" w:lineRule="auto" w:before="60" w:after="60"/>
            </w:pPr>
            <w:r>
              <w:rPr>
                <w:rFonts w:ascii="Arial" w:hAnsi="Arial" w:eastAsia="Microsoft YaHei"/>
                <w:b/>
                <w:i w:val="0"/>
                <w:color w:val="FFFFFF"/>
                <w:sz w:val="18"/>
              </w:rPr>
              <w:t>CPU request／limit</w:t>
            </w:r>
          </w:p>
        </w:tc>
        <w:tc>
          <w:tcPr>
            <w:tcW w:type="dxa" w:w="2572"/>
            <w:vAlign w:val="center"/>
            <w:shd w:fill="214D72"/>
          </w:tcPr>
          <w:p>
            <w:pPr>
              <w:spacing w:line="288" w:lineRule="auto" w:before="60" w:after="60"/>
            </w:pPr>
            <w:r>
              <w:rPr>
                <w:rFonts w:ascii="Arial" w:hAnsi="Arial" w:eastAsia="Microsoft YaHei"/>
                <w:b/>
                <w:i w:val="0"/>
                <w:color w:val="FFFFFF"/>
                <w:sz w:val="18"/>
              </w:rPr>
              <w:t>普通内存 request／limit</w:t>
            </w:r>
          </w:p>
        </w:tc>
        <w:tc>
          <w:tcPr>
            <w:tcW w:type="dxa" w:w="2762"/>
            <w:vAlign w:val="center"/>
            <w:shd w:fill="214D72"/>
          </w:tcPr>
          <w:p>
            <w:pPr>
              <w:spacing w:line="288" w:lineRule="auto" w:before="60" w:after="60"/>
            </w:pPr>
            <w:r>
              <w:rPr>
                <w:rFonts w:ascii="Arial" w:hAnsi="Arial" w:eastAsia="Microsoft YaHei"/>
                <w:b/>
                <w:i w:val="0"/>
                <w:color w:val="FFFFFF"/>
                <w:sz w:val="18"/>
              </w:rPr>
              <w:t>备注</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UPF</w:t>
            </w:r>
          </w:p>
        </w:tc>
        <w:tc>
          <w:tcPr>
            <w:tcW w:type="dxa" w:w="2191"/>
            <w:vAlign w:val="center"/>
          </w:tcPr>
          <w:p>
            <w:pPr>
              <w:spacing w:line="288" w:lineRule="auto" w:before="60" w:after="60"/>
            </w:pPr>
            <w:r>
              <w:rPr>
                <w:rFonts w:ascii="Arial" w:hAnsi="Arial" w:eastAsia="Microsoft YaHei"/>
                <w:b w:val="0"/>
                <w:i w:val="0"/>
                <w:color w:val="24384C"/>
                <w:sz w:val="18"/>
              </w:rPr>
              <w:t>4／4</w:t>
            </w:r>
          </w:p>
        </w:tc>
        <w:tc>
          <w:tcPr>
            <w:tcW w:type="dxa" w:w="2572"/>
            <w:vAlign w:val="center"/>
          </w:tcPr>
          <w:p>
            <w:pPr>
              <w:spacing w:line="288" w:lineRule="auto" w:before="60" w:after="60"/>
            </w:pPr>
            <w:r>
              <w:rPr>
                <w:rFonts w:ascii="Arial" w:hAnsi="Arial" w:eastAsia="Microsoft YaHei"/>
                <w:b w:val="0"/>
                <w:i w:val="0"/>
                <w:color w:val="24384C"/>
                <w:sz w:val="18"/>
              </w:rPr>
              <w:t>4 GiB／4 GiB</w:t>
            </w:r>
          </w:p>
        </w:tc>
        <w:tc>
          <w:tcPr>
            <w:tcW w:type="dxa" w:w="2762"/>
            <w:vAlign w:val="center"/>
          </w:tcPr>
          <w:p>
            <w:pPr>
              <w:spacing w:line="288" w:lineRule="auto" w:before="60" w:after="60"/>
            </w:pPr>
            <w:r>
              <w:rPr>
                <w:rFonts w:ascii="Arial" w:hAnsi="Arial" w:eastAsia="Microsoft YaHei"/>
                <w:b w:val="0"/>
                <w:i w:val="0"/>
                <w:color w:val="24384C"/>
                <w:sz w:val="18"/>
              </w:rPr>
              <w:t>加速模式需配合 CPU 分配与队列规划</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SMF</w:t>
            </w:r>
          </w:p>
        </w:tc>
        <w:tc>
          <w:tcPr>
            <w:tcW w:type="dxa" w:w="2191"/>
            <w:vAlign w:val="center"/>
            <w:shd w:fill="F4F7FA"/>
          </w:tcPr>
          <w:p>
            <w:pPr>
              <w:spacing w:line="288" w:lineRule="auto" w:before="60" w:after="60"/>
            </w:pPr>
            <w:r>
              <w:rPr>
                <w:rFonts w:ascii="Arial" w:hAnsi="Arial" w:eastAsia="Microsoft YaHei"/>
                <w:b w:val="0"/>
                <w:i w:val="0"/>
                <w:color w:val="24384C"/>
                <w:sz w:val="18"/>
              </w:rPr>
              <w:t>1／1</w:t>
            </w:r>
          </w:p>
        </w:tc>
        <w:tc>
          <w:tcPr>
            <w:tcW w:type="dxa" w:w="2572"/>
            <w:vAlign w:val="center"/>
            <w:shd w:fill="F4F7FA"/>
          </w:tcPr>
          <w:p>
            <w:pPr>
              <w:spacing w:line="288" w:lineRule="auto" w:before="60" w:after="60"/>
            </w:pPr>
            <w:r>
              <w:rPr>
                <w:rFonts w:ascii="Arial" w:hAnsi="Arial" w:eastAsia="Microsoft YaHei"/>
                <w:b w:val="0"/>
                <w:i w:val="0"/>
                <w:color w:val="24384C"/>
                <w:sz w:val="18"/>
              </w:rPr>
              <w:t>1 GiB／4 GiB</w:t>
            </w:r>
          </w:p>
        </w:tc>
        <w:tc>
          <w:tcPr>
            <w:tcW w:type="dxa" w:w="2762"/>
            <w:vAlign w:val="center"/>
            <w:shd w:fill="F4F7FA"/>
          </w:tcPr>
          <w:p>
            <w:pPr>
              <w:spacing w:line="288" w:lineRule="auto" w:before="60" w:after="60"/>
            </w:pPr>
            <w:r>
              <w:rPr>
                <w:rFonts w:ascii="Arial" w:hAnsi="Arial" w:eastAsia="Microsoft YaHei"/>
                <w:b w:val="0"/>
                <w:i w:val="0"/>
                <w:color w:val="24384C"/>
                <w:sz w:val="18"/>
              </w:rPr>
              <w:t>长期 UE churn 会逐步触及固定资源池，不能按刚启动 RSS 缩减限额</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AMF</w:t>
            </w:r>
          </w:p>
        </w:tc>
        <w:tc>
          <w:tcPr>
            <w:tcW w:type="dxa" w:w="2191"/>
            <w:vAlign w:val="center"/>
          </w:tcPr>
          <w:p>
            <w:pPr>
              <w:spacing w:line="288" w:lineRule="auto" w:before="60" w:after="60"/>
            </w:pPr>
            <w:r>
              <w:rPr>
                <w:rFonts w:ascii="Arial" w:hAnsi="Arial" w:eastAsia="Microsoft YaHei"/>
                <w:b w:val="0"/>
                <w:i w:val="0"/>
                <w:color w:val="24384C"/>
                <w:sz w:val="18"/>
              </w:rPr>
              <w:t>0.5／1.5</w:t>
            </w:r>
          </w:p>
        </w:tc>
        <w:tc>
          <w:tcPr>
            <w:tcW w:type="dxa" w:w="2572"/>
            <w:vAlign w:val="center"/>
          </w:tcPr>
          <w:p>
            <w:pPr>
              <w:spacing w:line="288" w:lineRule="auto" w:before="60" w:after="60"/>
            </w:pPr>
            <w:r>
              <w:rPr>
                <w:rFonts w:ascii="Arial" w:hAnsi="Arial" w:eastAsia="Microsoft YaHei"/>
                <w:b w:val="0"/>
                <w:i w:val="0"/>
                <w:color w:val="24384C"/>
                <w:sz w:val="18"/>
              </w:rPr>
              <w:t>1 GiB／4 GiB</w:t>
            </w:r>
          </w:p>
        </w:tc>
        <w:tc>
          <w:tcPr>
            <w:tcW w:type="dxa" w:w="2762"/>
            <w:vAlign w:val="center"/>
          </w:tcPr>
          <w:p>
            <w:pPr>
              <w:spacing w:line="288" w:lineRule="auto" w:before="60" w:after="60"/>
            </w:pPr>
            <w:r>
              <w:rPr>
                <w:rFonts w:ascii="Arial" w:hAnsi="Arial" w:eastAsia="Microsoft YaHei"/>
                <w:b w:val="0"/>
                <w:i w:val="0"/>
                <w:color w:val="24384C"/>
                <w:sz w:val="18"/>
              </w:rPr>
              <w:t>用户、信令与事件容量影响占用</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NRF＋SCP</w:t>
            </w:r>
          </w:p>
        </w:tc>
        <w:tc>
          <w:tcPr>
            <w:tcW w:type="dxa" w:w="2191"/>
            <w:vAlign w:val="center"/>
            <w:shd w:fill="F4F7FA"/>
          </w:tcPr>
          <w:p>
            <w:pPr>
              <w:spacing w:line="288" w:lineRule="auto" w:before="60" w:after="60"/>
            </w:pPr>
            <w:r>
              <w:rPr>
                <w:rFonts w:ascii="Arial" w:hAnsi="Arial" w:eastAsia="Microsoft YaHei"/>
                <w:b w:val="0"/>
                <w:i w:val="0"/>
                <w:color w:val="24384C"/>
                <w:sz w:val="18"/>
              </w:rPr>
              <w:t>合计 0.4／1</w:t>
            </w:r>
          </w:p>
        </w:tc>
        <w:tc>
          <w:tcPr>
            <w:tcW w:type="dxa" w:w="2572"/>
            <w:vAlign w:val="center"/>
            <w:shd w:fill="F4F7FA"/>
          </w:tcPr>
          <w:p>
            <w:pPr>
              <w:spacing w:line="288" w:lineRule="auto" w:before="60" w:after="60"/>
            </w:pPr>
            <w:r>
              <w:rPr>
                <w:rFonts w:ascii="Arial" w:hAnsi="Arial" w:eastAsia="Microsoft YaHei"/>
                <w:b w:val="0"/>
                <w:i w:val="0"/>
                <w:color w:val="24384C"/>
                <w:sz w:val="18"/>
              </w:rPr>
              <w:t>合计 256 MiB／512 MiB</w:t>
            </w:r>
          </w:p>
        </w:tc>
        <w:tc>
          <w:tcPr>
            <w:tcW w:type="dxa" w:w="2762"/>
            <w:vAlign w:val="center"/>
            <w:shd w:fill="F4F7FA"/>
          </w:tcPr>
          <w:p>
            <w:pPr>
              <w:spacing w:line="288" w:lineRule="auto" w:before="60" w:after="60"/>
            </w:pPr>
            <w:r>
              <w:rPr>
                <w:rFonts w:ascii="Arial" w:hAnsi="Arial" w:eastAsia="Microsoft YaHei"/>
                <w:b w:val="0"/>
                <w:i w:val="0"/>
                <w:color w:val="24384C"/>
                <w:sz w:val="18"/>
              </w:rPr>
              <w:t>独立 core Pod</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AUSF／UDM／UDR／NSSF／PCF</w:t>
            </w:r>
          </w:p>
        </w:tc>
        <w:tc>
          <w:tcPr>
            <w:tcW w:type="dxa" w:w="2191"/>
            <w:vAlign w:val="center"/>
          </w:tcPr>
          <w:p>
            <w:pPr>
              <w:spacing w:line="288" w:lineRule="auto" w:before="60" w:after="60"/>
            </w:pPr>
            <w:r>
              <w:rPr>
                <w:rFonts w:ascii="Arial" w:hAnsi="Arial" w:eastAsia="Microsoft YaHei"/>
                <w:b w:val="0"/>
                <w:i w:val="0"/>
                <w:color w:val="24384C"/>
                <w:sz w:val="18"/>
              </w:rPr>
              <w:t>详见 values.yaml</w:t>
            </w:r>
          </w:p>
        </w:tc>
        <w:tc>
          <w:tcPr>
            <w:tcW w:type="dxa" w:w="2572"/>
            <w:vAlign w:val="center"/>
          </w:tcPr>
          <w:p>
            <w:pPr>
              <w:spacing w:line="288" w:lineRule="auto" w:before="60" w:after="60"/>
            </w:pPr>
            <w:r>
              <w:rPr>
                <w:rFonts w:ascii="Arial" w:hAnsi="Arial" w:eastAsia="Microsoft YaHei"/>
                <w:b w:val="0"/>
                <w:i w:val="0"/>
                <w:color w:val="24384C"/>
                <w:sz w:val="18"/>
              </w:rPr>
              <w:t>详见 values.yaml</w:t>
            </w:r>
          </w:p>
        </w:tc>
        <w:tc>
          <w:tcPr>
            <w:tcW w:type="dxa" w:w="2762"/>
            <w:vAlign w:val="center"/>
          </w:tcPr>
          <w:p>
            <w:pPr>
              <w:spacing w:line="288" w:lineRule="auto" w:before="60" w:after="60"/>
            </w:pPr>
            <w:r>
              <w:rPr>
                <w:rFonts w:ascii="Arial" w:hAnsi="Arial" w:eastAsia="Microsoft YaHei"/>
                <w:b w:val="0"/>
                <w:i w:val="0"/>
                <w:color w:val="24384C"/>
                <w:sz w:val="18"/>
              </w:rPr>
              <w:t>应连同平台开销统一核算</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MongoDB</w:t>
            </w:r>
          </w:p>
        </w:tc>
        <w:tc>
          <w:tcPr>
            <w:tcW w:type="dxa" w:w="2191"/>
            <w:vAlign w:val="center"/>
            <w:shd w:fill="F4F7FA"/>
          </w:tcPr>
          <w:p>
            <w:pPr>
              <w:spacing w:line="288" w:lineRule="auto" w:before="60" w:after="60"/>
            </w:pPr>
            <w:r>
              <w:rPr>
                <w:rFonts w:ascii="Arial" w:hAnsi="Arial" w:eastAsia="Microsoft YaHei"/>
                <w:b w:val="0"/>
                <w:i w:val="0"/>
                <w:color w:val="24384C"/>
                <w:sz w:val="18"/>
              </w:rPr>
              <w:t>1.5／2.5</w:t>
            </w:r>
          </w:p>
        </w:tc>
        <w:tc>
          <w:tcPr>
            <w:tcW w:type="dxa" w:w="2572"/>
            <w:vAlign w:val="center"/>
            <w:shd w:fill="F4F7FA"/>
          </w:tcPr>
          <w:p>
            <w:pPr>
              <w:spacing w:line="288" w:lineRule="auto" w:before="60" w:after="60"/>
            </w:pPr>
            <w:r>
              <w:rPr>
                <w:rFonts w:ascii="Arial" w:hAnsi="Arial" w:eastAsia="Microsoft YaHei"/>
                <w:b w:val="0"/>
                <w:i w:val="0"/>
                <w:color w:val="24384C"/>
                <w:sz w:val="18"/>
              </w:rPr>
              <w:t>1 GiB／2 GiB</w:t>
            </w:r>
          </w:p>
        </w:tc>
        <w:tc>
          <w:tcPr>
            <w:tcW w:type="dxa" w:w="2762"/>
            <w:vAlign w:val="center"/>
            <w:shd w:fill="F4F7FA"/>
          </w:tcPr>
          <w:p>
            <w:pPr>
              <w:spacing w:line="288" w:lineRule="auto" w:before="60" w:after="60"/>
            </w:pPr>
            <w:r>
              <w:rPr>
                <w:rFonts w:ascii="Arial" w:hAnsi="Arial" w:eastAsia="Microsoft YaHei"/>
                <w:b w:val="0"/>
                <w:i w:val="0"/>
                <w:color w:val="24384C"/>
                <w:sz w:val="18"/>
              </w:rPr>
              <w:t>PVC 容量单独计算</w:t>
            </w:r>
          </w:p>
        </w:tc>
      </w:tr>
      <w:tr>
        <w:trPr>
          <w:cantSplit/>
        </w:trPr>
        <w:tc>
          <w:tcPr>
            <w:tcW w:type="dxa" w:w="2000"/>
            <w:vAlign w:val="center"/>
          </w:tcPr>
          <w:p>
            <w:pPr>
              <w:spacing w:line="288" w:lineRule="auto" w:before="60" w:after="60"/>
            </w:pPr>
            <w:r>
              <w:rPr>
                <w:rFonts w:ascii="Arial" w:hAnsi="Arial" w:eastAsia="Microsoft YaHei"/>
                <w:b w:val="0"/>
                <w:i w:val="0"/>
                <w:color w:val="24384C"/>
                <w:sz w:val="18"/>
              </w:rPr>
              <w:t>WebUI 主容器</w:t>
            </w:r>
          </w:p>
        </w:tc>
        <w:tc>
          <w:tcPr>
            <w:tcW w:type="dxa" w:w="2191"/>
            <w:vAlign w:val="center"/>
          </w:tcPr>
          <w:p>
            <w:pPr>
              <w:spacing w:line="288" w:lineRule="auto" w:before="60" w:after="60"/>
            </w:pPr>
            <w:r>
              <w:rPr>
                <w:rFonts w:ascii="Arial" w:hAnsi="Arial" w:eastAsia="Microsoft YaHei"/>
                <w:b w:val="0"/>
                <w:i w:val="0"/>
                <w:color w:val="24384C"/>
                <w:sz w:val="18"/>
              </w:rPr>
              <w:t>0.2／0.5</w:t>
            </w:r>
          </w:p>
        </w:tc>
        <w:tc>
          <w:tcPr>
            <w:tcW w:type="dxa" w:w="2572"/>
            <w:vAlign w:val="center"/>
          </w:tcPr>
          <w:p>
            <w:pPr>
              <w:spacing w:line="288" w:lineRule="auto" w:before="60" w:after="60"/>
            </w:pPr>
            <w:r>
              <w:rPr>
                <w:rFonts w:ascii="Arial" w:hAnsi="Arial" w:eastAsia="Microsoft YaHei"/>
                <w:b w:val="0"/>
                <w:i w:val="0"/>
                <w:color w:val="24384C"/>
                <w:sz w:val="18"/>
              </w:rPr>
              <w:t>128 MiB／256 MiB</w:t>
            </w:r>
          </w:p>
        </w:tc>
        <w:tc>
          <w:tcPr>
            <w:tcW w:type="dxa" w:w="2762"/>
            <w:vAlign w:val="center"/>
          </w:tcPr>
          <w:p>
            <w:pPr>
              <w:spacing w:line="288" w:lineRule="auto" w:before="60" w:after="60"/>
            </w:pPr>
            <w:r>
              <w:rPr>
                <w:rFonts w:ascii="Arial" w:hAnsi="Arial" w:eastAsia="Microsoft YaHei"/>
                <w:b w:val="0"/>
                <w:i w:val="0"/>
                <w:color w:val="24384C"/>
                <w:sz w:val="18"/>
              </w:rPr>
              <w:t>初始化容器另有请求</w:t>
            </w:r>
          </w:p>
        </w:tc>
      </w:tr>
      <w:tr>
        <w:trPr>
          <w:cantSplit/>
        </w:trPr>
        <w:tc>
          <w:tcPr>
            <w:tcW w:type="dxa" w:w="2000"/>
            <w:vAlign w:val="center"/>
            <w:shd w:fill="F4F7FA"/>
          </w:tcPr>
          <w:p>
            <w:pPr>
              <w:spacing w:line="288" w:lineRule="auto" w:before="60" w:after="60"/>
            </w:pPr>
            <w:r>
              <w:rPr>
                <w:rFonts w:ascii="Arial" w:hAnsi="Arial" w:eastAsia="Microsoft YaHei"/>
                <w:b w:val="0"/>
                <w:i w:val="0"/>
                <w:color w:val="24384C"/>
                <w:sz w:val="18"/>
              </w:rPr>
              <w:t>VPP，可选</w:t>
            </w:r>
          </w:p>
        </w:tc>
        <w:tc>
          <w:tcPr>
            <w:tcW w:type="dxa" w:w="2191"/>
            <w:vAlign w:val="center"/>
            <w:shd w:fill="F4F7FA"/>
          </w:tcPr>
          <w:p>
            <w:pPr>
              <w:spacing w:line="288" w:lineRule="auto" w:before="60" w:after="60"/>
            </w:pPr>
            <w:r>
              <w:rPr>
                <w:rFonts w:ascii="Arial" w:hAnsi="Arial" w:eastAsia="Microsoft YaHei"/>
                <w:b w:val="0"/>
                <w:i w:val="0"/>
                <w:color w:val="24384C"/>
                <w:sz w:val="18"/>
              </w:rPr>
              <w:t>2／2</w:t>
            </w:r>
          </w:p>
        </w:tc>
        <w:tc>
          <w:tcPr>
            <w:tcW w:type="dxa" w:w="2572"/>
            <w:vAlign w:val="center"/>
            <w:shd w:fill="F4F7FA"/>
          </w:tcPr>
          <w:p>
            <w:pPr>
              <w:spacing w:line="288" w:lineRule="auto" w:before="60" w:after="60"/>
            </w:pPr>
            <w:r>
              <w:rPr>
                <w:rFonts w:ascii="Arial" w:hAnsi="Arial" w:eastAsia="Microsoft YaHei"/>
                <w:b w:val="0"/>
                <w:i w:val="0"/>
                <w:color w:val="24384C"/>
                <w:sz w:val="18"/>
              </w:rPr>
              <w:t>16 GiB／16 GiB</w:t>
            </w:r>
          </w:p>
        </w:tc>
        <w:tc>
          <w:tcPr>
            <w:tcW w:type="dxa" w:w="2762"/>
            <w:vAlign w:val="center"/>
            <w:shd w:fill="F4F7FA"/>
          </w:tcPr>
          <w:p>
            <w:pPr>
              <w:spacing w:line="288" w:lineRule="auto" w:before="60" w:after="60"/>
            </w:pPr>
            <w:r>
              <w:rPr>
                <w:rFonts w:ascii="Arial" w:hAnsi="Arial" w:eastAsia="Microsoft YaHei"/>
                <w:b w:val="0"/>
                <w:i w:val="0"/>
                <w:color w:val="24384C"/>
                <w:sz w:val="18"/>
              </w:rPr>
              <w:t>另请求及限制 8 GiB 的 1 GiB 大页；大页需单独预留</w:t>
            </w:r>
          </w:p>
        </w:tc>
      </w:tr>
    </w:tbl>
    <w:p>
      <w:pPr>
        <w:spacing w:after="40" w:line="48" w:lineRule="auto"/>
      </w:pPr>
    </w:p>
    <w:p>
      <w:r>
        <w:rPr>
          <w:rFonts w:ascii="Arial" w:hAnsi="Arial" w:eastAsia="Microsoft YaHei"/>
          <w:b w:val="0"/>
          <w:i w:val="0"/>
        </w:rPr>
        <w:t>以上为当前 Chart 的资源请求与限制，不是整机最低配置，也不是性能承诺。选型应覆盖 Kubernetes／CNI／存储／日志等额外开销，给资源池逐步驻留、业务增长与维护留出余量。大页预留不能同时作为可用普通内存重复计算。</w:t>
      </w:r>
    </w:p>
    <w:p>
      <w:r>
        <w:rPr>
          <w:rFonts w:ascii="Arial" w:hAnsi="Arial" w:eastAsia="Microsoft YaHei"/>
          <w:b w:val="0"/>
          <w:i w:val="0"/>
        </w:rPr>
        <w:t>加速模式默认 UPF 4 核、reservedCpus=3，因此解析为 1 个 Session Worker；两侧 memif 队列数与 Worker 数一致。默认 VPP 容器独立使用 2 核。调整核数、NUMA、超线程或队列配置后，应重新验证 CPU 亲和性、拥塞、丢包与实际性能，不能仅增加 Worker 数就认定性能按比例增长。</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环境项目</w:t>
            </w:r>
          </w:p>
        </w:tc>
        <w:tc>
          <w:tcPr>
            <w:tcW w:type="dxa" w:w="6953"/>
            <w:vAlign w:val="center"/>
            <w:shd w:fill="214D72"/>
          </w:tcPr>
          <w:p>
            <w:pPr>
              <w:spacing w:line="288" w:lineRule="auto" w:before="60" w:after="60"/>
            </w:pPr>
            <w:r>
              <w:rPr>
                <w:rFonts w:ascii="Arial" w:hAnsi="Arial" w:eastAsia="Microsoft YaHei"/>
                <w:b/>
                <w:i w:val="0"/>
                <w:color w:val="FFFFFF"/>
                <w:sz w:val="18"/>
              </w:rPr>
              <w:t>要求</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温度、湿度、海拔</w:t>
            </w:r>
          </w:p>
        </w:tc>
        <w:tc>
          <w:tcPr>
            <w:tcW w:type="dxa" w:w="6953"/>
            <w:vAlign w:val="center"/>
          </w:tcPr>
          <w:p>
            <w:pPr>
              <w:spacing w:line="288" w:lineRule="auto" w:before="60" w:after="60"/>
            </w:pPr>
            <w:r>
              <w:rPr>
                <w:rFonts w:ascii="Arial" w:hAnsi="Arial" w:eastAsia="Microsoft YaHei"/>
                <w:b w:val="0"/>
                <w:i w:val="0"/>
                <w:color w:val="24384C"/>
                <w:sz w:val="18"/>
              </w:rPr>
              <w:t>满足服务器、交换机、光模块和 UPS 中最严格的适用条件；数值由实际型号资料确认</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供电、接地、浪涌</w:t>
            </w:r>
          </w:p>
        </w:tc>
        <w:tc>
          <w:tcPr>
            <w:tcW w:type="dxa" w:w="6953"/>
            <w:vAlign w:val="center"/>
            <w:shd w:fill="F4F7FA"/>
          </w:tcPr>
          <w:p>
            <w:pPr>
              <w:spacing w:line="288" w:lineRule="auto" w:before="60" w:after="60"/>
            </w:pPr>
            <w:r>
              <w:rPr>
                <w:rFonts w:ascii="Arial" w:hAnsi="Arial" w:eastAsia="Microsoft YaHei"/>
                <w:b w:val="0"/>
                <w:i w:val="0"/>
                <w:color w:val="24384C"/>
                <w:sz w:val="18"/>
              </w:rPr>
              <w:t>按配套硬件铭牌、原厂安装说明及项目机房设计执行</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网络</w:t>
            </w:r>
          </w:p>
        </w:tc>
        <w:tc>
          <w:tcPr>
            <w:tcW w:type="dxa" w:w="6953"/>
            <w:vAlign w:val="center"/>
          </w:tcPr>
          <w:p>
            <w:pPr>
              <w:spacing w:line="288" w:lineRule="auto" w:before="60" w:after="60"/>
            </w:pPr>
            <w:r>
              <w:rPr>
                <w:rFonts w:ascii="Arial" w:hAnsi="Arial" w:eastAsia="Microsoft YaHei"/>
                <w:b w:val="0"/>
                <w:i w:val="0"/>
                <w:color w:val="24384C"/>
                <w:sz w:val="18"/>
              </w:rPr>
              <w:t>管理、N2、N3、N6 地址与路由明确；避免与 Pod／Service／UE 网段重叠；确认 VLAN、MTU 和双向可达</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存储</w:t>
            </w:r>
          </w:p>
        </w:tc>
        <w:tc>
          <w:tcPr>
            <w:tcW w:type="dxa" w:w="6953"/>
            <w:vAlign w:val="center"/>
            <w:shd w:fill="F4F7FA"/>
          </w:tcPr>
          <w:p>
            <w:pPr>
              <w:spacing w:line="288" w:lineRule="auto" w:before="60" w:after="60"/>
            </w:pPr>
            <w:r>
              <w:rPr>
                <w:rFonts w:ascii="Arial" w:hAnsi="Arial" w:eastAsia="Microsoft YaHei"/>
                <w:b w:val="0"/>
                <w:i w:val="0"/>
                <w:color w:val="24384C"/>
                <w:sz w:val="18"/>
              </w:rPr>
              <w:t>镜像、数据库、日志、备份空间分别规划；PVC 应 Bound；定期检查容量与磁盘故障</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时间同步</w:t>
            </w:r>
          </w:p>
        </w:tc>
        <w:tc>
          <w:tcPr>
            <w:tcW w:type="dxa" w:w="6953"/>
            <w:vAlign w:val="center"/>
          </w:tcPr>
          <w:p>
            <w:pPr>
              <w:spacing w:line="288" w:lineRule="auto" w:before="60" w:after="60"/>
            </w:pPr>
            <w:r>
              <w:rPr>
                <w:rFonts w:ascii="Arial" w:hAnsi="Arial" w:eastAsia="Microsoft YaHei"/>
                <w:b w:val="0"/>
                <w:i w:val="0"/>
                <w:color w:val="24384C"/>
                <w:sz w:val="18"/>
              </w:rPr>
              <w:t>宿主机使用经批准的时间源并检查同步状态；不把普通系统时间同步视为无线侧精密时钟能力</w:t>
            </w:r>
          </w:p>
        </w:tc>
      </w:tr>
    </w:tbl>
    <w:p>
      <w:pPr>
        <w:spacing w:after="40" w:line="48" w:lineRule="auto"/>
      </w:pPr>
    </w:p>
    <w:p>
      <w:pPr>
        <w:pStyle w:val="Heading2"/>
      </w:pPr>
      <w:r>
        <w:rPr>
          <w:rFonts w:ascii="Arial" w:hAnsi="Arial" w:eastAsia="Microsoft YaHei"/>
          <w:b w:val="0"/>
          <w:i w:val="0"/>
        </w:rPr>
        <w:t>3.8 性能指标与验收口径</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指标</w:t>
            </w:r>
          </w:p>
        </w:tc>
        <w:tc>
          <w:tcPr>
            <w:tcW w:type="dxa" w:w="3143"/>
            <w:vAlign w:val="center"/>
            <w:shd w:fill="214D72"/>
          </w:tcPr>
          <w:p>
            <w:pPr>
              <w:spacing w:line="288" w:lineRule="auto" w:before="60" w:after="60"/>
            </w:pPr>
            <w:r>
              <w:rPr>
                <w:rFonts w:ascii="Arial" w:hAnsi="Arial" w:eastAsia="Microsoft YaHei"/>
                <w:b/>
                <w:i w:val="0"/>
                <w:color w:val="FFFFFF"/>
                <w:sz w:val="18"/>
              </w:rPr>
              <w:t>应约定的测量条件</w:t>
            </w:r>
          </w:p>
        </w:tc>
        <w:tc>
          <w:tcPr>
            <w:tcW w:type="dxa" w:w="4191"/>
            <w:vAlign w:val="center"/>
            <w:shd w:fill="214D72"/>
          </w:tcPr>
          <w:p>
            <w:pPr>
              <w:spacing w:line="288" w:lineRule="auto" w:before="60" w:after="60"/>
            </w:pPr>
            <w:r>
              <w:rPr>
                <w:rFonts w:ascii="Arial" w:hAnsi="Arial" w:eastAsia="Microsoft YaHei"/>
                <w:b/>
                <w:i w:val="0"/>
                <w:color w:val="FFFFFF"/>
                <w:sz w:val="18"/>
              </w:rPr>
              <w:t>当前说明</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并发注册 UE／活动 PDU 会话</w:t>
            </w:r>
          </w:p>
        </w:tc>
        <w:tc>
          <w:tcPr>
            <w:tcW w:type="dxa" w:w="3143"/>
            <w:vAlign w:val="center"/>
          </w:tcPr>
          <w:p>
            <w:pPr>
              <w:spacing w:line="288" w:lineRule="auto" w:before="60" w:after="60"/>
            </w:pPr>
            <w:r>
              <w:rPr>
                <w:rFonts w:ascii="Arial" w:hAnsi="Arial" w:eastAsia="Microsoft YaHei"/>
                <w:b w:val="0"/>
                <w:i w:val="0"/>
                <w:color w:val="24384C"/>
                <w:sz w:val="18"/>
              </w:rPr>
              <w:t>模式、硬件、资源、订阅、每 UE 会话／QFI 数、持续时间</w:t>
            </w:r>
          </w:p>
        </w:tc>
        <w:tc>
          <w:tcPr>
            <w:tcW w:type="dxa" w:w="4191"/>
            <w:vAlign w:val="center"/>
          </w:tcPr>
          <w:p>
            <w:pPr>
              <w:spacing w:line="288" w:lineRule="auto" w:before="60" w:after="60"/>
            </w:pPr>
            <w:r>
              <w:rPr>
                <w:rFonts w:ascii="Arial" w:hAnsi="Arial" w:eastAsia="Microsoft YaHei"/>
                <w:b w:val="0"/>
                <w:i w:val="0"/>
                <w:color w:val="24384C"/>
                <w:sz w:val="18"/>
              </w:rPr>
              <w:t>待项目测试确认；global.max.ue=1024 不作为该指标证明</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上／下行吞吐量与 PPS</w:t>
            </w:r>
          </w:p>
        </w:tc>
        <w:tc>
          <w:tcPr>
            <w:tcW w:type="dxa" w:w="3143"/>
            <w:vAlign w:val="center"/>
            <w:shd w:fill="F4F7FA"/>
          </w:tcPr>
          <w:p>
            <w:pPr>
              <w:spacing w:line="288" w:lineRule="auto" w:before="60" w:after="60"/>
            </w:pPr>
            <w:r>
              <w:rPr>
                <w:rFonts w:ascii="Arial" w:hAnsi="Arial" w:eastAsia="Microsoft YaHei"/>
                <w:b w:val="0"/>
                <w:i w:val="0"/>
                <w:color w:val="24384C"/>
                <w:sz w:val="18"/>
              </w:rPr>
              <w:t>包长、流数、方向、端口速率、协议、CPU／NUMA、丢包门限</w:t>
            </w:r>
          </w:p>
        </w:tc>
        <w:tc>
          <w:tcPr>
            <w:tcW w:type="dxa" w:w="4191"/>
            <w:vAlign w:val="center"/>
            <w:shd w:fill="F4F7FA"/>
          </w:tcPr>
          <w:p>
            <w:pPr>
              <w:spacing w:line="288" w:lineRule="auto" w:before="60" w:after="60"/>
            </w:pPr>
            <w:r>
              <w:rPr>
                <w:rFonts w:ascii="Arial" w:hAnsi="Arial" w:eastAsia="Microsoft YaHei"/>
                <w:b w:val="0"/>
                <w:i w:val="0"/>
                <w:color w:val="24384C"/>
                <w:sz w:val="18"/>
              </w:rPr>
              <w:t>待项目性能报告确认；速率配置值不等于实测能力</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注册／会话建立速率</w:t>
            </w:r>
          </w:p>
        </w:tc>
        <w:tc>
          <w:tcPr>
            <w:tcW w:type="dxa" w:w="3143"/>
            <w:vAlign w:val="center"/>
          </w:tcPr>
          <w:p>
            <w:pPr>
              <w:spacing w:line="288" w:lineRule="auto" w:before="60" w:after="60"/>
            </w:pPr>
            <w:r>
              <w:rPr>
                <w:rFonts w:ascii="Arial" w:hAnsi="Arial" w:eastAsia="Microsoft YaHei"/>
                <w:b w:val="0"/>
                <w:i w:val="0"/>
                <w:color w:val="24384C"/>
                <w:sz w:val="18"/>
              </w:rPr>
              <w:t>每秒请求数、鉴权方式、成功率及持续时间</w:t>
            </w:r>
          </w:p>
        </w:tc>
        <w:tc>
          <w:tcPr>
            <w:tcW w:type="dxa" w:w="4191"/>
            <w:vAlign w:val="center"/>
          </w:tcPr>
          <w:p>
            <w:pPr>
              <w:spacing w:line="288" w:lineRule="auto" w:before="60" w:after="60"/>
            </w:pPr>
            <w:r>
              <w:rPr>
                <w:rFonts w:ascii="Arial" w:hAnsi="Arial" w:eastAsia="Microsoft YaHei"/>
                <w:b w:val="0"/>
                <w:i w:val="0"/>
                <w:color w:val="24384C"/>
                <w:sz w:val="18"/>
              </w:rPr>
              <w:t>待项目确认</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核心网转发／业务时延</w:t>
            </w:r>
          </w:p>
        </w:tc>
        <w:tc>
          <w:tcPr>
            <w:tcW w:type="dxa" w:w="3143"/>
            <w:vAlign w:val="center"/>
            <w:shd w:fill="F4F7FA"/>
          </w:tcPr>
          <w:p>
            <w:pPr>
              <w:spacing w:line="288" w:lineRule="auto" w:before="60" w:after="60"/>
            </w:pPr>
            <w:r>
              <w:rPr>
                <w:rFonts w:ascii="Arial" w:hAnsi="Arial" w:eastAsia="Microsoft YaHei"/>
                <w:b w:val="0"/>
                <w:i w:val="0"/>
                <w:color w:val="24384C"/>
                <w:sz w:val="18"/>
              </w:rPr>
              <w:t>起止测点、负载、时钟／仪表、平均值及分位值</w:t>
            </w:r>
          </w:p>
        </w:tc>
        <w:tc>
          <w:tcPr>
            <w:tcW w:type="dxa" w:w="4191"/>
            <w:vAlign w:val="center"/>
            <w:shd w:fill="F4F7FA"/>
          </w:tcPr>
          <w:p>
            <w:pPr>
              <w:spacing w:line="288" w:lineRule="auto" w:before="60" w:after="60"/>
            </w:pPr>
            <w:r>
              <w:rPr>
                <w:rFonts w:ascii="Arial" w:hAnsi="Arial" w:eastAsia="Microsoft YaHei"/>
                <w:b w:val="0"/>
                <w:i w:val="0"/>
                <w:color w:val="24384C"/>
                <w:sz w:val="18"/>
              </w:rPr>
              <w:t>待项目确认；不直接采用无线 RTT 替代核心网时延</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可靠性与恢复时间</w:t>
            </w:r>
          </w:p>
        </w:tc>
        <w:tc>
          <w:tcPr>
            <w:tcW w:type="dxa" w:w="3143"/>
            <w:vAlign w:val="center"/>
          </w:tcPr>
          <w:p>
            <w:pPr>
              <w:spacing w:line="288" w:lineRule="auto" w:before="60" w:after="60"/>
            </w:pPr>
            <w:r>
              <w:rPr>
                <w:rFonts w:ascii="Arial" w:hAnsi="Arial" w:eastAsia="Microsoft YaHei"/>
                <w:b w:val="0"/>
                <w:i w:val="0"/>
                <w:color w:val="24384C"/>
                <w:sz w:val="18"/>
              </w:rPr>
              <w:t>观察周期、故障模型、数据恢复、终端重接入条件</w:t>
            </w:r>
          </w:p>
        </w:tc>
        <w:tc>
          <w:tcPr>
            <w:tcW w:type="dxa" w:w="4191"/>
            <w:vAlign w:val="center"/>
          </w:tcPr>
          <w:p>
            <w:pPr>
              <w:spacing w:line="288" w:lineRule="auto" w:before="60" w:after="60"/>
            </w:pPr>
            <w:r>
              <w:rPr>
                <w:rFonts w:ascii="Arial" w:hAnsi="Arial" w:eastAsia="Microsoft YaHei"/>
                <w:b w:val="0"/>
                <w:i w:val="0"/>
                <w:color w:val="24384C"/>
                <w:sz w:val="18"/>
              </w:rPr>
              <w:t>当前单实例不承诺双机热备、会话无损切换或特定可用性等级</w:t>
            </w:r>
          </w:p>
        </w:tc>
      </w:tr>
    </w:tbl>
    <w:p>
      <w:pPr>
        <w:spacing w:after="40" w:line="48" w:lineRule="auto"/>
      </w:pPr>
    </w:p>
    <w:p>
      <w:r>
        <w:rPr>
          <w:rFonts w:ascii="Arial" w:hAnsi="Arial" w:eastAsia="Microsoft YaHei"/>
          <w:b w:val="0"/>
          <w:i w:val="0"/>
        </w:rPr>
        <w:t>仓库已有注册、QoS、地址池、后路由、事件及长期生命周期测试记录，可作为功能验证参考。R06 记录了隔离环境 1800 秒、53200 个 UE 生命周期等测试，但不代表 53200 个并发用户，也不替代第三方报告、全协议一致性测试或本项目的现场验收。</w:t>
      </w:r>
    </w:p>
    <w:p>
      <w:pPr>
        <w:pStyle w:val="Heading1"/>
        <w:pageBreakBefore/>
      </w:pPr>
      <w:r>
        <w:rPr>
          <w:rFonts w:ascii="Arial" w:hAnsi="Arial" w:eastAsia="Microsoft YaHei"/>
          <w:b w:val="0"/>
          <w:i w:val="0"/>
        </w:rPr>
        <w:t>4. 安装、部署与操作指南</w:t>
      </w:r>
    </w:p>
    <w:p>
      <w:pPr>
        <w:pStyle w:val="Heading2"/>
      </w:pPr>
      <w:r>
        <w:rPr>
          <w:rFonts w:ascii="Arial" w:hAnsi="Arial" w:eastAsia="Microsoft YaHei"/>
          <w:b w:val="0"/>
          <w:i w:val="0"/>
        </w:rPr>
        <w:t>4.1 安装前检查</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检查项</w:t>
            </w:r>
          </w:p>
        </w:tc>
        <w:tc>
          <w:tcPr>
            <w:tcW w:type="dxa" w:w="3143"/>
            <w:vAlign w:val="center"/>
            <w:shd w:fill="214D72"/>
          </w:tcPr>
          <w:p>
            <w:pPr>
              <w:spacing w:line="288" w:lineRule="auto" w:before="60" w:after="60"/>
            </w:pPr>
            <w:r>
              <w:rPr>
                <w:rFonts w:ascii="Arial" w:hAnsi="Arial" w:eastAsia="Microsoft YaHei"/>
                <w:b/>
                <w:i w:val="0"/>
                <w:color w:val="FFFFFF"/>
                <w:sz w:val="18"/>
              </w:rPr>
              <w:t>检查内容</w:t>
            </w:r>
          </w:p>
        </w:tc>
        <w:tc>
          <w:tcPr>
            <w:tcW w:type="dxa" w:w="4191"/>
            <w:vAlign w:val="center"/>
            <w:shd w:fill="214D72"/>
          </w:tcPr>
          <w:p>
            <w:pPr>
              <w:spacing w:line="288" w:lineRule="auto" w:before="60" w:after="60"/>
            </w:pPr>
            <w:r>
              <w:rPr>
                <w:rFonts w:ascii="Arial" w:hAnsi="Arial" w:eastAsia="Microsoft YaHei"/>
                <w:b/>
                <w:i w:val="0"/>
                <w:color w:val="FFFFFF"/>
                <w:sz w:val="18"/>
              </w:rPr>
              <w:t>合格判据</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交付核验</w:t>
            </w:r>
          </w:p>
        </w:tc>
        <w:tc>
          <w:tcPr>
            <w:tcW w:type="dxa" w:w="3143"/>
            <w:vAlign w:val="center"/>
          </w:tcPr>
          <w:p>
            <w:pPr>
              <w:spacing w:line="288" w:lineRule="auto" w:before="60" w:after="60"/>
            </w:pPr>
            <w:r>
              <w:rPr>
                <w:rFonts w:ascii="Arial" w:hAnsi="Arial" w:eastAsia="Microsoft YaHei"/>
                <w:b w:val="0"/>
                <w:i w:val="0"/>
                <w:color w:val="24384C"/>
                <w:sz w:val="18"/>
              </w:rPr>
              <w:t>软件包、Chart、镜像清单与摘要、授权／许可材料、配套硬件和线缆</w:t>
            </w:r>
          </w:p>
        </w:tc>
        <w:tc>
          <w:tcPr>
            <w:tcW w:type="dxa" w:w="4191"/>
            <w:vAlign w:val="center"/>
          </w:tcPr>
          <w:p>
            <w:pPr>
              <w:spacing w:line="288" w:lineRule="auto" w:before="60" w:after="60"/>
            </w:pPr>
            <w:r>
              <w:rPr>
                <w:rFonts w:ascii="Arial" w:hAnsi="Arial" w:eastAsia="Microsoft YaHei"/>
                <w:b w:val="0"/>
                <w:i w:val="0"/>
                <w:color w:val="24384C"/>
                <w:sz w:val="18"/>
              </w:rPr>
              <w:t>与交付清单一致，无缺件和损坏</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现场勘测</w:t>
            </w:r>
          </w:p>
        </w:tc>
        <w:tc>
          <w:tcPr>
            <w:tcW w:type="dxa" w:w="3143"/>
            <w:vAlign w:val="center"/>
            <w:shd w:fill="F4F7FA"/>
          </w:tcPr>
          <w:p>
            <w:pPr>
              <w:spacing w:line="288" w:lineRule="auto" w:before="60" w:after="60"/>
            </w:pPr>
            <w:r>
              <w:rPr>
                <w:rFonts w:ascii="Arial" w:hAnsi="Arial" w:eastAsia="Microsoft YaHei"/>
                <w:b w:val="0"/>
                <w:i w:val="0"/>
                <w:color w:val="24384C"/>
                <w:sz w:val="18"/>
              </w:rPr>
              <w:t>机架、电源、UPS、接地、散热、光／电链路及端口标签</w:t>
            </w:r>
          </w:p>
        </w:tc>
        <w:tc>
          <w:tcPr>
            <w:tcW w:type="dxa" w:w="4191"/>
            <w:vAlign w:val="center"/>
            <w:shd w:fill="F4F7FA"/>
          </w:tcPr>
          <w:p>
            <w:pPr>
              <w:spacing w:line="288" w:lineRule="auto" w:before="60" w:after="60"/>
            </w:pPr>
            <w:r>
              <w:rPr>
                <w:rFonts w:ascii="Arial" w:hAnsi="Arial" w:eastAsia="Microsoft YaHei"/>
                <w:b w:val="0"/>
                <w:i w:val="0"/>
                <w:color w:val="24384C"/>
                <w:sz w:val="18"/>
              </w:rPr>
              <w:t>满足硬件说明与现场设计</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平台与权限</w:t>
            </w:r>
          </w:p>
        </w:tc>
        <w:tc>
          <w:tcPr>
            <w:tcW w:type="dxa" w:w="3143"/>
            <w:vAlign w:val="center"/>
          </w:tcPr>
          <w:p>
            <w:pPr>
              <w:spacing w:line="288" w:lineRule="auto" w:before="60" w:after="60"/>
            </w:pPr>
            <w:r>
              <w:rPr>
                <w:rFonts w:ascii="Arial" w:hAnsi="Arial" w:eastAsia="Microsoft YaHei"/>
                <w:b w:val="0"/>
                <w:i w:val="0"/>
                <w:color w:val="24384C"/>
                <w:sz w:val="18"/>
              </w:rPr>
              <w:t>Kubernetes、Helm、kubectl、容器运行时、管理权限、CNI／DNS</w:t>
            </w:r>
          </w:p>
        </w:tc>
        <w:tc>
          <w:tcPr>
            <w:tcW w:type="dxa" w:w="4191"/>
            <w:vAlign w:val="center"/>
          </w:tcPr>
          <w:p>
            <w:pPr>
              <w:spacing w:line="288" w:lineRule="auto" w:before="60" w:after="60"/>
            </w:pPr>
            <w:r>
              <w:rPr>
                <w:rFonts w:ascii="Arial" w:hAnsi="Arial" w:eastAsia="Microsoft YaHei"/>
                <w:b w:val="0"/>
                <w:i w:val="0"/>
                <w:color w:val="24384C"/>
                <w:sz w:val="18"/>
              </w:rPr>
              <w:t>节点 Ready，基础组件正常</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存储</w:t>
            </w:r>
          </w:p>
        </w:tc>
        <w:tc>
          <w:tcPr>
            <w:tcW w:type="dxa" w:w="3143"/>
            <w:vAlign w:val="center"/>
            <w:shd w:fill="F4F7FA"/>
          </w:tcPr>
          <w:p>
            <w:pPr>
              <w:spacing w:line="288" w:lineRule="auto" w:before="60" w:after="60"/>
            </w:pPr>
            <w:r>
              <w:rPr>
                <w:rFonts w:ascii="Arial" w:hAnsi="Arial" w:eastAsia="Microsoft YaHei"/>
                <w:b w:val="0"/>
                <w:i w:val="0"/>
                <w:color w:val="24384C"/>
                <w:sz w:val="18"/>
              </w:rPr>
              <w:t>默认 local-path 或已批准的替代 StorageClass</w:t>
            </w:r>
          </w:p>
        </w:tc>
        <w:tc>
          <w:tcPr>
            <w:tcW w:type="dxa" w:w="4191"/>
            <w:vAlign w:val="center"/>
            <w:shd w:fill="F4F7FA"/>
          </w:tcPr>
          <w:p>
            <w:pPr>
              <w:spacing w:line="288" w:lineRule="auto" w:before="60" w:after="60"/>
            </w:pPr>
            <w:r>
              <w:rPr>
                <w:rFonts w:ascii="Arial" w:hAnsi="Arial" w:eastAsia="Microsoft YaHei"/>
                <w:b w:val="0"/>
                <w:i w:val="0"/>
                <w:color w:val="24384C"/>
                <w:sz w:val="18"/>
              </w:rPr>
              <w:t>可创建所需 PVC，容量和备份位置满足要求</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网络规划</w:t>
            </w:r>
          </w:p>
        </w:tc>
        <w:tc>
          <w:tcPr>
            <w:tcW w:type="dxa" w:w="3143"/>
            <w:vAlign w:val="center"/>
          </w:tcPr>
          <w:p>
            <w:pPr>
              <w:spacing w:line="288" w:lineRule="auto" w:before="60" w:after="60"/>
            </w:pPr>
            <w:r>
              <w:rPr>
                <w:rFonts w:ascii="Arial" w:hAnsi="Arial" w:eastAsia="Microsoft YaHei"/>
                <w:b w:val="0"/>
                <w:i w:val="0"/>
                <w:color w:val="24384C"/>
                <w:sz w:val="18"/>
              </w:rPr>
              <w:t>节点、N2／N3／N6、UE、Pod／Service 地址及 VLAN／路由</w:t>
            </w:r>
          </w:p>
        </w:tc>
        <w:tc>
          <w:tcPr>
            <w:tcW w:type="dxa" w:w="4191"/>
            <w:vAlign w:val="center"/>
          </w:tcPr>
          <w:p>
            <w:pPr>
              <w:spacing w:line="288" w:lineRule="auto" w:before="60" w:after="60"/>
            </w:pPr>
            <w:r>
              <w:rPr>
                <w:rFonts w:ascii="Arial" w:hAnsi="Arial" w:eastAsia="Microsoft YaHei"/>
                <w:b w:val="0"/>
                <w:i w:val="0"/>
                <w:color w:val="24384C"/>
                <w:sz w:val="18"/>
              </w:rPr>
              <w:t>无重叠和重复 IP，路由及防火墙经确认</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无线对接</w:t>
            </w:r>
          </w:p>
        </w:tc>
        <w:tc>
          <w:tcPr>
            <w:tcW w:type="dxa" w:w="3143"/>
            <w:vAlign w:val="center"/>
            <w:shd w:fill="F4F7FA"/>
          </w:tcPr>
          <w:p>
            <w:pPr>
              <w:spacing w:line="288" w:lineRule="auto" w:before="60" w:after="60"/>
            </w:pPr>
            <w:r>
              <w:rPr>
                <w:rFonts w:ascii="Arial" w:hAnsi="Arial" w:eastAsia="Microsoft YaHei"/>
                <w:b w:val="0"/>
                <w:i w:val="0"/>
                <w:color w:val="24384C"/>
                <w:sz w:val="18"/>
              </w:rPr>
              <w:t>PLMN、TAC、S-NSSAI、DNN、SIM 数据及 N2／N3 对端</w:t>
            </w:r>
          </w:p>
        </w:tc>
        <w:tc>
          <w:tcPr>
            <w:tcW w:type="dxa" w:w="4191"/>
            <w:vAlign w:val="center"/>
            <w:shd w:fill="F4F7FA"/>
          </w:tcPr>
          <w:p>
            <w:pPr>
              <w:spacing w:line="288" w:lineRule="auto" w:before="60" w:after="60"/>
            </w:pPr>
            <w:r>
              <w:rPr>
                <w:rFonts w:ascii="Arial" w:hAnsi="Arial" w:eastAsia="Microsoft YaHei"/>
                <w:b w:val="0"/>
                <w:i w:val="0"/>
                <w:color w:val="24384C"/>
                <w:sz w:val="18"/>
              </w:rPr>
              <w:t>核心网、gNB、UE 配置一致</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加速条件，可选</w:t>
            </w:r>
          </w:p>
        </w:tc>
        <w:tc>
          <w:tcPr>
            <w:tcW w:type="dxa" w:w="3143"/>
            <w:vAlign w:val="center"/>
          </w:tcPr>
          <w:p>
            <w:pPr>
              <w:spacing w:line="288" w:lineRule="auto" w:before="60" w:after="60"/>
            </w:pPr>
            <w:r>
              <w:rPr>
                <w:rFonts w:ascii="Arial" w:hAnsi="Arial" w:eastAsia="Microsoft YaHei"/>
                <w:b w:val="0"/>
                <w:i w:val="0"/>
                <w:color w:val="24384C"/>
                <w:sz w:val="18"/>
              </w:rPr>
              <w:t>两个 VF、资源名、驱动、设备插件、大页、CPUSet 分配机制</w:t>
            </w:r>
          </w:p>
        </w:tc>
        <w:tc>
          <w:tcPr>
            <w:tcW w:type="dxa" w:w="4191"/>
            <w:vAlign w:val="center"/>
          </w:tcPr>
          <w:p>
            <w:pPr>
              <w:spacing w:line="288" w:lineRule="auto" w:before="60" w:after="60"/>
            </w:pPr>
            <w:r>
              <w:rPr>
                <w:rFonts w:ascii="Arial" w:hAnsi="Arial" w:eastAsia="Microsoft YaHei"/>
                <w:b w:val="0"/>
                <w:i w:val="0"/>
                <w:color w:val="24384C"/>
                <w:sz w:val="18"/>
              </w:rPr>
              <w:t>资源可分配且不占用管理网卡</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工具仪表</w:t>
            </w:r>
          </w:p>
        </w:tc>
        <w:tc>
          <w:tcPr>
            <w:tcW w:type="dxa" w:w="3143"/>
            <w:vAlign w:val="center"/>
            <w:shd w:fill="F4F7FA"/>
          </w:tcPr>
          <w:p>
            <w:pPr>
              <w:spacing w:line="288" w:lineRule="auto" w:before="60" w:after="60"/>
            </w:pPr>
            <w:r>
              <w:rPr>
                <w:rFonts w:ascii="Arial" w:hAnsi="Arial" w:eastAsia="Microsoft YaHei"/>
                <w:b w:val="0"/>
                <w:i w:val="0"/>
                <w:color w:val="24384C"/>
                <w:sz w:val="18"/>
              </w:rPr>
              <w:t>网线／光纤测试工具、授权终端、万用表及防静电用品</w:t>
            </w:r>
          </w:p>
        </w:tc>
        <w:tc>
          <w:tcPr>
            <w:tcW w:type="dxa" w:w="4191"/>
            <w:vAlign w:val="center"/>
            <w:shd w:fill="F4F7FA"/>
          </w:tcPr>
          <w:p>
            <w:pPr>
              <w:spacing w:line="288" w:lineRule="auto" w:before="60" w:after="60"/>
            </w:pPr>
            <w:r>
              <w:rPr>
                <w:rFonts w:ascii="Arial" w:hAnsi="Arial" w:eastAsia="Microsoft YaHei"/>
                <w:b w:val="0"/>
                <w:i w:val="0"/>
                <w:color w:val="24384C"/>
                <w:sz w:val="18"/>
              </w:rPr>
              <w:t>满足现场作业范围；软件诊断使用 ip、ss、tcpdump 等</w:t>
            </w:r>
          </w:p>
        </w:tc>
      </w:tr>
    </w:tbl>
    <w:p>
      <w:pPr>
        <w:spacing w:after="40" w:line="48" w:lineRule="auto"/>
      </w:pPr>
    </w:p>
    <w:p>
      <w:r>
        <w:rPr>
          <w:rFonts w:ascii="Arial" w:hAnsi="Arial" w:eastAsia="Microsoft YaHei"/>
          <w:b w:val="0"/>
          <w:i w:val="0"/>
        </w:rPr>
        <w:t>Ubuntu 参考检查命令如下，仅检查当前环境，不安装或升级平台：</w:t>
      </w:r>
    </w:p>
    <w:p>
      <w:pPr>
        <w:spacing w:line="264" w:lineRule="auto" w:before="80" w:after="160"/>
        <w:ind w:left="85" w:right="57"/>
        <w:shd w:fill="F0F4F8"/>
      </w:pPr>
      <w:r>
        <w:rPr>
          <w:rFonts w:ascii="Consolas" w:hAnsi="Consolas" w:eastAsia="Microsoft YaHei"/>
          <w:color w:val="203B56"/>
          <w:sz w:val="16"/>
        </w:rPr>
        <w:t>uname -m</w:t>
        <w:br/>
        <w:t>cat /etc/os-release</w:t>
        <w:br/>
        <w:t>kubectl version --short</w:t>
        <w:br/>
        <w:t>helm version --short</w:t>
        <w:br/>
        <w:t>kubectl get nodes -o wide</w:t>
        <w:br/>
        <w:t>kubectl get pods -A</w:t>
        <w:br/>
        <w:t>kubectl get storageclass</w:t>
        <w:br/>
        <w:t>ip -br addr</w:t>
        <w:br/>
        <w:t>ip route</w:t>
        <w:br/>
        <w:t>timedatectl status</w:t>
        <w:br/>
        <w:t>test -c /dev/net/tun</w:t>
      </w:r>
    </w:p>
    <w:p>
      <w:r>
        <w:rPr>
          <w:rFonts w:ascii="Arial" w:hAnsi="Arial" w:eastAsia="Microsoft YaHei"/>
          <w:b w:val="0"/>
          <w:i w:val="0"/>
        </w:rPr>
        <w:t>上述 kubectl version --short 对应已核对的 1.26 环境；使用其他版本时先查看 kubectl version --help。检查 SCTP 时可执行 lsmod，未显示模块也可能因为内建于内核，应结合内核配置及实际 N2 连接判断。</w:t>
      </w:r>
    </w:p>
    <w:p>
      <w:pPr>
        <w:pStyle w:val="Heading2"/>
      </w:pPr>
      <w:r>
        <w:rPr>
          <w:rFonts w:ascii="Arial" w:hAnsi="Arial" w:eastAsia="Microsoft YaHei"/>
          <w:b w:val="0"/>
          <w:i w:val="0"/>
        </w:rPr>
        <w:t>4.2 硬件安装、线缆与上电</w:t>
      </w:r>
    </w:p>
    <w:p>
      <w:pPr>
        <w:pStyle w:val="ListNumber"/>
        <w:numPr>
          <w:ilvl w:val="0"/>
          <w:numId w:val="17"/>
        </w:numPr>
      </w:pPr>
      <w:r>
        <w:rPr>
          <w:rFonts w:ascii="Arial" w:hAnsi="Arial" w:eastAsia="Microsoft YaHei"/>
          <w:b w:val="0"/>
          <w:i w:val="0"/>
        </w:rPr>
        <w:t>按配套服务器说明安装导轨、服务器、电源及接地；核对序列号、槽位与 BOM。</w:t>
      </w:r>
    </w:p>
    <w:p>
      <w:pPr>
        <w:pStyle w:val="ListNumber"/>
        <w:numPr>
          <w:ilvl w:val="0"/>
          <w:numId w:val="17"/>
        </w:numPr>
      </w:pPr>
      <w:r>
        <w:rPr>
          <w:rFonts w:ascii="Arial" w:hAnsi="Arial" w:eastAsia="Microsoft YaHei"/>
          <w:b w:val="0"/>
          <w:i w:val="0"/>
        </w:rPr>
        <w:t>将管理口、N2／N3 接入网络及 N6 业务出口按批准的端口表连接；共享物理网口时，VLAN 和安全边界应明确。</w:t>
      </w:r>
    </w:p>
    <w:p>
      <w:pPr>
        <w:pStyle w:val="ListNumber"/>
        <w:numPr>
          <w:ilvl w:val="0"/>
          <w:numId w:val="17"/>
        </w:numPr>
      </w:pPr>
      <w:r>
        <w:rPr>
          <w:rFonts w:ascii="Arial" w:hAnsi="Arial" w:eastAsia="Microsoft YaHei"/>
          <w:b w:val="0"/>
          <w:i w:val="0"/>
        </w:rPr>
        <w:t>电源线、网线与光纤按现场规范分路、固定、留维护余量。弯曲半径和连接器处理以线缆厂商要求为准，不挤压光纤，不带尘插接。</w:t>
      </w:r>
    </w:p>
    <w:p>
      <w:pPr>
        <w:pStyle w:val="ListNumber"/>
        <w:numPr>
          <w:ilvl w:val="0"/>
          <w:numId w:val="17"/>
        </w:numPr>
      </w:pPr>
      <w:r>
        <w:rPr>
          <w:rFonts w:ascii="Arial" w:hAnsi="Arial" w:eastAsia="Microsoft YaHei"/>
          <w:b w:val="0"/>
          <w:i w:val="0"/>
        </w:rPr>
        <w:t>室内服务器通常不采用无线设备馈线接头工艺；涉及室外接线盒或光缆接头时，按对应产品的防水防尘工艺施工。</w:t>
      </w:r>
    </w:p>
    <w:p>
      <w:pPr>
        <w:pStyle w:val="ListNumber"/>
        <w:numPr>
          <w:ilvl w:val="0"/>
          <w:numId w:val="17"/>
        </w:numPr>
      </w:pPr>
      <w:r>
        <w:rPr>
          <w:rFonts w:ascii="Arial" w:hAnsi="Arial" w:eastAsia="Microsoft YaHei"/>
          <w:b w:val="0"/>
          <w:i w:val="0"/>
        </w:rPr>
        <w:t>在两端标注设备名、端口、链路用途与编号，制作机柜／交换机端口对照表。</w:t>
      </w:r>
    </w:p>
    <w:p>
      <w:pPr>
        <w:pStyle w:val="ListNumber"/>
        <w:numPr>
          <w:ilvl w:val="0"/>
          <w:numId w:val="17"/>
        </w:numPr>
      </w:pPr>
      <w:r>
        <w:rPr>
          <w:rFonts w:ascii="Arial" w:hAnsi="Arial" w:eastAsia="Microsoft YaHei"/>
          <w:b w:val="0"/>
          <w:i w:val="0"/>
        </w:rPr>
        <w:t>上电前检查接地、固定、异物、电源范围、插接及保护装置；电压、极性与绝缘检查按实际硬件和现场规程实施。</w:t>
      </w:r>
    </w:p>
    <w:p>
      <w:pPr>
        <w:pStyle w:val="ListNumber"/>
        <w:numPr>
          <w:ilvl w:val="0"/>
          <w:numId w:val="17"/>
        </w:numPr>
      </w:pPr>
      <w:r>
        <w:rPr>
          <w:rFonts w:ascii="Arial" w:hAnsi="Arial" w:eastAsia="Microsoft YaHei"/>
          <w:b w:val="0"/>
          <w:i w:val="0"/>
        </w:rPr>
        <w:t>依次确认机房配电与 UPS、交换网络、服务器管理控制器、服务器系统、平台组件可用；软件服务按 4.5 检查启动结果。</w:t>
      </w:r>
    </w:p>
    <w:p>
      <w:r>
        <w:rPr>
          <w:rFonts w:ascii="Arial" w:hAnsi="Arial" w:eastAsia="Microsoft YaHei"/>
          <w:b w:val="0"/>
          <w:i w:val="0"/>
        </w:rPr>
        <w:t>硬件自检、风扇和指示灯判读以原厂说明为准。BMC 正常、Linux 启动成功或 Kubernetes Ready 均不单独代表核心网业务开通完成。</w:t>
      </w:r>
    </w:p>
    <w:p>
      <w:pPr>
        <w:pStyle w:val="Heading2"/>
      </w:pPr>
      <w:r>
        <w:rPr>
          <w:rFonts w:ascii="Arial" w:hAnsi="Arial" w:eastAsia="Microsoft YaHei"/>
          <w:b w:val="0"/>
          <w:i w:val="0"/>
        </w:rPr>
        <w:t>4.3 软件包与镜像准备</w:t>
      </w:r>
    </w:p>
    <w:p>
      <w:r>
        <w:rPr>
          <w:rFonts w:ascii="Arial" w:hAnsi="Arial" w:eastAsia="Microsoft YaHei"/>
          <w:b w:val="0"/>
          <w:i w:val="0"/>
        </w:rPr>
        <w:t>在交付工作站进入仓库目录；下列命令中的路径为当前项目示例，可替换为交付目录：</w:t>
      </w:r>
    </w:p>
    <w:p>
      <w:pPr>
        <w:spacing w:line="264" w:lineRule="auto" w:before="80" w:after="160"/>
        <w:ind w:left="85" w:right="57"/>
        <w:shd w:fill="F0F4F8"/>
      </w:pPr>
      <w:r>
        <w:rPr>
          <w:rFonts w:ascii="Consolas" w:hAnsi="Consolas" w:eastAsia="Microsoft YaHei"/>
          <w:color w:val="203B56"/>
          <w:sz w:val="16"/>
        </w:rPr>
        <w:t>cd /home/xiazhangtao/code/open5gs</w:t>
        <w:br/>
        <w:t>helm lint helm/xcn</w:t>
        <w:br/>
        <w:t>helm show chart helm/xcn</w:t>
      </w:r>
    </w:p>
    <w:p>
      <w:r>
        <w:rPr>
          <w:rFonts w:ascii="Arial" w:hAnsi="Arial" w:eastAsia="Microsoft YaHei"/>
          <w:b w:val="0"/>
          <w:i w:val="0"/>
        </w:rPr>
        <w:t>镜像采用“交付包导入”或“从源码构建”之一，完成后核对所有可能调度节点的镜像可用性。当前工作区镜像归档示例为 images/xcn-runtime.tar、images/xcn-webui.tar、images/mongo.tar、images/vpp.tar；归档是否属于本次交付版本，以实际摘要清单为准。</w:t>
      </w:r>
    </w:p>
    <w:p>
      <w:r>
        <w:rPr>
          <w:rFonts w:ascii="Arial" w:hAnsi="Arial" w:eastAsia="Microsoft YaHei"/>
          <w:b w:val="0"/>
          <w:i w:val="0"/>
        </w:rPr>
        <w:t>若 Kubernetes 使用 containerd，可在对应节点使用以下命令导入交付镜像；TUN 不需要启动 VPP，但当前源码构建运行镜像时仍引用 VPP 阶段的 libmemif：</w:t>
      </w:r>
    </w:p>
    <w:p>
      <w:pPr>
        <w:spacing w:line="264" w:lineRule="auto" w:before="80" w:after="160"/>
        <w:ind w:left="85" w:right="57"/>
        <w:shd w:fill="F0F4F8"/>
      </w:pPr>
      <w:r>
        <w:rPr>
          <w:rFonts w:ascii="Consolas" w:hAnsi="Consolas" w:eastAsia="Microsoft YaHei"/>
          <w:color w:val="203B56"/>
          <w:sz w:val="16"/>
        </w:rPr>
        <w:t>sudo ctr -n k8s.io images import images/xcn-runtime.tar</w:t>
        <w:br/>
        <w:t>sudo ctr -n k8s.io images import images/xcn-webui.tar</w:t>
        <w:br/>
        <w:t>sudo ctr -n k8s.io images import images/mongo.tar</w:t>
        <w:br/>
        <w:t># 仅加速部署按需导入；确认归档版本与交付清单一致。</w:t>
        <w:br/>
        <w:t>sudo ctr -n k8s.io images import images/vpp.tar</w:t>
        <w:br/>
        <w:t>sudo ctr -n k8s.io images list</w:t>
      </w:r>
    </w:p>
    <w:p>
      <w:r>
        <w:rPr>
          <w:rFonts w:ascii="Arial" w:hAnsi="Arial" w:eastAsia="Microsoft YaHei"/>
          <w:b w:val="0"/>
          <w:i w:val="0"/>
        </w:rPr>
        <w:t>containerd 与 Docker 的镜像存储通常分离，docker load 不代表 kubelet 已能使用镜像。多节点部署需同步导入或使用可访问的镜像仓库。</w:t>
      </w:r>
    </w:p>
    <w:p>
      <w:r>
        <w:rPr>
          <w:rFonts w:ascii="Arial" w:hAnsi="Arial" w:eastAsia="Microsoft YaHei"/>
          <w:b w:val="0"/>
          <w:i w:val="0"/>
        </w:rPr>
        <w:t>具备构建依赖和匹配 VPP 基础镜像时，可选择源码构建：</w:t>
      </w:r>
    </w:p>
    <w:p>
      <w:pPr>
        <w:spacing w:line="264" w:lineRule="auto" w:before="80" w:after="160"/>
        <w:ind w:left="85" w:right="57"/>
        <w:shd w:fill="F0F4F8"/>
      </w:pPr>
      <w:r>
        <w:rPr>
          <w:rFonts w:ascii="Consolas" w:hAnsi="Consolas" w:eastAsia="Microsoft YaHei"/>
          <w:color w:val="203B56"/>
          <w:sz w:val="16"/>
        </w:rPr>
        <w:t>docker build -f docker/runtime/Dockerfile -t xcn-runtime:xcn-20261022 .</w:t>
        <w:br/>
        <w:t>docker build -f docker/webui/Dockerfile -t xcn-webui:xcn-20261022 .</w:t>
      </w:r>
    </w:p>
    <w:p>
      <w:r>
        <w:rPr>
          <w:rFonts w:ascii="Arial" w:hAnsi="Arial" w:eastAsia="Microsoft YaHei"/>
          <w:b w:val="0"/>
          <w:i w:val="0"/>
        </w:rPr>
        <w:t>上述日期标签为构建示例，不代表仓库已发布同名制品。构建后应导入／推送到 Kubernetes 可访问的镜像源，并在 values 中指定实际仓库和标签；MongoDB、VPP 同样应采用已验证版本。代理导致构建网络异常时，可按 5.10 排查，必要时在可信构建环境评估使用 docker build --network host。</w:t>
      </w:r>
    </w:p>
    <w:p>
      <w:pPr>
        <w:pStyle w:val="Heading2"/>
      </w:pPr>
      <w:r>
        <w:rPr>
          <w:rFonts w:ascii="Arial" w:hAnsi="Arial" w:eastAsia="Microsoft YaHei"/>
          <w:b w:val="0"/>
          <w:i w:val="0"/>
        </w:rPr>
        <w:t>4.4 业务参数规划与安装</w:t>
      </w:r>
    </w:p>
    <w:p>
      <w:pPr>
        <w:pStyle w:val="Heading3"/>
      </w:pPr>
      <w:r>
        <w:rPr>
          <w:rFonts w:ascii="Arial" w:hAnsi="Arial" w:eastAsia="Microsoft YaHei"/>
          <w:b w:val="0"/>
          <w:i w:val="0"/>
        </w:rPr>
        <w:t>4.4.1 参数核对</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参数</w:t>
            </w:r>
          </w:p>
        </w:tc>
        <w:tc>
          <w:tcPr>
            <w:tcW w:type="dxa" w:w="3143"/>
            <w:vAlign w:val="center"/>
            <w:shd w:fill="214D72"/>
          </w:tcPr>
          <w:p>
            <w:pPr>
              <w:spacing w:line="288" w:lineRule="auto" w:before="60" w:after="60"/>
            </w:pPr>
            <w:r>
              <w:rPr>
                <w:rFonts w:ascii="Arial" w:hAnsi="Arial" w:eastAsia="Microsoft YaHei"/>
                <w:b/>
                <w:i w:val="0"/>
                <w:color w:val="FFFFFF"/>
                <w:sz w:val="18"/>
              </w:rPr>
              <w:t>当前环境示例</w:t>
            </w:r>
          </w:p>
        </w:tc>
        <w:tc>
          <w:tcPr>
            <w:tcW w:type="dxa" w:w="4191"/>
            <w:vAlign w:val="center"/>
            <w:shd w:fill="214D72"/>
          </w:tcPr>
          <w:p>
            <w:pPr>
              <w:spacing w:line="288" w:lineRule="auto" w:before="60" w:after="60"/>
            </w:pPr>
            <w:r>
              <w:rPr>
                <w:rFonts w:ascii="Arial" w:hAnsi="Arial" w:eastAsia="Microsoft YaHei"/>
                <w:b/>
                <w:i w:val="0"/>
                <w:color w:val="FFFFFF"/>
                <w:sz w:val="18"/>
              </w:rPr>
              <w:t>实施要求</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命名空间／Release</w:t>
            </w:r>
          </w:p>
        </w:tc>
        <w:tc>
          <w:tcPr>
            <w:tcW w:type="dxa" w:w="3143"/>
            <w:vAlign w:val="center"/>
          </w:tcPr>
          <w:p>
            <w:pPr>
              <w:spacing w:line="288" w:lineRule="auto" w:before="60" w:after="60"/>
            </w:pPr>
            <w:r>
              <w:rPr>
                <w:rFonts w:ascii="Arial" w:hAnsi="Arial" w:eastAsia="Microsoft YaHei"/>
                <w:b w:val="0"/>
                <w:i w:val="0"/>
                <w:color w:val="24384C"/>
                <w:sz w:val="18"/>
              </w:rPr>
              <w:t>xcn／xcn</w:t>
            </w:r>
          </w:p>
        </w:tc>
        <w:tc>
          <w:tcPr>
            <w:tcW w:type="dxa" w:w="4191"/>
            <w:vAlign w:val="center"/>
          </w:tcPr>
          <w:p>
            <w:pPr>
              <w:spacing w:line="288" w:lineRule="auto" w:before="60" w:after="60"/>
            </w:pPr>
            <w:r>
              <w:rPr>
                <w:rFonts w:ascii="Arial" w:hAnsi="Arial" w:eastAsia="Microsoft YaHei"/>
                <w:b w:val="0"/>
                <w:i w:val="0"/>
                <w:color w:val="24384C"/>
                <w:sz w:val="18"/>
              </w:rPr>
              <w:t>与运维权限、资源命名一致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AMF N2 地址</w:t>
            </w:r>
          </w:p>
        </w:tc>
        <w:tc>
          <w:tcPr>
            <w:tcW w:type="dxa" w:w="3143"/>
            <w:vAlign w:val="center"/>
            <w:shd w:fill="F4F7FA"/>
          </w:tcPr>
          <w:p>
            <w:pPr>
              <w:spacing w:line="288" w:lineRule="auto" w:before="60" w:after="60"/>
            </w:pPr>
            <w:r>
              <w:rPr>
                <w:rFonts w:ascii="Arial" w:hAnsi="Arial" w:eastAsia="Microsoft YaHei"/>
                <w:b w:val="0"/>
                <w:i w:val="0"/>
                <w:color w:val="24384C"/>
                <w:sz w:val="18"/>
              </w:rPr>
              <w:t>10.2.0.119</w:t>
            </w:r>
          </w:p>
        </w:tc>
        <w:tc>
          <w:tcPr>
            <w:tcW w:type="dxa" w:w="4191"/>
            <w:vAlign w:val="center"/>
            <w:shd w:fill="F4F7FA"/>
          </w:tcPr>
          <w:p>
            <w:pPr>
              <w:spacing w:line="288" w:lineRule="auto" w:before="60" w:after="60"/>
            </w:pPr>
            <w:r>
              <w:rPr>
                <w:rFonts w:ascii="Arial" w:hAnsi="Arial" w:eastAsia="Microsoft YaHei"/>
                <w:b w:val="0"/>
                <w:i w:val="0"/>
                <w:color w:val="24384C"/>
                <w:sz w:val="18"/>
              </w:rPr>
              <w:t>gNB 可达；hostNetwork 下须为明确的本机接口地址</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TUN 模式 UPF N3</w:t>
            </w:r>
          </w:p>
        </w:tc>
        <w:tc>
          <w:tcPr>
            <w:tcW w:type="dxa" w:w="3143"/>
            <w:vAlign w:val="center"/>
          </w:tcPr>
          <w:p>
            <w:pPr>
              <w:spacing w:line="288" w:lineRule="auto" w:before="60" w:after="60"/>
            </w:pPr>
            <w:r>
              <w:rPr>
                <w:rFonts w:ascii="Arial" w:hAnsi="Arial" w:eastAsia="Microsoft YaHei"/>
                <w:b w:val="0"/>
                <w:i w:val="0"/>
                <w:color w:val="24384C"/>
                <w:sz w:val="18"/>
              </w:rPr>
              <w:t>10.2.0.119</w:t>
            </w:r>
          </w:p>
        </w:tc>
        <w:tc>
          <w:tcPr>
            <w:tcW w:type="dxa" w:w="4191"/>
            <w:vAlign w:val="center"/>
          </w:tcPr>
          <w:p>
            <w:pPr>
              <w:spacing w:line="288" w:lineRule="auto" w:before="60" w:after="60"/>
            </w:pPr>
            <w:r>
              <w:rPr>
                <w:rFonts w:ascii="Arial" w:hAnsi="Arial" w:eastAsia="Microsoft YaHei"/>
                <w:b w:val="0"/>
                <w:i w:val="0"/>
                <w:color w:val="24384C"/>
                <w:sz w:val="18"/>
              </w:rPr>
              <w:t>本机已配置且 gNB 可达，禁止使用 0.0.0.0</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memif 模式 UPF N3</w:t>
            </w:r>
          </w:p>
        </w:tc>
        <w:tc>
          <w:tcPr>
            <w:tcW w:type="dxa" w:w="3143"/>
            <w:vAlign w:val="center"/>
            <w:shd w:fill="F4F7FA"/>
          </w:tcPr>
          <w:p>
            <w:pPr>
              <w:spacing w:line="288" w:lineRule="auto" w:before="60" w:after="60"/>
            </w:pPr>
            <w:r>
              <w:rPr>
                <w:rFonts w:ascii="Arial" w:hAnsi="Arial" w:eastAsia="Microsoft YaHei"/>
                <w:b w:val="0"/>
                <w:i w:val="0"/>
                <w:color w:val="24384C"/>
                <w:sz w:val="18"/>
              </w:rPr>
              <w:t>10.2.0.230</w:t>
            </w:r>
          </w:p>
        </w:tc>
        <w:tc>
          <w:tcPr>
            <w:tcW w:type="dxa" w:w="4191"/>
            <w:vAlign w:val="center"/>
            <w:shd w:fill="F4F7FA"/>
          </w:tcPr>
          <w:p>
            <w:pPr>
              <w:spacing w:line="288" w:lineRule="auto" w:before="60" w:after="60"/>
            </w:pPr>
            <w:r>
              <w:rPr>
                <w:rFonts w:ascii="Arial" w:hAnsi="Arial" w:eastAsia="Microsoft YaHei"/>
                <w:b w:val="0"/>
                <w:i w:val="0"/>
                <w:color w:val="24384C"/>
                <w:sz w:val="18"/>
              </w:rPr>
              <w:t>专用广告／memif 本地地址；不能同时被主机本地地址截获</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VPP N3／N6 外侧</w:t>
            </w:r>
          </w:p>
        </w:tc>
        <w:tc>
          <w:tcPr>
            <w:tcW w:type="dxa" w:w="3143"/>
            <w:vAlign w:val="center"/>
          </w:tcPr>
          <w:p>
            <w:pPr>
              <w:spacing w:line="288" w:lineRule="auto" w:before="60" w:after="60"/>
            </w:pPr>
            <w:r>
              <w:rPr>
                <w:rFonts w:ascii="Arial" w:hAnsi="Arial" w:eastAsia="Microsoft YaHei"/>
                <w:b w:val="0"/>
                <w:i w:val="0"/>
                <w:color w:val="24384C"/>
                <w:sz w:val="18"/>
              </w:rPr>
              <w:t>10.2.0.231/20／10.2.0.232/20</w:t>
            </w:r>
          </w:p>
        </w:tc>
        <w:tc>
          <w:tcPr>
            <w:tcW w:type="dxa" w:w="4191"/>
            <w:vAlign w:val="center"/>
          </w:tcPr>
          <w:p>
            <w:pPr>
              <w:spacing w:line="288" w:lineRule="auto" w:before="60" w:after="60"/>
            </w:pPr>
            <w:r>
              <w:rPr>
                <w:rFonts w:ascii="Arial" w:hAnsi="Arial" w:eastAsia="Microsoft YaHei"/>
                <w:b w:val="0"/>
                <w:i w:val="0"/>
                <w:color w:val="24384C"/>
                <w:sz w:val="18"/>
              </w:rPr>
              <w:t>与 UPF N3 地址含义不同，需确认唯一性、下一跳、VF／交换链路</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UE 网段／网关</w:t>
            </w:r>
          </w:p>
        </w:tc>
        <w:tc>
          <w:tcPr>
            <w:tcW w:type="dxa" w:w="3143"/>
            <w:vAlign w:val="center"/>
            <w:shd w:fill="F4F7FA"/>
          </w:tcPr>
          <w:p>
            <w:pPr>
              <w:spacing w:line="288" w:lineRule="auto" w:before="60" w:after="60"/>
            </w:pPr>
            <w:r>
              <w:rPr>
                <w:rFonts w:ascii="Arial" w:hAnsi="Arial" w:eastAsia="Microsoft YaHei"/>
                <w:b w:val="0"/>
                <w:i w:val="0"/>
                <w:color w:val="24384C"/>
                <w:sz w:val="18"/>
              </w:rPr>
              <w:t>10.45.0.0/16／10.45.0.1</w:t>
            </w:r>
          </w:p>
        </w:tc>
        <w:tc>
          <w:tcPr>
            <w:tcW w:type="dxa" w:w="4191"/>
            <w:vAlign w:val="center"/>
            <w:shd w:fill="F4F7FA"/>
          </w:tcPr>
          <w:p>
            <w:pPr>
              <w:spacing w:line="288" w:lineRule="auto" w:before="60" w:after="60"/>
            </w:pPr>
            <w:r>
              <w:rPr>
                <w:rFonts w:ascii="Arial" w:hAnsi="Arial" w:eastAsia="Microsoft YaHei"/>
                <w:b w:val="0"/>
                <w:i w:val="0"/>
                <w:color w:val="24384C"/>
                <w:sz w:val="18"/>
              </w:rPr>
              <w:t>不与现有网络冲突；DN 具有回程路由或采用经批准的 NAT</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动态范围示例</w:t>
            </w:r>
          </w:p>
        </w:tc>
        <w:tc>
          <w:tcPr>
            <w:tcW w:type="dxa" w:w="3143"/>
            <w:vAlign w:val="center"/>
          </w:tcPr>
          <w:p>
            <w:pPr>
              <w:spacing w:line="288" w:lineRule="auto" w:before="60" w:after="60"/>
            </w:pPr>
            <w:r>
              <w:rPr>
                <w:rFonts w:ascii="Arial" w:hAnsi="Arial" w:eastAsia="Microsoft YaHei"/>
                <w:b w:val="0"/>
                <w:i w:val="0"/>
                <w:color w:val="24384C"/>
                <w:sz w:val="18"/>
              </w:rPr>
              <w:t>10.45.1.2-10.45.255.254</w:t>
            </w:r>
          </w:p>
        </w:tc>
        <w:tc>
          <w:tcPr>
            <w:tcW w:type="dxa" w:w="4191"/>
            <w:vAlign w:val="center"/>
          </w:tcPr>
          <w:p>
            <w:pPr>
              <w:spacing w:line="288" w:lineRule="auto" w:before="60" w:after="60"/>
            </w:pPr>
            <w:r>
              <w:rPr>
                <w:rFonts w:ascii="Arial" w:hAnsi="Arial" w:eastAsia="Microsoft YaHei"/>
                <w:b w:val="0"/>
                <w:i w:val="0"/>
                <w:color w:val="24384C"/>
                <w:sz w:val="18"/>
              </w:rPr>
              <w:t>仅示例；静态订阅应置于不重叠的合法地址范围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PLMN／TAC／切片／DNN</w:t>
            </w:r>
          </w:p>
        </w:tc>
        <w:tc>
          <w:tcPr>
            <w:tcW w:type="dxa" w:w="3143"/>
            <w:vAlign w:val="center"/>
            <w:shd w:fill="F4F7FA"/>
          </w:tcPr>
          <w:p>
            <w:pPr>
              <w:spacing w:line="288" w:lineRule="auto" w:before="60" w:after="60"/>
            </w:pPr>
            <w:r>
              <w:rPr>
                <w:rFonts w:ascii="Arial" w:hAnsi="Arial" w:eastAsia="Microsoft YaHei"/>
                <w:b w:val="0"/>
                <w:i w:val="0"/>
                <w:color w:val="24384C"/>
                <w:sz w:val="18"/>
              </w:rPr>
              <w:t>46011／1／1-010101／cmnet</w:t>
            </w:r>
          </w:p>
        </w:tc>
        <w:tc>
          <w:tcPr>
            <w:tcW w:type="dxa" w:w="4191"/>
            <w:vAlign w:val="center"/>
            <w:shd w:fill="F4F7FA"/>
          </w:tcPr>
          <w:p>
            <w:pPr>
              <w:spacing w:line="288" w:lineRule="auto" w:before="60" w:after="60"/>
            </w:pPr>
            <w:r>
              <w:rPr>
                <w:rFonts w:ascii="Arial" w:hAnsi="Arial" w:eastAsia="Microsoft YaHei"/>
                <w:b w:val="0"/>
                <w:i w:val="0"/>
                <w:color w:val="24384C"/>
                <w:sz w:val="18"/>
              </w:rPr>
              <w:t>与基站、终端和订阅逐项对照，不能直接沿用未授权 PLMN</w:t>
            </w:r>
          </w:p>
        </w:tc>
      </w:tr>
    </w:tbl>
    <w:p>
      <w:pPr>
        <w:spacing w:after="40" w:line="48" w:lineRule="auto"/>
      </w:pPr>
    </w:p>
    <w:p>
      <w:r>
        <w:rPr>
          <w:rFonts w:ascii="Arial" w:hAnsi="Arial" w:eastAsia="Microsoft YaHei"/>
          <w:b w:val="0"/>
          <w:i w:val="0"/>
        </w:rPr>
        <w:t>TUN 模式中 SMF 使用 127.0.0.4:2152 的内部 GTP-U 端点。UPF 与 SMF 共享 Pod 网络命名空间，因此 UPF 的 UDP/2152 不得绑定通配地址或 127.0.0.4，否则可能截获 SMF 报文。Chart 对相关非法配置有校验。</w:t>
      </w:r>
    </w:p>
    <w:p>
      <w:pPr>
        <w:pStyle w:val="Heading3"/>
      </w:pPr>
      <w:r>
        <w:rPr>
          <w:rFonts w:ascii="Arial" w:hAnsi="Arial" w:eastAsia="Microsoft YaHei"/>
          <w:b w:val="0"/>
          <w:i w:val="0"/>
        </w:rPr>
        <w:t>4.4.2 新建 UDP/TUN 部署</w:t>
      </w:r>
    </w:p>
    <w:p>
      <w:r>
        <w:rPr>
          <w:rFonts w:ascii="Arial" w:hAnsi="Arial" w:eastAsia="Microsoft YaHei"/>
          <w:b w:val="0"/>
          <w:i w:val="0"/>
        </w:rPr>
        <w:t>本节用于已确认无同名 Release 的新环境。已有部署应执行 4.9 的升级流程，避免覆盖原有镜像、地址、密钥和用户面模式。</w:t>
      </w:r>
    </w:p>
    <w:p>
      <w:r>
        <w:rPr>
          <w:rFonts w:ascii="Arial" w:hAnsi="Arial" w:eastAsia="Microsoft YaHei"/>
          <w:b w:val="0"/>
          <w:i w:val="0"/>
        </w:rPr>
        <w:t>准备受控文件 /tmp/xcn-site-tun.yaml，以下内容为配置示例。镜像标签须替换为实际交付标签，WebUI 两项密钥须替换为独立随机值，可用 openssl rand -hex 32 分别生成；文件权限应为 600。</w:t>
      </w:r>
    </w:p>
    <w:p>
      <w:pPr>
        <w:spacing w:line="264" w:lineRule="auto" w:before="80" w:after="160"/>
        <w:ind w:left="85" w:right="57"/>
        <w:shd w:fill="F0F4F8"/>
      </w:pPr>
      <w:r>
        <w:rPr>
          <w:rFonts w:ascii="Consolas" w:hAnsi="Consolas" w:eastAsia="Microsoft YaHei"/>
          <w:color w:val="203B56"/>
          <w:sz w:val="16"/>
        </w:rPr>
        <w:t>fivegc:</w:t>
        <w:br/>
        <w:t xml:space="preserve">  hostNetwork:</w:t>
        <w:br/>
        <w:t xml:space="preserve">    enabled: true</w:t>
        <w:br/>
        <w:t>networking:</w:t>
        <w:br/>
        <w:t xml:space="preserve">  amf:</w:t>
        <w:br/>
        <w:t xml:space="preserve">    ngap:</w:t>
        <w:br/>
        <w:t xml:space="preserve">      serverAddress: 10.2.0.119</w:t>
        <w:br/>
        <w:t xml:space="preserve">  ue:</w:t>
        <w:br/>
        <w:t xml:space="preserve">    ipv4Subnet: 10.45.0.0/16</w:t>
        <w:br/>
        <w:t xml:space="preserve">    ipv4Gateway: 10.45.0.1</w:t>
        <w:br/>
        <w:t xml:space="preserve">  smf:</w:t>
        <w:br/>
        <w:t xml:space="preserve">    ipv4PoolRanges:</w:t>
        <w:br/>
        <w:t xml:space="preserve">      - 10.45.1.2-10.45.255.254</w:t>
        <w:br/>
        <w:t xml:space="preserve">  upf:</w:t>
        <w:br/>
        <w:t xml:space="preserve">    mode: tun</w:t>
        <w:br/>
        <w:t xml:space="preserve">    n3:</w:t>
        <w:br/>
        <w:t xml:space="preserve">      address: 10.2.0.119</w:t>
        <w:br/>
        <w:t>images:</w:t>
        <w:br/>
        <w:t xml:space="preserve">  runtime:</w:t>
        <w:br/>
        <w:t xml:space="preserve">    repository: xcn-runtime</w:t>
        <w:br/>
        <w:t xml:space="preserve">    tag: xcn-20261022</w:t>
        <w:br/>
        <w:t xml:space="preserve">  webui:</w:t>
        <w:br/>
        <w:t xml:space="preserve">    repository: xcn-webui</w:t>
        <w:br/>
        <w:t xml:space="preserve">    tag: xcn-20261022</w:t>
        <w:br/>
        <w:t>webui:</w:t>
        <w:br/>
        <w:t xml:space="preserve">  secretKey: REPLACE_WITH_RANDOM_SECRET_1</w:t>
        <w:br/>
        <w:t xml:space="preserve">  jwtSecretKey: REPLACE_WITH_RANDOM_SECRET_2</w:t>
      </w:r>
    </w:p>
    <w:p>
      <w:r>
        <w:rPr>
          <w:rFonts w:ascii="Arial" w:hAnsi="Arial" w:eastAsia="Microsoft YaHei"/>
          <w:b w:val="0"/>
          <w:i w:val="0"/>
        </w:rPr>
        <w:t>MongoDB 版本、StorageClass、节点选择、归属网私钥及其他项目参数也应在安装前确认。上述两项 Secret 不替代管理员口令修改，也不自动开启数据库鉴权。</w:t>
      </w:r>
    </w:p>
    <w:p>
      <w:pPr>
        <w:spacing w:line="264" w:lineRule="auto" w:before="80" w:after="160"/>
        <w:ind w:left="85" w:right="57"/>
        <w:shd w:fill="F0F4F8"/>
      </w:pPr>
      <w:r>
        <w:rPr>
          <w:rFonts w:ascii="Consolas" w:hAnsi="Consolas" w:eastAsia="Microsoft YaHei"/>
          <w:color w:val="203B56"/>
          <w:sz w:val="16"/>
        </w:rPr>
        <w:t>chmod 600 /tmp/xcn-site-tun.yaml</w:t>
        <w:br/>
        <w:t>helm lint helm/xcn -f /tmp/xcn-site-tun.yaml</w:t>
        <w:br/>
        <w:t>umask 077</w:t>
        <w:br/>
        <w:t>helm template xcn helm/xcn -n xcn \</w:t>
        <w:br/>
        <w:t xml:space="preserve">  -f /tmp/xcn-site-tun.yaml &gt; /tmp/xcn-rendered-tun.yaml</w:t>
        <w:br/>
        <w:t># 审核渲染清单中的地址、镜像、资源、Secret 和暴露端口后安装。</w:t>
        <w:br/>
        <w:t>helm install xcn helm/xcn -n xcn --create-namespace \</w:t>
        <w:br/>
        <w:t xml:space="preserve">  -f /tmp/xcn-site-tun.yaml --wait --timeout 10m</w:t>
      </w:r>
    </w:p>
    <w:p>
      <w:r>
        <w:rPr>
          <w:rFonts w:ascii="Arial" w:hAnsi="Arial" w:eastAsia="Microsoft YaHei"/>
          <w:b w:val="0"/>
          <w:i w:val="0"/>
        </w:rPr>
        <w:t>TUN 启动脚本创建并启用 ogstun，配置 UE 网关、IP 转发及匹配 UE 网段的 IPv4 MASQUERADE／FORWARD 规则。hostNetwork 模式下，这些操作影响宿主网络；业务出口及防火墙应在变更前审核，并在启动后实际检查规则是否生效。</w:t>
      </w:r>
    </w:p>
    <w:p>
      <w:pPr>
        <w:pStyle w:val="Heading3"/>
      </w:pPr>
      <w:r>
        <w:rPr>
          <w:rFonts w:ascii="Arial" w:hAnsi="Arial" w:eastAsia="Microsoft YaHei"/>
          <w:b w:val="0"/>
          <w:i w:val="0"/>
        </w:rPr>
        <w:t>4.4.3 可选 VPP/memif 部署</w:t>
      </w:r>
    </w:p>
    <w:p>
      <w:r>
        <w:rPr>
          <w:rFonts w:ascii="Arial" w:hAnsi="Arial" w:eastAsia="Microsoft YaHei"/>
          <w:b w:val="0"/>
          <w:i w:val="0"/>
        </w:rPr>
        <w:t>先完成 VF、设备插件、CPUSet 分配和大页准备，保留原有受控镜像及密钥文件；不要仅指定 mode 就假定宿主资源已自动准备。Chart 默认 VF 资源名为 intel.com/fabric_network，VPP 请求两个 VF 和 8 GiB 的 1 GiB 大页，需与平台实际资源匹配。</w:t>
      </w:r>
    </w:p>
    <w:p>
      <w:r>
        <w:rPr>
          <w:rFonts w:ascii="Arial" w:hAnsi="Arial" w:eastAsia="Microsoft YaHei"/>
          <w:b w:val="0"/>
          <w:i w:val="0"/>
        </w:rPr>
        <w:t>加速模式还依赖平台预装的 CPUSet 准入与分配组件。当前 Chart 为 Pod 设置 xnet.com/cpuset-required 标签并读取 xnet.com/used-core 分配注解，本身不安装该分配组件；默认启动保护会核对 upf、vpp、smf 的 CPU 分配信息。组件或注解缺失时可能触发 Pod 重建或启动失败，应先修复平台分配条件，不能把关闭保护当作通用安装步骤。</w:t>
      </w:r>
    </w:p>
    <w:p>
      <w:r>
        <w:rPr>
          <w:rFonts w:ascii="Arial" w:hAnsi="Arial" w:eastAsia="Microsoft YaHei"/>
          <w:b w:val="0"/>
          <w:i w:val="0"/>
        </w:rPr>
        <w:t>加速覆盖文件 /tmp/xcn-site-memif.yaml 示例：</w:t>
      </w:r>
    </w:p>
    <w:p>
      <w:pPr>
        <w:spacing w:line="264" w:lineRule="auto" w:before="80" w:after="160"/>
        <w:ind w:left="85" w:right="57"/>
        <w:shd w:fill="F0F4F8"/>
      </w:pPr>
      <w:r>
        <w:rPr>
          <w:rFonts w:ascii="Consolas" w:hAnsi="Consolas" w:eastAsia="Microsoft YaHei"/>
          <w:color w:val="203B56"/>
          <w:sz w:val="16"/>
        </w:rPr>
        <w:t>networking:</w:t>
        <w:br/>
        <w:t xml:space="preserve">  upf:</w:t>
        <w:br/>
        <w:t xml:space="preserve">    mode: memif</w:t>
        <w:br/>
        <w:t xml:space="preserve">    n3:</w:t>
        <w:br/>
        <w:t xml:space="preserve">      address: 10.2.0.230</w:t>
        <w:br/>
        <w:t>vpp:</w:t>
        <w:br/>
        <w:t xml:space="preserve">  n3:</w:t>
        <w:br/>
        <w:t xml:space="preserve">    interfaceAddress: 10.2.0.231/20</w:t>
        <w:br/>
        <w:t xml:space="preserve">    defaultGateway: 10.2.7.254</w:t>
        <w:br/>
        <w:t xml:space="preserve">  n6:</w:t>
        <w:br/>
        <w:t xml:space="preserve">    externalAddress: 10.2.0.232/20</w:t>
        <w:br/>
        <w:t xml:space="preserve">    defaultGateway: 10.2.7.254</w:t>
      </w:r>
    </w:p>
    <w:p>
      <w:r>
        <w:rPr>
          <w:rFonts w:ascii="Arial" w:hAnsi="Arial" w:eastAsia="Microsoft YaHei"/>
          <w:b w:val="0"/>
          <w:i w:val="0"/>
        </w:rPr>
        <w:t>示例下一跳仅适用于对应示例网段。继承基础文件的公共参数，先检查最终清单，再在新环境安装；后面的文件覆盖前面的同名值：</w:t>
      </w:r>
    </w:p>
    <w:p>
      <w:pPr>
        <w:spacing w:line="264" w:lineRule="auto" w:before="80" w:after="160"/>
        <w:ind w:left="85" w:right="57"/>
        <w:shd w:fill="F0F4F8"/>
      </w:pPr>
      <w:r>
        <w:rPr>
          <w:rFonts w:ascii="Consolas" w:hAnsi="Consolas" w:eastAsia="Microsoft YaHei"/>
          <w:color w:val="203B56"/>
          <w:sz w:val="16"/>
        </w:rPr>
        <w:t>helm lint helm/xcn -f /tmp/xcn-site-tun.yaml \</w:t>
        <w:br/>
        <w:t xml:space="preserve">  -f /tmp/xcn-site-memif.yaml</w:t>
        <w:br/>
        <w:t>umask 077</w:t>
        <w:br/>
        <w:t>helm template xcn helm/xcn -n xcn \</w:t>
        <w:br/>
        <w:t xml:space="preserve">  -f /tmp/xcn-site-tun.yaml -f /tmp/xcn-site-memif.yaml \</w:t>
        <w:br/>
        <w:t xml:space="preserve">  &gt; /tmp/xcn-rendered-memif.yaml</w:t>
        <w:br/>
        <w:t>helm install xcn helm/xcn -n xcn --create-namespace \</w:t>
        <w:br/>
        <w:t xml:space="preserve">  -f /tmp/xcn-site-tun.yaml -f /tmp/xcn-site-memif.yaml \</w:t>
        <w:br/>
        <w:t xml:space="preserve">  --wait --timeout 10m</w:t>
      </w:r>
    </w:p>
    <w:p>
      <w:r>
        <w:rPr>
          <w:rFonts w:ascii="Arial" w:hAnsi="Arial" w:eastAsia="Microsoft YaHei"/>
          <w:b w:val="0"/>
          <w:i w:val="0"/>
        </w:rPr>
        <w:t>memif 模式下，N3 流量应经过专用 VF／VPP 路径，不能仍按 TUN 的宿主 UDP 监听判断是否正常。hostNetwork 下兼容 GTP socket 的绑定地址由 Chart 处理；应同时验证 VPP 接口、FIB、邻居、memif 连接以及上下行真实业务。切换前还应检查旧模式遗留的主机 N3 地址、路由与 NAT，按确认的影响范围处理。</w:t>
      </w:r>
    </w:p>
    <w:p>
      <w:pPr>
        <w:pStyle w:val="Heading2"/>
      </w:pPr>
      <w:r>
        <w:rPr>
          <w:rFonts w:ascii="Arial" w:hAnsi="Arial" w:eastAsia="Microsoft YaHei"/>
          <w:b w:val="0"/>
          <w:i w:val="0"/>
        </w:rPr>
        <w:t>4.5 首次启动与健康检查</w:t>
      </w:r>
    </w:p>
    <w:p>
      <w:r>
        <w:rPr>
          <w:rFonts w:ascii="Arial" w:hAnsi="Arial" w:eastAsia="Microsoft YaHei"/>
          <w:b w:val="0"/>
          <w:i w:val="0"/>
        </w:rPr>
        <w:t>Kubernetes 按探针和依赖等待条件拉起网元，并非按 YAML 中列出的顺序保证业务启动。确认 MongoDB、NRF／SCP、5GC、WebUI 及外部传输条件均可用，再开通基站和终端。</w:t>
      </w:r>
    </w:p>
    <w:p>
      <w:pPr>
        <w:spacing w:line="264" w:lineRule="auto" w:before="80" w:after="160"/>
        <w:ind w:left="85" w:right="57"/>
        <w:shd w:fill="F0F4F8"/>
      </w:pPr>
      <w:r>
        <w:rPr>
          <w:rFonts w:ascii="Consolas" w:hAnsi="Consolas" w:eastAsia="Microsoft YaHei"/>
          <w:color w:val="203B56"/>
          <w:sz w:val="16"/>
        </w:rPr>
        <w:t>kubectl -n xcn get pods -o wide</w:t>
        <w:br/>
        <w:t>kubectl -n xcn get deployments,statefulsets</w:t>
        <w:br/>
        <w:t>kubectl -n xcn get svc,pvc</w:t>
        <w:br/>
        <w:t>kubectl -n xcn rollout status deploy/xcn-core --timeout=600s</w:t>
        <w:br/>
        <w:t>kubectl -n xcn rollout status deploy/xcn-5gc --timeout=600s</w:t>
        <w:br/>
        <w:t>kubectl -n xcn rollout status deploy/xcn-webui --timeout=600s</w:t>
        <w:br/>
        <w:t>kubectl -n xcn get events --sort-by=.metadata.creationTimestamp</w:t>
      </w:r>
    </w:p>
    <w:p>
      <w:r>
        <w:rPr>
          <w:rFonts w:ascii="Arial" w:hAnsi="Arial" w:eastAsia="Microsoft YaHei"/>
          <w:b w:val="0"/>
          <w:i w:val="0"/>
        </w:rPr>
        <w:t>TUN 模式的 xcn-5gc 应有 8 个业务容器就绪，memif 模式应有 9 个；xcn-core 为 2 个，WebUI 和 MongoDB 各 1 个。实际就绪分母以当前清单为准，初始化过程另有临时容器。探针主要检测端口可用，仍应验证网元服务发现、N4 关联及业务链路。</w:t>
      </w:r>
    </w:p>
    <w:p>
      <w:r>
        <w:rPr>
          <w:rFonts w:ascii="Arial" w:hAnsi="Arial" w:eastAsia="Microsoft YaHei"/>
          <w:b w:val="0"/>
          <w:i w:val="0"/>
        </w:rPr>
        <w:t>检查各网元日志；部分详细日志位于共享日志目录，kubectl logs 不能保证包含所有内容：</w:t>
      </w:r>
    </w:p>
    <w:p>
      <w:pPr>
        <w:spacing w:line="264" w:lineRule="auto" w:before="80" w:after="160"/>
        <w:ind w:left="85" w:right="57"/>
        <w:shd w:fill="F0F4F8"/>
      </w:pPr>
      <w:r>
        <w:rPr>
          <w:rFonts w:ascii="Consolas" w:hAnsi="Consolas" w:eastAsia="Microsoft YaHei"/>
          <w:color w:val="203B56"/>
          <w:sz w:val="16"/>
        </w:rPr>
        <w:t>kubectl -n xcn logs deploy/xcn-5gc -c amf --tail=100</w:t>
        <w:br/>
        <w:t>kubectl -n xcn logs deploy/xcn-5gc -c smf --tail=100</w:t>
        <w:br/>
        <w:t>kubectl -n xcn logs deploy/xcn-5gc -c upf --tail=100</w:t>
        <w:br/>
        <w:t>kubectl -n xcn exec deploy/xcn-5gc -c upf -- \</w:t>
        <w:br/>
        <w:t xml:space="preserve">  tail -n 100 /var/log/open5gs/amf.log</w:t>
      </w:r>
    </w:p>
    <w:p>
      <w:r>
        <w:rPr>
          <w:rFonts w:ascii="Arial" w:hAnsi="Arial" w:eastAsia="Microsoft YaHei"/>
          <w:b w:val="0"/>
          <w:i w:val="0"/>
        </w:rPr>
        <w:t>TUN 专项检查：</w:t>
      </w:r>
    </w:p>
    <w:p>
      <w:pPr>
        <w:spacing w:line="264" w:lineRule="auto" w:before="80" w:after="160"/>
        <w:ind w:left="85" w:right="57"/>
        <w:shd w:fill="F0F4F8"/>
      </w:pPr>
      <w:r>
        <w:rPr>
          <w:rFonts w:ascii="Consolas" w:hAnsi="Consolas" w:eastAsia="Microsoft YaHei"/>
          <w:color w:val="203B56"/>
          <w:sz w:val="16"/>
        </w:rPr>
        <w:t>kubectl -n xcn exec deploy/xcn-5gc -c upf -- ip -d addr show ogstun</w:t>
        <w:br/>
        <w:t>kubectl -n xcn exec deploy/xcn-5gc -c upf -- ip route</w:t>
        <w:br/>
        <w:t>kubectl -n xcn exec deploy/xcn-5gc -c upf -- ss -lunp</w:t>
        <w:br/>
        <w:t>kubectl -n xcn exec deploy/xcn-5gc -c upf -- \</w:t>
        <w:br/>
        <w:t xml:space="preserve">  iptables -t nat -S POSTROUTING</w:t>
      </w:r>
    </w:p>
    <w:p>
      <w:r>
        <w:rPr>
          <w:rFonts w:ascii="Arial" w:hAnsi="Arial" w:eastAsia="Microsoft YaHei"/>
          <w:b w:val="0"/>
          <w:i w:val="0"/>
        </w:rPr>
        <w:t>memif 专项检查：</w:t>
      </w:r>
    </w:p>
    <w:p>
      <w:pPr>
        <w:spacing w:line="264" w:lineRule="auto" w:before="80" w:after="160"/>
        <w:ind w:left="85" w:right="57"/>
        <w:shd w:fill="F0F4F8"/>
      </w:pPr>
      <w:r>
        <w:rPr>
          <w:rFonts w:ascii="Consolas" w:hAnsi="Consolas" w:eastAsia="Microsoft YaHei"/>
          <w:color w:val="203B56"/>
          <w:sz w:val="16"/>
        </w:rPr>
        <w:t>kubectl -n xcn exec deploy/xcn-5gc -c vpp -- vppctl show interface</w:t>
        <w:br/>
        <w:t>kubectl -n xcn exec deploy/xcn-5gc -c vpp -- vppctl show memif</w:t>
        <w:br/>
        <w:t>kubectl -n xcn exec deploy/xcn-5gc -c vpp -- vppctl show ip fib</w:t>
        <w:br/>
        <w:t>kubectl -n xcn exec deploy/xcn-5gc -c vpp -- vppctl show ip neighbors</w:t>
        <w:br/>
        <w:t>kubectl -n xcn exec deploy/xcn-5gc -c vpp -- vppctl show errors</w:t>
      </w:r>
    </w:p>
    <w:p>
      <w:pPr>
        <w:pStyle w:val="Heading2"/>
      </w:pPr>
      <w:r>
        <w:rPr>
          <w:rFonts w:ascii="Arial" w:hAnsi="Arial" w:eastAsia="Microsoft YaHei"/>
          <w:b w:val="0"/>
          <w:i w:val="0"/>
        </w:rPr>
        <w:t>4.6 订阅、基站与终端开通</w:t>
      </w:r>
    </w:p>
    <w:p>
      <w:r>
        <w:rPr>
          <w:rFonts w:ascii="Arial" w:hAnsi="Arial" w:eastAsia="Microsoft YaHei"/>
          <w:b w:val="0"/>
          <w:i w:val="0"/>
        </w:rPr>
        <w:t>在授权管理网访问 http://管理节点地址:9999，或使用以下仅本机可访问的临时转发，再打开 http://127.0.0.1:9999：</w:t>
      </w:r>
    </w:p>
    <w:p>
      <w:pPr>
        <w:spacing w:line="264" w:lineRule="auto" w:before="80" w:after="160"/>
        <w:ind w:left="85" w:right="57"/>
        <w:shd w:fill="F0F4F8"/>
      </w:pPr>
      <w:r>
        <w:rPr>
          <w:rFonts w:ascii="Consolas" w:hAnsi="Consolas" w:eastAsia="Microsoft YaHei"/>
          <w:color w:val="203B56"/>
          <w:sz w:val="16"/>
        </w:rPr>
        <w:t>kubectl -n xcn port-forward svc/xcn-webui 9999:9999 \</w:t>
        <w:br/>
        <w:t xml:space="preserve">  --address 127.0.0.1</w:t>
      </w:r>
    </w:p>
    <w:p>
      <w:pPr>
        <w:pStyle w:val="ListNumber"/>
        <w:numPr>
          <w:ilvl w:val="0"/>
          <w:numId w:val="18"/>
        </w:numPr>
      </w:pPr>
      <w:r>
        <w:rPr>
          <w:rFonts w:ascii="Arial" w:hAnsi="Arial" w:eastAsia="Microsoft YaHei"/>
          <w:b w:val="0"/>
          <w:i w:val="0"/>
        </w:rPr>
        <w:t>用受控交付的初始管理凭据登录，并完成口令修改；本说明书不携带实际口令。</w:t>
      </w:r>
    </w:p>
    <w:p>
      <w:pPr>
        <w:pStyle w:val="ListNumber"/>
        <w:numPr>
          <w:ilvl w:val="0"/>
          <w:numId w:val="18"/>
        </w:numPr>
      </w:pPr>
      <w:r>
        <w:rPr>
          <w:rFonts w:ascii="Arial" w:hAnsi="Arial" w:eastAsia="Microsoft YaHei"/>
          <w:b w:val="0"/>
          <w:i w:val="0"/>
        </w:rPr>
        <w:t>在订阅管理中录入与 SIM 对应的 IMSI／鉴权资料及所需订阅参数；确认 OP 与 OPc 的类型和数据一致，不在日志或标书中复制密钥。</w:t>
      </w:r>
    </w:p>
    <w:p>
      <w:pPr>
        <w:pStyle w:val="ListNumber"/>
        <w:numPr>
          <w:ilvl w:val="0"/>
          <w:numId w:val="18"/>
        </w:numPr>
      </w:pPr>
      <w:r>
        <w:rPr>
          <w:rFonts w:ascii="Arial" w:hAnsi="Arial" w:eastAsia="Microsoft YaHei"/>
          <w:b w:val="0"/>
          <w:i w:val="0"/>
        </w:rPr>
        <w:t>配置 SST／SD、DNN、会话类型和 QoS。静态 IPv4 必须属于 UE 子网，不能与网关、其他静态订阅及动态池重叠。</w:t>
      </w:r>
    </w:p>
    <w:p>
      <w:pPr>
        <w:pStyle w:val="ListNumber"/>
        <w:numPr>
          <w:ilvl w:val="0"/>
          <w:numId w:val="18"/>
        </w:numPr>
      </w:pPr>
      <w:r>
        <w:rPr>
          <w:rFonts w:ascii="Arial" w:hAnsi="Arial" w:eastAsia="Microsoft YaHei"/>
          <w:b w:val="0"/>
          <w:i w:val="0"/>
        </w:rPr>
        <w:t>如需 UE 后方网段，在对应 Session 的 IPv4 Framed Routes 中配置 CIDR。当前每个 Session 最多 8 条；页面保存不自动安装 Linux／VPP／DN 路由。</w:t>
      </w:r>
    </w:p>
    <w:p>
      <w:pPr>
        <w:pStyle w:val="ListNumber"/>
        <w:numPr>
          <w:ilvl w:val="0"/>
          <w:numId w:val="18"/>
        </w:numPr>
      </w:pPr>
      <w:r>
        <w:rPr>
          <w:rFonts w:ascii="Arial" w:hAnsi="Arial" w:eastAsia="Microsoft YaHei"/>
          <w:b w:val="0"/>
          <w:i w:val="0"/>
        </w:rPr>
        <w:t>在 gNB 配置 AMF N2 地址／端口、N3 地址、PLMN、TAC、切片；在 UE 配置匹配的身份、DNN 与切片。确认基站先完成 NG Setup，再验证终端注册和会话。</w:t>
      </w:r>
    </w:p>
    <w:p>
      <w:pPr>
        <w:pStyle w:val="ListNumber"/>
        <w:numPr>
          <w:ilvl w:val="0"/>
          <w:numId w:val="18"/>
        </w:numPr>
      </w:pPr>
      <w:r>
        <w:rPr>
          <w:rFonts w:ascii="Arial" w:hAnsi="Arial" w:eastAsia="Microsoft YaHei"/>
          <w:b w:val="0"/>
          <w:i w:val="0"/>
        </w:rPr>
        <w:t>修改会话相关订阅后，按维护计划让终端重新建立会话，并验证双向业务。</w:t>
      </w:r>
    </w:p>
    <w:p>
      <w:r>
        <w:rPr>
          <w:rFonts w:ascii="Arial" w:hAnsi="Arial" w:eastAsia="Microsoft YaHei"/>
          <w:b w:val="0"/>
          <w:i w:val="0"/>
        </w:rPr>
        <w:t>如交付同时包含本工作区 OAI Chart，可参考以下既有工程路径；命名空间、镜像和无线参数仍按 OAI 实际 Chart 确认：</w:t>
      </w:r>
    </w:p>
    <w:p>
      <w:pPr>
        <w:spacing w:line="264" w:lineRule="auto" w:before="80" w:after="160"/>
        <w:ind w:left="85" w:right="57"/>
        <w:shd w:fill="F0F4F8"/>
      </w:pPr>
      <w:r>
        <w:rPr>
          <w:rFonts w:ascii="Consolas" w:hAnsi="Consolas" w:eastAsia="Microsoft YaHei"/>
          <w:color w:val="203B56"/>
          <w:sz w:val="16"/>
        </w:rPr>
        <w:t>helm install gnb /home/xiazhangtao/code/openairinterface5g/charts/oai-gnb \</w:t>
        <w:br/>
        <w:t xml:space="preserve">  -n default --set amf.ip=10.2.0.119</w:t>
        <w:br/>
        <w:t>helm install nrue /home/xiazhangtao/code/openairinterface5g/charts/oai-nr-ue \</w:t>
        <w:br/>
        <w:t xml:space="preserve">  -n default</w:t>
      </w:r>
    </w:p>
    <w:p>
      <w:r>
        <w:rPr>
          <w:rFonts w:ascii="Arial" w:hAnsi="Arial" w:eastAsia="Microsoft YaHei"/>
          <w:b w:val="0"/>
          <w:i w:val="0"/>
        </w:rPr>
        <w:t>此示例为可选联调步骤，不代表 gNB、UE 或射频设备包含在 XCN 默认软件供货范围中。</w:t>
      </w:r>
    </w:p>
    <w:p>
      <w:pPr>
        <w:pStyle w:val="Heading2"/>
      </w:pPr>
      <w:r>
        <w:rPr>
          <w:rFonts w:ascii="Arial" w:hAnsi="Arial" w:eastAsia="Microsoft YaHei"/>
          <w:b w:val="0"/>
          <w:i w:val="0"/>
        </w:rPr>
        <w:t>4.7 开通验收</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编号</w:t>
            </w:r>
          </w:p>
        </w:tc>
        <w:tc>
          <w:tcPr>
            <w:tcW w:type="dxa" w:w="3143"/>
            <w:vAlign w:val="center"/>
            <w:shd w:fill="214D72"/>
          </w:tcPr>
          <w:p>
            <w:pPr>
              <w:spacing w:line="288" w:lineRule="auto" w:before="60" w:after="60"/>
            </w:pPr>
            <w:r>
              <w:rPr>
                <w:rFonts w:ascii="Arial" w:hAnsi="Arial" w:eastAsia="Microsoft YaHei"/>
                <w:b/>
                <w:i w:val="0"/>
                <w:color w:val="FFFFFF"/>
                <w:sz w:val="18"/>
              </w:rPr>
              <w:t>验收项目</w:t>
            </w:r>
          </w:p>
        </w:tc>
        <w:tc>
          <w:tcPr>
            <w:tcW w:type="dxa" w:w="4191"/>
            <w:vAlign w:val="center"/>
            <w:shd w:fill="214D72"/>
          </w:tcPr>
          <w:p>
            <w:pPr>
              <w:spacing w:line="288" w:lineRule="auto" w:before="60" w:after="60"/>
            </w:pPr>
            <w:r>
              <w:rPr>
                <w:rFonts w:ascii="Arial" w:hAnsi="Arial" w:eastAsia="Microsoft YaHei"/>
                <w:b/>
                <w:i w:val="0"/>
                <w:color w:val="FFFFFF"/>
                <w:sz w:val="18"/>
              </w:rPr>
              <w:t>检查方法与合格判据</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A01</w:t>
            </w:r>
          </w:p>
        </w:tc>
        <w:tc>
          <w:tcPr>
            <w:tcW w:type="dxa" w:w="3143"/>
            <w:vAlign w:val="center"/>
          </w:tcPr>
          <w:p>
            <w:pPr>
              <w:spacing w:line="288" w:lineRule="auto" w:before="60" w:after="60"/>
            </w:pPr>
            <w:r>
              <w:rPr>
                <w:rFonts w:ascii="Arial" w:hAnsi="Arial" w:eastAsia="Microsoft YaHei"/>
                <w:b w:val="0"/>
                <w:i w:val="0"/>
                <w:color w:val="24384C"/>
                <w:sz w:val="18"/>
              </w:rPr>
              <w:t>平台与存储</w:t>
            </w:r>
          </w:p>
        </w:tc>
        <w:tc>
          <w:tcPr>
            <w:tcW w:type="dxa" w:w="4191"/>
            <w:vAlign w:val="center"/>
          </w:tcPr>
          <w:p>
            <w:pPr>
              <w:spacing w:line="288" w:lineRule="auto" w:before="60" w:after="60"/>
            </w:pPr>
            <w:r>
              <w:rPr>
                <w:rFonts w:ascii="Arial" w:hAnsi="Arial" w:eastAsia="Microsoft YaHei"/>
                <w:b w:val="0"/>
                <w:i w:val="0"/>
                <w:color w:val="24384C"/>
                <w:sz w:val="18"/>
              </w:rPr>
              <w:t>节点 Ready；工作负载就绪；PVC Bound；无未处理调度／存储错误</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A02</w:t>
            </w:r>
          </w:p>
        </w:tc>
        <w:tc>
          <w:tcPr>
            <w:tcW w:type="dxa" w:w="3143"/>
            <w:vAlign w:val="center"/>
            <w:shd w:fill="F4F7FA"/>
          </w:tcPr>
          <w:p>
            <w:pPr>
              <w:spacing w:line="288" w:lineRule="auto" w:before="60" w:after="60"/>
            </w:pPr>
            <w:r>
              <w:rPr>
                <w:rFonts w:ascii="Arial" w:hAnsi="Arial" w:eastAsia="Microsoft YaHei"/>
                <w:b w:val="0"/>
                <w:i w:val="0"/>
                <w:color w:val="24384C"/>
                <w:sz w:val="18"/>
              </w:rPr>
              <w:t>网元与接口</w:t>
            </w:r>
          </w:p>
        </w:tc>
        <w:tc>
          <w:tcPr>
            <w:tcW w:type="dxa" w:w="4191"/>
            <w:vAlign w:val="center"/>
            <w:shd w:fill="F4F7FA"/>
          </w:tcPr>
          <w:p>
            <w:pPr>
              <w:spacing w:line="288" w:lineRule="auto" w:before="60" w:after="60"/>
            </w:pPr>
            <w:r>
              <w:rPr>
                <w:rFonts w:ascii="Arial" w:hAnsi="Arial" w:eastAsia="Microsoft YaHei"/>
                <w:b w:val="0"/>
                <w:i w:val="0"/>
                <w:color w:val="24384C"/>
                <w:sz w:val="18"/>
              </w:rPr>
              <w:t>服务发现和 N4 关联正常；模式、地址、路由、接口状态与批准配置一致</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A03</w:t>
            </w:r>
          </w:p>
        </w:tc>
        <w:tc>
          <w:tcPr>
            <w:tcW w:type="dxa" w:w="3143"/>
            <w:vAlign w:val="center"/>
          </w:tcPr>
          <w:p>
            <w:pPr>
              <w:spacing w:line="288" w:lineRule="auto" w:before="60" w:after="60"/>
            </w:pPr>
            <w:r>
              <w:rPr>
                <w:rFonts w:ascii="Arial" w:hAnsi="Arial" w:eastAsia="Microsoft YaHei"/>
                <w:b w:val="0"/>
                <w:i w:val="0"/>
                <w:color w:val="24384C"/>
                <w:sz w:val="18"/>
              </w:rPr>
              <w:t>基站接入</w:t>
            </w:r>
          </w:p>
        </w:tc>
        <w:tc>
          <w:tcPr>
            <w:tcW w:type="dxa" w:w="4191"/>
            <w:vAlign w:val="center"/>
          </w:tcPr>
          <w:p>
            <w:pPr>
              <w:spacing w:line="288" w:lineRule="auto" w:before="60" w:after="60"/>
            </w:pPr>
            <w:r>
              <w:rPr>
                <w:rFonts w:ascii="Arial" w:hAnsi="Arial" w:eastAsia="Microsoft YaHei"/>
                <w:b w:val="0"/>
                <w:i w:val="0"/>
                <w:color w:val="24384C"/>
                <w:sz w:val="18"/>
              </w:rPr>
              <w:t>xcnctl show gnb 显示预期基站，NG Setup 成功，PLMN／TA／切片匹配</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A04</w:t>
            </w:r>
          </w:p>
        </w:tc>
        <w:tc>
          <w:tcPr>
            <w:tcW w:type="dxa" w:w="3143"/>
            <w:vAlign w:val="center"/>
            <w:shd w:fill="F4F7FA"/>
          </w:tcPr>
          <w:p>
            <w:pPr>
              <w:spacing w:line="288" w:lineRule="auto" w:before="60" w:after="60"/>
            </w:pPr>
            <w:r>
              <w:rPr>
                <w:rFonts w:ascii="Arial" w:hAnsi="Arial" w:eastAsia="Microsoft YaHei"/>
                <w:b w:val="0"/>
                <w:i w:val="0"/>
                <w:color w:val="24384C"/>
                <w:sz w:val="18"/>
              </w:rPr>
              <w:t>用户注册</w:t>
            </w:r>
          </w:p>
        </w:tc>
        <w:tc>
          <w:tcPr>
            <w:tcW w:type="dxa" w:w="4191"/>
            <w:vAlign w:val="center"/>
            <w:shd w:fill="F4F7FA"/>
          </w:tcPr>
          <w:p>
            <w:pPr>
              <w:spacing w:line="288" w:lineRule="auto" w:before="60" w:after="60"/>
            </w:pPr>
            <w:r>
              <w:rPr>
                <w:rFonts w:ascii="Arial" w:hAnsi="Arial" w:eastAsia="Microsoft YaHei"/>
                <w:b w:val="0"/>
                <w:i w:val="0"/>
                <w:color w:val="24384C"/>
                <w:sz w:val="18"/>
              </w:rPr>
              <w:t>xcnctl show ue --detail 可定位测试用户，安全上下文、位置及 CM 状态符合当前操作</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A05</w:t>
            </w:r>
          </w:p>
        </w:tc>
        <w:tc>
          <w:tcPr>
            <w:tcW w:type="dxa" w:w="3143"/>
            <w:vAlign w:val="center"/>
          </w:tcPr>
          <w:p>
            <w:pPr>
              <w:spacing w:line="288" w:lineRule="auto" w:before="60" w:after="60"/>
            </w:pPr>
            <w:r>
              <w:rPr>
                <w:rFonts w:ascii="Arial" w:hAnsi="Arial" w:eastAsia="Microsoft YaHei"/>
                <w:b w:val="0"/>
                <w:i w:val="0"/>
                <w:color w:val="24384C"/>
                <w:sz w:val="18"/>
              </w:rPr>
              <w:t>PDU 会话</w:t>
            </w:r>
          </w:p>
        </w:tc>
        <w:tc>
          <w:tcPr>
            <w:tcW w:type="dxa" w:w="4191"/>
            <w:vAlign w:val="center"/>
          </w:tcPr>
          <w:p>
            <w:pPr>
              <w:spacing w:line="288" w:lineRule="auto" w:before="60" w:after="60"/>
            </w:pPr>
            <w:r>
              <w:rPr>
                <w:rFonts w:ascii="Arial" w:hAnsi="Arial" w:eastAsia="Microsoft YaHei"/>
                <w:b w:val="0"/>
                <w:i w:val="0"/>
                <w:color w:val="24384C"/>
                <w:sz w:val="18"/>
              </w:rPr>
              <w:t>DNN、PSI、UE IP、UPF-SEID、QFI／5QI 及 N3 端点与规划一致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A06</w:t>
            </w:r>
          </w:p>
        </w:tc>
        <w:tc>
          <w:tcPr>
            <w:tcW w:type="dxa" w:w="3143"/>
            <w:vAlign w:val="center"/>
            <w:shd w:fill="F4F7FA"/>
          </w:tcPr>
          <w:p>
            <w:pPr>
              <w:spacing w:line="288" w:lineRule="auto" w:before="60" w:after="60"/>
            </w:pPr>
            <w:r>
              <w:rPr>
                <w:rFonts w:ascii="Arial" w:hAnsi="Arial" w:eastAsia="Microsoft YaHei"/>
                <w:b w:val="0"/>
                <w:i w:val="0"/>
                <w:color w:val="24384C"/>
                <w:sz w:val="18"/>
              </w:rPr>
              <w:t>双向数据</w:t>
            </w:r>
          </w:p>
        </w:tc>
        <w:tc>
          <w:tcPr>
            <w:tcW w:type="dxa" w:w="4191"/>
            <w:vAlign w:val="center"/>
            <w:shd w:fill="F4F7FA"/>
          </w:tcPr>
          <w:p>
            <w:pPr>
              <w:spacing w:line="288" w:lineRule="auto" w:before="60" w:after="60"/>
            </w:pPr>
            <w:r>
              <w:rPr>
                <w:rFonts w:ascii="Arial" w:hAnsi="Arial" w:eastAsia="Microsoft YaHei"/>
                <w:b w:val="0"/>
                <w:i w:val="0"/>
                <w:color w:val="24384C"/>
                <w:sz w:val="18"/>
              </w:rPr>
              <w:t>从 UE 业务接口访问指定内网 DN，并按需要测试反向访问；同时检查返回路径，不只 ping 公共 DNS</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A07</w:t>
            </w:r>
          </w:p>
        </w:tc>
        <w:tc>
          <w:tcPr>
            <w:tcW w:type="dxa" w:w="3143"/>
            <w:vAlign w:val="center"/>
          </w:tcPr>
          <w:p>
            <w:pPr>
              <w:spacing w:line="288" w:lineRule="auto" w:before="60" w:after="60"/>
            </w:pPr>
            <w:r>
              <w:rPr>
                <w:rFonts w:ascii="Arial" w:hAnsi="Arial" w:eastAsia="Microsoft YaHei"/>
                <w:b w:val="0"/>
                <w:i w:val="0"/>
                <w:color w:val="24384C"/>
                <w:sz w:val="18"/>
              </w:rPr>
              <w:t>QoS／后路由，可选</w:t>
            </w:r>
          </w:p>
        </w:tc>
        <w:tc>
          <w:tcPr>
            <w:tcW w:type="dxa" w:w="4191"/>
            <w:vAlign w:val="center"/>
          </w:tcPr>
          <w:p>
            <w:pPr>
              <w:spacing w:line="288" w:lineRule="auto" w:before="60" w:after="60"/>
            </w:pPr>
            <w:r>
              <w:rPr>
                <w:rFonts w:ascii="Arial" w:hAnsi="Arial" w:eastAsia="Microsoft YaHei"/>
                <w:b w:val="0"/>
                <w:i w:val="0"/>
                <w:color w:val="24384C"/>
                <w:sz w:val="18"/>
              </w:rPr>
              <w:t>用对应业务流验证实际命中、隔离、双向路由及 NAT 行为；保存配置和抓包证据</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A08</w:t>
            </w:r>
          </w:p>
        </w:tc>
        <w:tc>
          <w:tcPr>
            <w:tcW w:type="dxa" w:w="3143"/>
            <w:vAlign w:val="center"/>
            <w:shd w:fill="F4F7FA"/>
          </w:tcPr>
          <w:p>
            <w:pPr>
              <w:spacing w:line="288" w:lineRule="auto" w:before="60" w:after="60"/>
            </w:pPr>
            <w:r>
              <w:rPr>
                <w:rFonts w:ascii="Arial" w:hAnsi="Arial" w:eastAsia="Microsoft YaHei"/>
                <w:b w:val="0"/>
                <w:i w:val="0"/>
                <w:color w:val="24384C"/>
                <w:sz w:val="18"/>
              </w:rPr>
              <w:t>性能</w:t>
            </w:r>
          </w:p>
        </w:tc>
        <w:tc>
          <w:tcPr>
            <w:tcW w:type="dxa" w:w="4191"/>
            <w:vAlign w:val="center"/>
            <w:shd w:fill="F4F7FA"/>
          </w:tcPr>
          <w:p>
            <w:pPr>
              <w:spacing w:line="288" w:lineRule="auto" w:before="60" w:after="60"/>
            </w:pPr>
            <w:r>
              <w:rPr>
                <w:rFonts w:ascii="Arial" w:hAnsi="Arial" w:eastAsia="Microsoft YaHei"/>
                <w:b w:val="0"/>
                <w:i w:val="0"/>
                <w:color w:val="24384C"/>
                <w:sz w:val="18"/>
              </w:rPr>
              <w:t>按双方确认的硬件、负载模型和数值门限测试；填写原始结果与报告编号</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A09</w:t>
            </w:r>
          </w:p>
        </w:tc>
        <w:tc>
          <w:tcPr>
            <w:tcW w:type="dxa" w:w="3143"/>
            <w:vAlign w:val="center"/>
          </w:tcPr>
          <w:p>
            <w:pPr>
              <w:spacing w:line="288" w:lineRule="auto" w:before="60" w:after="60"/>
            </w:pPr>
            <w:r>
              <w:rPr>
                <w:rFonts w:ascii="Arial" w:hAnsi="Arial" w:eastAsia="Microsoft YaHei"/>
                <w:b w:val="0"/>
                <w:i w:val="0"/>
                <w:color w:val="24384C"/>
                <w:sz w:val="18"/>
              </w:rPr>
              <w:t>恢复能力</w:t>
            </w:r>
          </w:p>
        </w:tc>
        <w:tc>
          <w:tcPr>
            <w:tcW w:type="dxa" w:w="4191"/>
            <w:vAlign w:val="center"/>
          </w:tcPr>
          <w:p>
            <w:pPr>
              <w:spacing w:line="288" w:lineRule="auto" w:before="60" w:after="60"/>
            </w:pPr>
            <w:r>
              <w:rPr>
                <w:rFonts w:ascii="Arial" w:hAnsi="Arial" w:eastAsia="Microsoft YaHei"/>
                <w:b w:val="0"/>
                <w:i w:val="0"/>
                <w:color w:val="24384C"/>
                <w:sz w:val="18"/>
              </w:rPr>
              <w:t>在隔离或批准的维护条件下验证重启、回滚和备份恢复；记录终端重接入及实际恢复时间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A10</w:t>
            </w:r>
          </w:p>
        </w:tc>
        <w:tc>
          <w:tcPr>
            <w:tcW w:type="dxa" w:w="3143"/>
            <w:vAlign w:val="center"/>
            <w:shd w:fill="F4F7FA"/>
          </w:tcPr>
          <w:p>
            <w:pPr>
              <w:spacing w:line="288" w:lineRule="auto" w:before="60" w:after="60"/>
            </w:pPr>
            <w:r>
              <w:rPr>
                <w:rFonts w:ascii="Arial" w:hAnsi="Arial" w:eastAsia="Microsoft YaHei"/>
                <w:b w:val="0"/>
                <w:i w:val="0"/>
                <w:color w:val="24384C"/>
                <w:sz w:val="18"/>
              </w:rPr>
              <w:t>安全与交付</w:t>
            </w:r>
          </w:p>
        </w:tc>
        <w:tc>
          <w:tcPr>
            <w:tcW w:type="dxa" w:w="4191"/>
            <w:vAlign w:val="center"/>
            <w:shd w:fill="F4F7FA"/>
          </w:tcPr>
          <w:p>
            <w:pPr>
              <w:spacing w:line="288" w:lineRule="auto" w:before="60" w:after="60"/>
            </w:pPr>
            <w:r>
              <w:rPr>
                <w:rFonts w:ascii="Arial" w:hAnsi="Arial" w:eastAsia="Microsoft YaHei"/>
                <w:b w:val="0"/>
                <w:i w:val="0"/>
                <w:color w:val="24384C"/>
                <w:sz w:val="18"/>
              </w:rPr>
              <w:t>示例密钥与口令已处理；管理访问受控；镜像摘要、备份及签字记录齐全</w:t>
            </w:r>
          </w:p>
        </w:tc>
      </w:tr>
    </w:tbl>
    <w:p>
      <w:pPr>
        <w:spacing w:after="40" w:line="48" w:lineRule="auto"/>
      </w:pPr>
    </w:p>
    <w:p>
      <w:r>
        <w:rPr>
          <w:rFonts w:ascii="Arial" w:hAnsi="Arial" w:eastAsia="Microsoft YaHei"/>
          <w:b w:val="0"/>
          <w:i w:val="0"/>
        </w:rPr>
        <w:t>可先执行以下只读诊断命令：</w:t>
      </w:r>
    </w:p>
    <w:p>
      <w:pPr>
        <w:spacing w:line="264" w:lineRule="auto" w:before="80" w:after="160"/>
        <w:ind w:left="85" w:right="57"/>
        <w:shd w:fill="F0F4F8"/>
      </w:pPr>
      <w:r>
        <w:rPr>
          <w:rFonts w:ascii="Consolas" w:hAnsi="Consolas" w:eastAsia="Microsoft YaHei"/>
          <w:color w:val="203B56"/>
          <w:sz w:val="16"/>
        </w:rPr>
        <w:t>kubectl -n xcn exec deploy/xcn-5gc -c upf -- xcnctl show gnb --detail</w:t>
        <w:br/>
        <w:t>kubectl -n xcn exec deploy/xcn-5gc -c upf -- xcnctl show ue --detail</w:t>
        <w:br/>
        <w:t>kubectl -n xcn exec deploy/xcn-5gc -c upf -- \</w:t>
        <w:br/>
        <w:t xml:space="preserve">  xcnctl show rate --level session --active-only --with-location</w:t>
      </w:r>
    </w:p>
    <w:p>
      <w:r>
        <w:rPr>
          <w:rFonts w:ascii="Arial" w:hAnsi="Arial" w:eastAsia="Microsoft YaHei"/>
          <w:b w:val="0"/>
          <w:i w:val="0"/>
        </w:rPr>
        <w:t>若同时部署上述 OAI nrUE，可将测试目标替换为现场可达的 DN 地址，从 UE 隧道发起探测：</w:t>
      </w:r>
    </w:p>
    <w:p>
      <w:pPr>
        <w:spacing w:line="264" w:lineRule="auto" w:before="80" w:after="160"/>
        <w:ind w:left="85" w:right="57"/>
        <w:shd w:fill="F0F4F8"/>
      </w:pPr>
      <w:r>
        <w:rPr>
          <w:rFonts w:ascii="Consolas" w:hAnsi="Consolas" w:eastAsia="Microsoft YaHei"/>
          <w:color w:val="203B56"/>
          <w:sz w:val="16"/>
        </w:rPr>
        <w:t>kubectl -n default exec deploy/nrue-oai-nr-ue -- \</w:t>
        <w:br/>
        <w:t xml:space="preserve">  ping -I oaitun_ue1 -c 20 -W 2 10.2.0.119</w:t>
      </w:r>
    </w:p>
    <w:p>
      <w:r>
        <w:rPr>
          <w:rFonts w:ascii="Arial" w:hAnsi="Arial" w:eastAsia="Microsoft YaHei"/>
          <w:b w:val="0"/>
          <w:i w:val="0"/>
        </w:rPr>
        <w:t>部署名、接口名和目标地址只适用于对应 OAI 示例。性能测试应在授权的独立业务端运行，不对未知公网目标施加负载。验收记录应包含失败与重试，不将预热、邻居未收敛或外部网络丢包静默剔除后宣称所有场景零丢包。</w:t>
      </w:r>
    </w:p>
    <w:p>
      <w:pPr>
        <w:pStyle w:val="Heading2"/>
      </w:pPr>
      <w:r>
        <w:rPr>
          <w:rFonts w:ascii="Arial" w:hAnsi="Arial" w:eastAsia="Microsoft YaHei"/>
          <w:b w:val="0"/>
          <w:i w:val="0"/>
        </w:rPr>
        <w:t>4.8 日常运维与可观测性</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周期</w:t>
            </w:r>
          </w:p>
        </w:tc>
        <w:tc>
          <w:tcPr>
            <w:tcW w:type="dxa" w:w="3143"/>
            <w:vAlign w:val="center"/>
            <w:shd w:fill="214D72"/>
          </w:tcPr>
          <w:p>
            <w:pPr>
              <w:spacing w:line="288" w:lineRule="auto" w:before="60" w:after="60"/>
            </w:pPr>
            <w:r>
              <w:rPr>
                <w:rFonts w:ascii="Arial" w:hAnsi="Arial" w:eastAsia="Microsoft YaHei"/>
                <w:b/>
                <w:i w:val="0"/>
                <w:color w:val="FFFFFF"/>
                <w:sz w:val="18"/>
              </w:rPr>
              <w:t>建议项目</w:t>
            </w:r>
          </w:p>
        </w:tc>
        <w:tc>
          <w:tcPr>
            <w:tcW w:type="dxa" w:w="4191"/>
            <w:vAlign w:val="center"/>
            <w:shd w:fill="214D72"/>
          </w:tcPr>
          <w:p>
            <w:pPr>
              <w:spacing w:line="288" w:lineRule="auto" w:before="60" w:after="60"/>
            </w:pPr>
            <w:r>
              <w:rPr>
                <w:rFonts w:ascii="Arial" w:hAnsi="Arial" w:eastAsia="Microsoft YaHei"/>
                <w:b/>
                <w:i w:val="0"/>
                <w:color w:val="FFFFFF"/>
                <w:sz w:val="18"/>
              </w:rPr>
              <w:t>保存内容</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每日或按运维计划</w:t>
            </w:r>
          </w:p>
        </w:tc>
        <w:tc>
          <w:tcPr>
            <w:tcW w:type="dxa" w:w="3143"/>
            <w:vAlign w:val="center"/>
          </w:tcPr>
          <w:p>
            <w:pPr>
              <w:spacing w:line="288" w:lineRule="auto" w:before="60" w:after="60"/>
            </w:pPr>
            <w:r>
              <w:rPr>
                <w:rFonts w:ascii="Arial" w:hAnsi="Arial" w:eastAsia="Microsoft YaHei"/>
                <w:b w:val="0"/>
                <w:i w:val="0"/>
                <w:color w:val="24384C"/>
                <w:sz w:val="18"/>
              </w:rPr>
              <w:t>Pod 就绪、容器重启、节点／PVC 容量、关键告警、gNB 连接、业务抽测</w:t>
            </w:r>
          </w:p>
        </w:tc>
        <w:tc>
          <w:tcPr>
            <w:tcW w:type="dxa" w:w="4191"/>
            <w:vAlign w:val="center"/>
          </w:tcPr>
          <w:p>
            <w:pPr>
              <w:spacing w:line="288" w:lineRule="auto" w:before="60" w:after="60"/>
            </w:pPr>
            <w:r>
              <w:rPr>
                <w:rFonts w:ascii="Arial" w:hAnsi="Arial" w:eastAsia="Microsoft YaHei"/>
                <w:b w:val="0"/>
                <w:i w:val="0"/>
                <w:color w:val="24384C"/>
                <w:sz w:val="18"/>
              </w:rPr>
              <w:t>巡检时间、异常、处置及复核结果</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变更前后</w:t>
            </w:r>
          </w:p>
        </w:tc>
        <w:tc>
          <w:tcPr>
            <w:tcW w:type="dxa" w:w="3143"/>
            <w:vAlign w:val="center"/>
            <w:shd w:fill="F4F7FA"/>
          </w:tcPr>
          <w:p>
            <w:pPr>
              <w:spacing w:line="288" w:lineRule="auto" w:before="60" w:after="60"/>
            </w:pPr>
            <w:r>
              <w:rPr>
                <w:rFonts w:ascii="Arial" w:hAnsi="Arial" w:eastAsia="Microsoft YaHei"/>
                <w:b w:val="0"/>
                <w:i w:val="0"/>
                <w:color w:val="24384C"/>
                <w:sz w:val="18"/>
              </w:rPr>
              <w:t>Helm 参数／清单、镜像摘要、数据库备份、网元与业务状态</w:t>
            </w:r>
          </w:p>
        </w:tc>
        <w:tc>
          <w:tcPr>
            <w:tcW w:type="dxa" w:w="4191"/>
            <w:vAlign w:val="center"/>
            <w:shd w:fill="F4F7FA"/>
          </w:tcPr>
          <w:p>
            <w:pPr>
              <w:spacing w:line="288" w:lineRule="auto" w:before="60" w:after="60"/>
            </w:pPr>
            <w:r>
              <w:rPr>
                <w:rFonts w:ascii="Arial" w:hAnsi="Arial" w:eastAsia="Microsoft YaHei"/>
                <w:b w:val="0"/>
                <w:i w:val="0"/>
                <w:color w:val="24384C"/>
                <w:sz w:val="18"/>
              </w:rPr>
              <w:t>可恢复的变更基线及审批／工单编号</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定期</w:t>
            </w:r>
          </w:p>
        </w:tc>
        <w:tc>
          <w:tcPr>
            <w:tcW w:type="dxa" w:w="3143"/>
            <w:vAlign w:val="center"/>
          </w:tcPr>
          <w:p>
            <w:pPr>
              <w:spacing w:line="288" w:lineRule="auto" w:before="60" w:after="60"/>
            </w:pPr>
            <w:r>
              <w:rPr>
                <w:rFonts w:ascii="Arial" w:hAnsi="Arial" w:eastAsia="Microsoft YaHei"/>
                <w:b w:val="0"/>
                <w:i w:val="0"/>
                <w:color w:val="24384C"/>
                <w:sz w:val="18"/>
              </w:rPr>
              <w:t>备份恢复抽测、账号权限、日志留存、依赖与安全更新评估</w:t>
            </w:r>
          </w:p>
        </w:tc>
        <w:tc>
          <w:tcPr>
            <w:tcW w:type="dxa" w:w="4191"/>
            <w:vAlign w:val="center"/>
          </w:tcPr>
          <w:p>
            <w:pPr>
              <w:spacing w:line="288" w:lineRule="auto" w:before="60" w:after="60"/>
            </w:pPr>
            <w:r>
              <w:rPr>
                <w:rFonts w:ascii="Arial" w:hAnsi="Arial" w:eastAsia="Microsoft YaHei"/>
                <w:b w:val="0"/>
                <w:i w:val="0"/>
                <w:color w:val="24384C"/>
                <w:sz w:val="18"/>
              </w:rPr>
              <w:t>恢复证据、权限审计与版本记录</w:t>
            </w:r>
          </w:p>
        </w:tc>
      </w:tr>
    </w:tbl>
    <w:p>
      <w:pPr>
        <w:spacing w:after="40" w:line="48" w:lineRule="auto"/>
      </w:pPr>
    </w:p>
    <w:p>
      <w:r>
        <w:rPr>
          <w:rFonts w:ascii="Arial" w:hAnsi="Arial" w:eastAsia="Microsoft YaHei"/>
          <w:b w:val="0"/>
          <w:i w:val="0"/>
        </w:rPr>
        <w:t>xcnctl show ue 的位置为 UE 最近报告的位置；reported 表示连接态最近报告，last-known 表示空闲态保留位置，unknown 表示无可靠数据，不代表连续实时定位。gNB 详情中的 observed_cells 来自 UE 上报，不是基站全部已配置小区的清单。</w:t>
      </w:r>
    </w:p>
    <w:p>
      <w:r>
        <w:rPr>
          <w:rFonts w:ascii="Arial" w:hAnsi="Arial" w:eastAsia="Microsoft YaHei"/>
          <w:b w:val="0"/>
          <w:i w:val="0"/>
        </w:rPr>
        <w:t>速率可按 user、session、bearer、rule 四层查询；CM-IDLE 与速率为零不能互相推断。统计依赖 UPF 本地 socket，UE／gNB／事件查询直接使用对应网元接口，不要求存在活动 UPF 会话。缺失或不可靠的字段以“-”或 JSON null 表示，不能当作数值零。</w:t>
      </w:r>
    </w:p>
    <w:p>
      <w:r>
        <w:rPr>
          <w:rFonts w:ascii="Arial" w:hAnsi="Arial" w:eastAsia="Microsoft YaHei"/>
          <w:b w:val="0"/>
          <w:i w:val="0"/>
        </w:rPr>
        <w:t>事件查询示例：</w:t>
      </w:r>
    </w:p>
    <w:p>
      <w:pPr>
        <w:spacing w:line="264" w:lineRule="auto" w:before="80" w:after="160"/>
        <w:ind w:left="85" w:right="57"/>
        <w:shd w:fill="F0F4F8"/>
      </w:pPr>
      <w:r>
        <w:rPr>
          <w:rFonts w:ascii="Consolas" w:hAnsi="Consolas" w:eastAsia="Microsoft YaHei"/>
          <w:color w:val="203B56"/>
          <w:sz w:val="16"/>
        </w:rPr>
        <w:t>kubectl -n xcn exec deploy/xcn-5gc -c upf -- \</w:t>
        <w:br/>
        <w:t xml:space="preserve">  xcnctl show ue-event --supi imsi-460110000000100 \</w:t>
        <w:br/>
        <w:t xml:space="preserve">  --since 30m --limit 200 --json</w:t>
        <w:br/>
        <w:t>kubectl -n xcn exec deploy/xcn-5gc -c upf -- \</w:t>
        <w:br/>
        <w:t xml:space="preserve">  xcnctl show ue-event --supi imsi-460110000000100 --watch</w:t>
      </w:r>
    </w:p>
    <w:p>
      <w:r>
        <w:rPr>
          <w:rFonts w:ascii="Arial" w:hAnsi="Arial" w:eastAsia="Microsoft YaHei"/>
          <w:b w:val="0"/>
          <w:i w:val="0"/>
        </w:rPr>
        <w:t>SUPI 为示例，使用时替换为授权排查用户。事件时间使用 UTC，需与北京时间区分。初始 limit 默认为 100、范围 1～1000；内存容量、淘汰和重启会限制可查询历史，增加 limit 不能恢复已丢失数据。prepared、queued、accepted、completed 等为不同阶段，本地排队不代表对端收到或完整流程成功。需要长期审计时，应建设受控的外部日志／事件归档。</w:t>
      </w:r>
    </w:p>
    <w:p>
      <w:r>
        <w:rPr>
          <w:rFonts w:ascii="Arial" w:hAnsi="Arial" w:eastAsia="Microsoft YaHei"/>
          <w:b w:val="0"/>
          <w:i w:val="0"/>
        </w:rPr>
        <w:t>按 Ctrl+C 结束 watch 或 port-forward 只停止本次查询／转发，不停止核心网。show rate 不支持 --detail；详情选项用于 UE／gNB，show ue-event 也没有独立 --detail 模式。</w:t>
      </w:r>
    </w:p>
    <w:p>
      <w:pPr>
        <w:pStyle w:val="Heading2"/>
      </w:pPr>
      <w:r>
        <w:rPr>
          <w:rFonts w:ascii="Arial" w:hAnsi="Arial" w:eastAsia="Microsoft YaHei"/>
          <w:b w:val="0"/>
          <w:i w:val="0"/>
        </w:rPr>
        <w:t>4.9 备份、升级、恢复与卸载</w:t>
      </w:r>
    </w:p>
    <w:p>
      <w:pPr>
        <w:pStyle w:val="Heading3"/>
      </w:pPr>
      <w:r>
        <w:rPr>
          <w:rFonts w:ascii="Arial" w:hAnsi="Arial" w:eastAsia="Microsoft YaHei"/>
          <w:b w:val="0"/>
          <w:i w:val="0"/>
        </w:rPr>
        <w:t>4.9.1 备份</w:t>
      </w:r>
    </w:p>
    <w:p>
      <w:r>
        <w:rPr>
          <w:rFonts w:ascii="Arial" w:hAnsi="Arial" w:eastAsia="Microsoft YaHei"/>
          <w:b w:val="0"/>
          <w:i w:val="0"/>
        </w:rPr>
        <w:t>以下为备份命令示例，会导出含敏感内容的文件，应在受控存储位置执行并按要求加密、校验和留存。当前 MongoDB 为单实例；需要严格一致性时，应先在维护窗口停止全部相关数据库写入。业务运行中的逻辑导出不能直接声明为跨集合时点一致备份。</w:t>
      </w:r>
    </w:p>
    <w:p>
      <w:pPr>
        <w:spacing w:line="264" w:lineRule="auto" w:before="80" w:after="160"/>
        <w:ind w:left="85" w:right="57"/>
        <w:shd w:fill="F0F4F8"/>
      </w:pPr>
      <w:r>
        <w:rPr>
          <w:rFonts w:ascii="Consolas" w:hAnsi="Consolas" w:eastAsia="Microsoft YaHei"/>
          <w:color w:val="203B56"/>
          <w:sz w:val="16"/>
        </w:rPr>
        <w:t>umask 077</w:t>
        <w:br/>
        <w:t>XCN_BACKUP_DIR="$HOME/xcn-backup/$(date +%Y%m%d-%H%M%S)"</w:t>
        <w:br/>
        <w:t>install -d -m 700 "$XCN_BACKUP_DIR"</w:t>
        <w:br/>
        <w:t>helm get values xcn -n xcn --all &gt; "$XCN_BACKUP_DIR/values.yaml"</w:t>
        <w:br/>
        <w:t>helm get manifest xcn -n xcn &gt; "$XCN_BACKUP_DIR/manifest.yaml"</w:t>
        <w:br/>
        <w:t>helm history xcn -n xcn &gt; "$XCN_BACKUP_DIR/history.txt"</w:t>
        <w:br/>
        <w:t>kubectl -n xcn get pods -o json &gt; "$XCN_BACKUP_DIR/pods.json"</w:t>
        <w:br/>
        <w:t>kubectl -n xcn exec statefulset/xcn-mongodb -- \</w:t>
        <w:br/>
        <w:t xml:space="preserve">  mongodump --db open5gs --archive --gzip \</w:t>
        <w:br/>
        <w:t xml:space="preserve">  &gt; "$XCN_BACKUP_DIR/open5gs.archive.gz"</w:t>
        <w:br/>
        <w:t>test -s "$XCN_BACKUP_DIR/open5gs.archive.gz"</w:t>
        <w:br/>
        <w:t>sha256sum "$XCN_BACKUP_DIR/open5gs.archive.gz" \</w:t>
        <w:br/>
        <w:t xml:space="preserve">  &gt; "$XCN_BACKUP_DIR/open5gs.archive.gz.sha256"</w:t>
      </w:r>
    </w:p>
    <w:p>
      <w:r>
        <w:rPr>
          <w:rFonts w:ascii="Arial" w:hAnsi="Arial" w:eastAsia="Microsoft YaHei"/>
          <w:b w:val="0"/>
          <w:i w:val="0"/>
        </w:rPr>
        <w:t>另行保存与本次备份对应的 Chart、镜像摘要、硬件／平台网络配置，以及受控的外部密钥和证书。哈希值只验证文件完整性，不能替代恢复抽测。若已启用 MongoDB 鉴权，使用安全凭据注入方式补充连接参数，不把口令写入共享命令记录。</w:t>
      </w:r>
    </w:p>
    <w:p>
      <w:pPr>
        <w:pStyle w:val="Heading3"/>
      </w:pPr>
      <w:r>
        <w:rPr>
          <w:rFonts w:ascii="Arial" w:hAnsi="Arial" w:eastAsia="Microsoft YaHei"/>
          <w:b w:val="0"/>
          <w:i w:val="0"/>
        </w:rPr>
        <w:t>4.9.2 升级与回滚</w:t>
      </w:r>
    </w:p>
    <w:p>
      <w:r>
        <w:rPr>
          <w:rFonts w:ascii="Arial" w:hAnsi="Arial" w:eastAsia="Microsoft YaHei"/>
          <w:b w:val="0"/>
          <w:i w:val="0"/>
        </w:rPr>
        <w:t>升级前将实际 Release 参数与新版本默认值核对，生成并审核完整的项目覆盖文件；保留当前 VPP 模式、资源、地址、镜像及密钥，不盲目套用本说明书示例。</w:t>
      </w:r>
    </w:p>
    <w:p>
      <w:pPr>
        <w:spacing w:line="264" w:lineRule="auto" w:before="80" w:after="160"/>
        <w:ind w:left="85" w:right="57"/>
        <w:shd w:fill="F0F4F8"/>
      </w:pPr>
      <w:r>
        <w:rPr>
          <w:rFonts w:ascii="Consolas" w:hAnsi="Consolas" w:eastAsia="Microsoft YaHei"/>
          <w:color w:val="203B56"/>
          <w:sz w:val="16"/>
        </w:rPr>
        <w:t>helm history xcn -n xcn</w:t>
        <w:br/>
        <w:t>helm lint helm/xcn -f /tmp/xcn-approved-values.yaml</w:t>
        <w:br/>
        <w:t>helm upgrade xcn helm/xcn -n xcn \</w:t>
        <w:br/>
        <w:t xml:space="preserve">  -f /tmp/xcn-approved-values.yaml \</w:t>
        <w:br/>
        <w:t xml:space="preserve">  --atomic --wait --timeout 10m</w:t>
      </w:r>
    </w:p>
    <w:p>
      <w:r>
        <w:rPr>
          <w:rFonts w:ascii="Arial" w:hAnsi="Arial" w:eastAsia="Microsoft YaHei"/>
          <w:b w:val="0"/>
          <w:i w:val="0"/>
        </w:rPr>
        <w:t>此命令会产生实际变更，限于已批准的维护窗口执行。--atomic 主要处理 Helm 资源级失败，不恢复外部数据库修改或已有 UE 会话。当前 xcn-5gc 为单实例且采用重建策略；不能承诺升级无中断。</w:t>
      </w:r>
    </w:p>
    <w:p>
      <w:r>
        <w:rPr>
          <w:rFonts w:ascii="Arial" w:hAnsi="Arial" w:eastAsia="Microsoft YaHei"/>
          <w:b w:val="0"/>
          <w:i w:val="0"/>
        </w:rPr>
        <w:t>配置／Secret 更新后，若对应 Pod 模板未变化，进程未必自动重读配置。特别是 core Pod 及以 subPath 挂载的文件，应核对实际生效内容，并按变更范围安排重启，随后复验服务发现和业务。</w:t>
      </w:r>
    </w:p>
    <w:p>
      <w:r>
        <w:rPr>
          <w:rFonts w:ascii="Arial" w:hAnsi="Arial" w:eastAsia="Microsoft YaHei"/>
          <w:b w:val="0"/>
          <w:i w:val="0"/>
        </w:rPr>
        <w:t>回滚时先用 helm history 确定实际可用修订号，再按以下形式操作；N 为明确选定的历史修订号，需替换为数字：</w:t>
      </w:r>
    </w:p>
    <w:p>
      <w:pPr>
        <w:spacing w:line="264" w:lineRule="auto" w:before="80" w:after="160"/>
        <w:ind w:left="85" w:right="57"/>
        <w:shd w:fill="F0F4F8"/>
      </w:pPr>
      <w:r>
        <w:rPr>
          <w:rFonts w:ascii="Consolas" w:hAnsi="Consolas" w:eastAsia="Microsoft YaHei"/>
          <w:color w:val="203B56"/>
          <w:sz w:val="16"/>
        </w:rPr>
        <w:t>helm rollback xcn N -n xcn --wait --timeout 10m</w:t>
      </w:r>
    </w:p>
    <w:p>
      <w:r>
        <w:rPr>
          <w:rFonts w:ascii="Arial" w:hAnsi="Arial" w:eastAsia="Microsoft YaHei"/>
          <w:b w:val="0"/>
          <w:i w:val="0"/>
        </w:rPr>
        <w:t>回滚完成后检查镜像与配置、N2／N4、终端重注册和业务恢复；数据格式迁移或外部系统变更需按对应版本恢复方案单独处理。</w:t>
      </w:r>
    </w:p>
    <w:p>
      <w:pPr>
        <w:pStyle w:val="Heading3"/>
      </w:pPr>
      <w:r>
        <w:rPr>
          <w:rFonts w:ascii="Arial" w:hAnsi="Arial" w:eastAsia="Microsoft YaHei"/>
          <w:b w:val="0"/>
          <w:i w:val="0"/>
        </w:rPr>
        <w:t>4.9.3 数据恢复</w:t>
      </w:r>
    </w:p>
    <w:p>
      <w:r>
        <w:rPr>
          <w:rFonts w:ascii="Arial" w:hAnsi="Arial" w:eastAsia="Microsoft YaHei"/>
          <w:b w:val="0"/>
          <w:i w:val="0"/>
        </w:rPr>
        <w:t>先在隔离环境验证备份可恢复，再安排正式恢复。恢复前确认目标集群、命名空间、数据库及备份时间，保存当前数据并暂停写入方。下面的 --drop 会删除备份中对应集合的现有数据后恢复，包含订阅及管理账户，必须在已批准的恢复操作中使用。</w:t>
      </w:r>
    </w:p>
    <w:p>
      <w:pPr>
        <w:spacing w:line="264" w:lineRule="auto" w:before="80" w:after="160"/>
        <w:ind w:left="85" w:right="57"/>
        <w:shd w:fill="F0F4F8"/>
      </w:pPr>
      <w:r>
        <w:rPr>
          <w:rFonts w:ascii="Consolas" w:hAnsi="Consolas" w:eastAsia="Microsoft YaHei"/>
          <w:color w:val="203B56"/>
          <w:sz w:val="16"/>
        </w:rPr>
        <w:t>test -s "$XCN_BACKUP_DIR/open5gs.archive.gz"</w:t>
        <w:br/>
        <w:t>sha256sum -c "$XCN_BACKUP_DIR/open5gs.archive.gz.sha256"</w:t>
        <w:br/>
        <w:t>kubectl -n xcn exec -i statefulset/xcn-mongodb -- \</w:t>
        <w:br/>
        <w:t xml:space="preserve">  mongorestore --archive --gzip --drop --nsInclude='open5gs.*' \</w:t>
        <w:br/>
        <w:t xml:space="preserve">  &lt; "$XCN_BACKUP_DIR/open5gs.archive.gz"</w:t>
      </w:r>
    </w:p>
    <w:p>
      <w:r>
        <w:rPr>
          <w:rFonts w:ascii="Arial" w:hAnsi="Arial" w:eastAsia="Microsoft YaHei"/>
          <w:b w:val="0"/>
          <w:i w:val="0"/>
        </w:rPr>
        <w:t>XCN_BACKUP_DIR 应指向已选定的备份目录。核验恢复日志和集合内容，再恢复依赖网元与管理服务，执行注册、鉴权和双向业务测试。旧鉴权计数的恢复可能引起同步问题，应通过标准重新同步／重接入流程处理，不能将“数据库导入成功”等同于用户业务全部恢复。</w:t>
      </w:r>
    </w:p>
    <w:p>
      <w:pPr>
        <w:pStyle w:val="Heading3"/>
      </w:pPr>
      <w:r>
        <w:rPr>
          <w:rFonts w:ascii="Arial" w:hAnsi="Arial" w:eastAsia="Microsoft YaHei"/>
          <w:b w:val="0"/>
          <w:i w:val="0"/>
        </w:rPr>
        <w:t>4.9.4 停止与卸载</w:t>
      </w:r>
    </w:p>
    <w:p>
      <w:r>
        <w:rPr>
          <w:rFonts w:ascii="Arial" w:hAnsi="Arial" w:eastAsia="Microsoft YaHei"/>
          <w:b w:val="0"/>
          <w:i w:val="0"/>
        </w:rPr>
        <w:t>按计划先停终端业务与基站接入，再卸载核心网。若使用本工程示例 Release／命名空间：</w:t>
      </w:r>
    </w:p>
    <w:p>
      <w:pPr>
        <w:spacing w:line="264" w:lineRule="auto" w:before="80" w:after="160"/>
        <w:ind w:left="85" w:right="57"/>
        <w:shd w:fill="F0F4F8"/>
      </w:pPr>
      <w:r>
        <w:rPr>
          <w:rFonts w:ascii="Consolas" w:hAnsi="Consolas" w:eastAsia="Microsoft YaHei"/>
          <w:color w:val="203B56"/>
          <w:sz w:val="16"/>
        </w:rPr>
        <w:t># 以下命令会停止相应业务，执行前完成备份并确认维护范围。</w:t>
        <w:br/>
        <w:t>helm uninstall nrue -n default</w:t>
        <w:br/>
        <w:t>helm uninstall gnb -n default</w:t>
        <w:br/>
        <w:t>helm uninstall xcn -n xcn</w:t>
        <w:br/>
        <w:t>kubectl -n xcn get pvc</w:t>
      </w:r>
    </w:p>
    <w:p>
      <w:r>
        <w:rPr>
          <w:rFonts w:ascii="Arial" w:hAnsi="Arial" w:eastAsia="Microsoft YaHei"/>
          <w:b w:val="0"/>
          <w:i w:val="0"/>
        </w:rPr>
        <w:t>StatefulSet 的 PVC 通常不会因卸载自动删除，应结合保留策略确认；卷存在也不等于已有可用备份。hostNetwork 模式的 ogstun、地址、转发开关、路由和防火墙规则可能保留，卸载后应依据变更前快照逐项检查，仅清理确认属于本部署且无其他业务使用的对象。不得用清空全部 iptables、删除整个命名空间或批量删除 PVC 代替正常卸载。</w:t>
      </w:r>
    </w:p>
    <w:p>
      <w:pPr>
        <w:pStyle w:val="Heading1"/>
        <w:pageBreakBefore/>
      </w:pPr>
      <w:r>
        <w:rPr>
          <w:rFonts w:ascii="Arial" w:hAnsi="Arial" w:eastAsia="Microsoft YaHei"/>
          <w:b w:val="0"/>
          <w:i w:val="0"/>
        </w:rPr>
        <w:t>5. 故障排查指南</w:t>
      </w:r>
    </w:p>
    <w:p>
      <w:pPr>
        <w:pStyle w:val="Heading2"/>
      </w:pPr>
      <w:r>
        <w:rPr>
          <w:rFonts w:ascii="Arial" w:hAnsi="Arial" w:eastAsia="Microsoft YaHei"/>
          <w:b w:val="0"/>
          <w:i w:val="0"/>
        </w:rPr>
        <w:t>5.1 定位方法</w:t>
      </w:r>
    </w:p>
    <w:p>
      <w:r>
        <w:rPr>
          <w:rFonts w:ascii="Arial" w:hAnsi="Arial" w:eastAsia="Microsoft YaHei"/>
          <w:b w:val="0"/>
          <w:i w:val="0"/>
        </w:rPr>
        <w:t>采用“物理／平台 → IP 传输 → 控制面协议 → 用户面 → 业务应用”的顺序。先确认故障时间、范围、最近变更和影响用户，保存当前证据，再按最小影响范围处置。</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层次</w:t>
            </w:r>
          </w:p>
        </w:tc>
        <w:tc>
          <w:tcPr>
            <w:tcW w:type="dxa" w:w="3143"/>
            <w:vAlign w:val="center"/>
            <w:shd w:fill="214D72"/>
          </w:tcPr>
          <w:p>
            <w:pPr>
              <w:spacing w:line="288" w:lineRule="auto" w:before="60" w:after="60"/>
            </w:pPr>
            <w:r>
              <w:rPr>
                <w:rFonts w:ascii="Arial" w:hAnsi="Arial" w:eastAsia="Microsoft YaHei"/>
                <w:b/>
                <w:i w:val="0"/>
                <w:color w:val="FFFFFF"/>
                <w:sz w:val="18"/>
              </w:rPr>
              <w:t>重点检查</w:t>
            </w:r>
          </w:p>
        </w:tc>
        <w:tc>
          <w:tcPr>
            <w:tcW w:type="dxa" w:w="4191"/>
            <w:vAlign w:val="center"/>
            <w:shd w:fill="214D72"/>
          </w:tcPr>
          <w:p>
            <w:pPr>
              <w:spacing w:line="288" w:lineRule="auto" w:before="60" w:after="60"/>
            </w:pPr>
            <w:r>
              <w:rPr>
                <w:rFonts w:ascii="Arial" w:hAnsi="Arial" w:eastAsia="Microsoft YaHei"/>
                <w:b/>
                <w:i w:val="0"/>
                <w:color w:val="FFFFFF"/>
                <w:sz w:val="18"/>
              </w:rPr>
              <w:t>典型证据</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物理与平台</w:t>
            </w:r>
          </w:p>
        </w:tc>
        <w:tc>
          <w:tcPr>
            <w:tcW w:type="dxa" w:w="3143"/>
            <w:vAlign w:val="center"/>
          </w:tcPr>
          <w:p>
            <w:pPr>
              <w:spacing w:line="288" w:lineRule="auto" w:before="60" w:after="60"/>
            </w:pPr>
            <w:r>
              <w:rPr>
                <w:rFonts w:ascii="Arial" w:hAnsi="Arial" w:eastAsia="Microsoft YaHei"/>
                <w:b w:val="0"/>
                <w:i w:val="0"/>
                <w:color w:val="24384C"/>
                <w:sz w:val="18"/>
              </w:rPr>
              <w:t>供电、网口／VF、节点、Pod、PVC、CPU／内存、大页及驱动</w:t>
            </w:r>
          </w:p>
        </w:tc>
        <w:tc>
          <w:tcPr>
            <w:tcW w:type="dxa" w:w="4191"/>
            <w:vAlign w:val="center"/>
          </w:tcPr>
          <w:p>
            <w:pPr>
              <w:spacing w:line="288" w:lineRule="auto" w:before="60" w:after="60"/>
            </w:pPr>
            <w:r>
              <w:rPr>
                <w:rFonts w:ascii="Arial" w:hAnsi="Arial" w:eastAsia="Microsoft YaHei"/>
                <w:b w:val="0"/>
                <w:i w:val="0"/>
                <w:color w:val="24384C"/>
                <w:sz w:val="18"/>
              </w:rPr>
              <w:t>BMC 告警、Pod events、重启原因、资源状态</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IP 传输</w:t>
            </w:r>
          </w:p>
        </w:tc>
        <w:tc>
          <w:tcPr>
            <w:tcW w:type="dxa" w:w="3143"/>
            <w:vAlign w:val="center"/>
            <w:shd w:fill="F4F7FA"/>
          </w:tcPr>
          <w:p>
            <w:pPr>
              <w:spacing w:line="288" w:lineRule="auto" w:before="60" w:after="60"/>
            </w:pPr>
            <w:r>
              <w:rPr>
                <w:rFonts w:ascii="Arial" w:hAnsi="Arial" w:eastAsia="Microsoft YaHei"/>
                <w:b w:val="0"/>
                <w:i w:val="0"/>
                <w:color w:val="24384C"/>
                <w:sz w:val="18"/>
              </w:rPr>
              <w:t>地址冲突、VLAN、路由、邻居、MTU、防火墙、代理</w:t>
            </w:r>
          </w:p>
        </w:tc>
        <w:tc>
          <w:tcPr>
            <w:tcW w:type="dxa" w:w="4191"/>
            <w:vAlign w:val="center"/>
            <w:shd w:fill="F4F7FA"/>
          </w:tcPr>
          <w:p>
            <w:pPr>
              <w:spacing w:line="288" w:lineRule="auto" w:before="60" w:after="60"/>
            </w:pPr>
            <w:r>
              <w:rPr>
                <w:rFonts w:ascii="Arial" w:hAnsi="Arial" w:eastAsia="Microsoft YaHei"/>
                <w:b w:val="0"/>
                <w:i w:val="0"/>
                <w:color w:val="24384C"/>
                <w:sz w:val="18"/>
              </w:rPr>
              <w:t>ip／ss／抓包、交换机端口状态</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控制面</w:t>
            </w:r>
          </w:p>
        </w:tc>
        <w:tc>
          <w:tcPr>
            <w:tcW w:type="dxa" w:w="3143"/>
            <w:vAlign w:val="center"/>
          </w:tcPr>
          <w:p>
            <w:pPr>
              <w:spacing w:line="288" w:lineRule="auto" w:before="60" w:after="60"/>
            </w:pPr>
            <w:r>
              <w:rPr>
                <w:rFonts w:ascii="Arial" w:hAnsi="Arial" w:eastAsia="Microsoft YaHei"/>
                <w:b w:val="0"/>
                <w:i w:val="0"/>
                <w:color w:val="24384C"/>
                <w:sz w:val="18"/>
              </w:rPr>
              <w:t>SCTP、NG Setup、注册鉴权、SBI／NRF／SCP、PFCP</w:t>
            </w:r>
          </w:p>
        </w:tc>
        <w:tc>
          <w:tcPr>
            <w:tcW w:type="dxa" w:w="4191"/>
            <w:vAlign w:val="center"/>
          </w:tcPr>
          <w:p>
            <w:pPr>
              <w:spacing w:line="288" w:lineRule="auto" w:before="60" w:after="60"/>
            </w:pPr>
            <w:r>
              <w:rPr>
                <w:rFonts w:ascii="Arial" w:hAnsi="Arial" w:eastAsia="Microsoft YaHei"/>
                <w:b w:val="0"/>
                <w:i w:val="0"/>
                <w:color w:val="24384C"/>
                <w:sz w:val="18"/>
              </w:rPr>
              <w:t>gNB／UE 查询、AMF／SMF 日志与事件</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用户面</w:t>
            </w:r>
          </w:p>
        </w:tc>
        <w:tc>
          <w:tcPr>
            <w:tcW w:type="dxa" w:w="3143"/>
            <w:vAlign w:val="center"/>
            <w:shd w:fill="F4F7FA"/>
          </w:tcPr>
          <w:p>
            <w:pPr>
              <w:spacing w:line="288" w:lineRule="auto" w:before="60" w:after="60"/>
            </w:pPr>
            <w:r>
              <w:rPr>
                <w:rFonts w:ascii="Arial" w:hAnsi="Arial" w:eastAsia="Microsoft YaHei"/>
                <w:b w:val="0"/>
                <w:i w:val="0"/>
                <w:color w:val="24384C"/>
                <w:sz w:val="18"/>
              </w:rPr>
              <w:t>PDU、TEID／QFI、PDR／FAR／QER、N3／N6、回程／NAT</w:t>
            </w:r>
          </w:p>
        </w:tc>
        <w:tc>
          <w:tcPr>
            <w:tcW w:type="dxa" w:w="4191"/>
            <w:vAlign w:val="center"/>
            <w:shd w:fill="F4F7FA"/>
          </w:tcPr>
          <w:p>
            <w:pPr>
              <w:spacing w:line="288" w:lineRule="auto" w:before="60" w:after="60"/>
            </w:pPr>
            <w:r>
              <w:rPr>
                <w:rFonts w:ascii="Arial" w:hAnsi="Arial" w:eastAsia="Microsoft YaHei"/>
                <w:b w:val="0"/>
                <w:i w:val="0"/>
                <w:color w:val="24384C"/>
                <w:sz w:val="18"/>
              </w:rPr>
              <w:t>分段抓包、UPF 统计、VPP 接口／错误计数</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业务应用</w:t>
            </w:r>
          </w:p>
        </w:tc>
        <w:tc>
          <w:tcPr>
            <w:tcW w:type="dxa" w:w="3143"/>
            <w:vAlign w:val="center"/>
          </w:tcPr>
          <w:p>
            <w:pPr>
              <w:spacing w:line="288" w:lineRule="auto" w:before="60" w:after="60"/>
            </w:pPr>
            <w:r>
              <w:rPr>
                <w:rFonts w:ascii="Arial" w:hAnsi="Arial" w:eastAsia="Microsoft YaHei"/>
                <w:b w:val="0"/>
                <w:i w:val="0"/>
                <w:color w:val="24384C"/>
                <w:sz w:val="18"/>
              </w:rPr>
              <w:t>DNS、TCP／UDP、服务端监听、访问策略</w:t>
            </w:r>
          </w:p>
        </w:tc>
        <w:tc>
          <w:tcPr>
            <w:tcW w:type="dxa" w:w="4191"/>
            <w:vAlign w:val="center"/>
          </w:tcPr>
          <w:p>
            <w:pPr>
              <w:spacing w:line="288" w:lineRule="auto" w:before="60" w:after="60"/>
            </w:pPr>
            <w:r>
              <w:rPr>
                <w:rFonts w:ascii="Arial" w:hAnsi="Arial" w:eastAsia="Microsoft YaHei"/>
                <w:b w:val="0"/>
                <w:i w:val="0"/>
                <w:color w:val="24384C"/>
                <w:sz w:val="18"/>
              </w:rPr>
              <w:t>UE／DN 双端记录、应用日志及业务探针</w:t>
            </w:r>
          </w:p>
        </w:tc>
      </w:tr>
    </w:tbl>
    <w:p>
      <w:pPr>
        <w:spacing w:after="40" w:line="48" w:lineRule="auto"/>
      </w:pPr>
    </w:p>
    <w:p>
      <w:pPr>
        <w:pStyle w:val="Heading2"/>
      </w:pPr>
      <w:r>
        <w:rPr>
          <w:rFonts w:ascii="Arial" w:hAnsi="Arial" w:eastAsia="Microsoft YaHei"/>
          <w:b w:val="0"/>
          <w:i w:val="0"/>
        </w:rPr>
        <w:t>5.2 安装失败、Pod 未就绪或反复重启</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现象</w:t>
            </w:r>
          </w:p>
        </w:tc>
        <w:tc>
          <w:tcPr>
            <w:tcW w:type="dxa" w:w="3143"/>
            <w:vAlign w:val="center"/>
            <w:shd w:fill="214D72"/>
          </w:tcPr>
          <w:p>
            <w:pPr>
              <w:spacing w:line="288" w:lineRule="auto" w:before="60" w:after="60"/>
            </w:pPr>
            <w:r>
              <w:rPr>
                <w:rFonts w:ascii="Arial" w:hAnsi="Arial" w:eastAsia="Microsoft YaHei"/>
                <w:b/>
                <w:i w:val="0"/>
                <w:color w:val="FFFFFF"/>
                <w:sz w:val="18"/>
              </w:rPr>
              <w:t>优先原因</w:t>
            </w:r>
          </w:p>
        </w:tc>
        <w:tc>
          <w:tcPr>
            <w:tcW w:type="dxa" w:w="4191"/>
            <w:vAlign w:val="center"/>
            <w:shd w:fill="214D72"/>
          </w:tcPr>
          <w:p>
            <w:pPr>
              <w:spacing w:line="288" w:lineRule="auto" w:before="60" w:after="60"/>
            </w:pPr>
            <w:r>
              <w:rPr>
                <w:rFonts w:ascii="Arial" w:hAnsi="Arial" w:eastAsia="Microsoft YaHei"/>
                <w:b/>
                <w:i w:val="0"/>
                <w:color w:val="FFFFFF"/>
                <w:sz w:val="18"/>
              </w:rPr>
              <w:t>检查与处理</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Pending</w:t>
            </w:r>
          </w:p>
        </w:tc>
        <w:tc>
          <w:tcPr>
            <w:tcW w:type="dxa" w:w="3143"/>
            <w:vAlign w:val="center"/>
          </w:tcPr>
          <w:p>
            <w:pPr>
              <w:spacing w:line="288" w:lineRule="auto" w:before="60" w:after="60"/>
            </w:pPr>
            <w:r>
              <w:rPr>
                <w:rFonts w:ascii="Arial" w:hAnsi="Arial" w:eastAsia="Microsoft YaHei"/>
                <w:b w:val="0"/>
                <w:i w:val="0"/>
                <w:color w:val="24384C"/>
                <w:sz w:val="18"/>
              </w:rPr>
              <w:t>CPU／内存／大页／VF 不足，节点选择不匹配，PVC 未绑定</w:t>
            </w:r>
          </w:p>
        </w:tc>
        <w:tc>
          <w:tcPr>
            <w:tcW w:type="dxa" w:w="4191"/>
            <w:vAlign w:val="center"/>
          </w:tcPr>
          <w:p>
            <w:pPr>
              <w:spacing w:line="288" w:lineRule="auto" w:before="60" w:after="60"/>
            </w:pPr>
            <w:r>
              <w:rPr>
                <w:rFonts w:ascii="Arial" w:hAnsi="Arial" w:eastAsia="Microsoft YaHei"/>
                <w:b w:val="0"/>
                <w:i w:val="0"/>
                <w:color w:val="24384C"/>
                <w:sz w:val="18"/>
              </w:rPr>
              <w:t>describe Pod 与 PVC，核对可分配资源和 StorageClass；按规划补齐资源</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ImagePullBackOff</w:t>
            </w:r>
          </w:p>
        </w:tc>
        <w:tc>
          <w:tcPr>
            <w:tcW w:type="dxa" w:w="3143"/>
            <w:vAlign w:val="center"/>
            <w:shd w:fill="F4F7FA"/>
          </w:tcPr>
          <w:p>
            <w:pPr>
              <w:spacing w:line="288" w:lineRule="auto" w:before="60" w:after="60"/>
            </w:pPr>
            <w:r>
              <w:rPr>
                <w:rFonts w:ascii="Arial" w:hAnsi="Arial" w:eastAsia="Microsoft YaHei"/>
                <w:b w:val="0"/>
                <w:i w:val="0"/>
                <w:color w:val="24384C"/>
                <w:sz w:val="18"/>
              </w:rPr>
              <w:t>镜像缺失、标签错误、仓库不可达或凭据问题</w:t>
            </w:r>
          </w:p>
        </w:tc>
        <w:tc>
          <w:tcPr>
            <w:tcW w:type="dxa" w:w="4191"/>
            <w:vAlign w:val="center"/>
            <w:shd w:fill="F4F7FA"/>
          </w:tcPr>
          <w:p>
            <w:pPr>
              <w:spacing w:line="288" w:lineRule="auto" w:before="60" w:after="60"/>
            </w:pPr>
            <w:r>
              <w:rPr>
                <w:rFonts w:ascii="Arial" w:hAnsi="Arial" w:eastAsia="Microsoft YaHei"/>
                <w:b w:val="0"/>
                <w:i w:val="0"/>
                <w:color w:val="24384C"/>
                <w:sz w:val="18"/>
              </w:rPr>
              <w:t>核对交付摘要和每个节点镜像；区分 Docker／containerd 存储与拉取策略</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Init 长时间等待</w:t>
            </w:r>
          </w:p>
        </w:tc>
        <w:tc>
          <w:tcPr>
            <w:tcW w:type="dxa" w:w="3143"/>
            <w:vAlign w:val="center"/>
          </w:tcPr>
          <w:p>
            <w:pPr>
              <w:spacing w:line="288" w:lineRule="auto" w:before="60" w:after="60"/>
            </w:pPr>
            <w:r>
              <w:rPr>
                <w:rFonts w:ascii="Arial" w:hAnsi="Arial" w:eastAsia="Microsoft YaHei"/>
                <w:b w:val="0"/>
                <w:i w:val="0"/>
                <w:color w:val="24384C"/>
                <w:sz w:val="18"/>
              </w:rPr>
              <w:t>MongoDB、NRF／SCP、DNS 或依赖端口不可达</w:t>
            </w:r>
          </w:p>
        </w:tc>
        <w:tc>
          <w:tcPr>
            <w:tcW w:type="dxa" w:w="4191"/>
            <w:vAlign w:val="center"/>
          </w:tcPr>
          <w:p>
            <w:pPr>
              <w:spacing w:line="288" w:lineRule="auto" w:before="60" w:after="60"/>
            </w:pPr>
            <w:r>
              <w:rPr>
                <w:rFonts w:ascii="Arial" w:hAnsi="Arial" w:eastAsia="Microsoft YaHei"/>
                <w:b w:val="0"/>
                <w:i w:val="0"/>
                <w:color w:val="24384C"/>
                <w:sz w:val="18"/>
              </w:rPr>
              <w:t>查初始化容器日志、Service 端点和 DNS，不仅增加等待时间</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CrashLoopBackOff</w:t>
            </w:r>
          </w:p>
        </w:tc>
        <w:tc>
          <w:tcPr>
            <w:tcW w:type="dxa" w:w="3143"/>
            <w:vAlign w:val="center"/>
            <w:shd w:fill="F4F7FA"/>
          </w:tcPr>
          <w:p>
            <w:pPr>
              <w:spacing w:line="288" w:lineRule="auto" w:before="60" w:after="60"/>
            </w:pPr>
            <w:r>
              <w:rPr>
                <w:rFonts w:ascii="Arial" w:hAnsi="Arial" w:eastAsia="Microsoft YaHei"/>
                <w:b w:val="0"/>
                <w:i w:val="0"/>
                <w:color w:val="24384C"/>
                <w:sz w:val="18"/>
              </w:rPr>
              <w:t>配置错误、端口冲突、权限／设备缺失、CPUSet 不符合条件</w:t>
            </w:r>
          </w:p>
        </w:tc>
        <w:tc>
          <w:tcPr>
            <w:tcW w:type="dxa" w:w="4191"/>
            <w:vAlign w:val="center"/>
            <w:shd w:fill="F4F7FA"/>
          </w:tcPr>
          <w:p>
            <w:pPr>
              <w:spacing w:line="288" w:lineRule="auto" w:before="60" w:after="60"/>
            </w:pPr>
            <w:r>
              <w:rPr>
                <w:rFonts w:ascii="Arial" w:hAnsi="Arial" w:eastAsia="Microsoft YaHei"/>
                <w:b w:val="0"/>
                <w:i w:val="0"/>
                <w:color w:val="24384C"/>
                <w:sz w:val="18"/>
              </w:rPr>
              <w:t>先保存 previous 日志、终止原因和 events，再修复具体条件</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OOMKilled</w:t>
            </w:r>
          </w:p>
        </w:tc>
        <w:tc>
          <w:tcPr>
            <w:tcW w:type="dxa" w:w="3143"/>
            <w:vAlign w:val="center"/>
          </w:tcPr>
          <w:p>
            <w:pPr>
              <w:spacing w:line="288" w:lineRule="auto" w:before="60" w:after="60"/>
            </w:pPr>
            <w:r>
              <w:rPr>
                <w:rFonts w:ascii="Arial" w:hAnsi="Arial" w:eastAsia="Microsoft YaHei"/>
                <w:b w:val="0"/>
                <w:i w:val="0"/>
                <w:color w:val="24384C"/>
                <w:sz w:val="18"/>
              </w:rPr>
              <w:t>资源池逐步驻留、负载或诊断容量超过内存预算</w:t>
            </w:r>
          </w:p>
        </w:tc>
        <w:tc>
          <w:tcPr>
            <w:tcW w:type="dxa" w:w="4191"/>
            <w:vAlign w:val="center"/>
          </w:tcPr>
          <w:p>
            <w:pPr>
              <w:spacing w:line="288" w:lineRule="auto" w:before="60" w:after="60"/>
            </w:pPr>
            <w:r>
              <w:rPr>
                <w:rFonts w:ascii="Arial" w:hAnsi="Arial" w:eastAsia="Microsoft YaHei"/>
                <w:b w:val="0"/>
                <w:i w:val="0"/>
                <w:color w:val="24384C"/>
                <w:sz w:val="18"/>
              </w:rPr>
              <w:t>核对实际限额和内存走势；不能凭启动 RSS 降低 AMF／SMF／UPF 内存</w:t>
            </w:r>
          </w:p>
        </w:tc>
      </w:tr>
    </w:tbl>
    <w:p>
      <w:pPr>
        <w:spacing w:after="40" w:line="48" w:lineRule="auto"/>
      </w:pPr>
    </w:p>
    <w:p>
      <w:pPr>
        <w:spacing w:line="264" w:lineRule="auto" w:before="80" w:after="160"/>
        <w:ind w:left="85" w:right="57"/>
        <w:shd w:fill="F0F4F8"/>
      </w:pPr>
      <w:r>
        <w:rPr>
          <w:rFonts w:ascii="Consolas" w:hAnsi="Consolas" w:eastAsia="Microsoft YaHei"/>
          <w:color w:val="203B56"/>
          <w:sz w:val="16"/>
        </w:rPr>
        <w:t>kubectl -n xcn describe pod POD_NAME</w:t>
        <w:br/>
        <w:t>kubectl -n xcn logs POD_NAME -c smf --previous --tail=200</w:t>
        <w:br/>
        <w:t>kubectl -n xcn get events --sort-by=.metadata.creationTimestamp</w:t>
      </w:r>
    </w:p>
    <w:p>
      <w:r>
        <w:rPr>
          <w:rFonts w:ascii="Arial" w:hAnsi="Arial" w:eastAsia="Microsoft YaHei"/>
          <w:b w:val="0"/>
          <w:i w:val="0"/>
        </w:rPr>
        <w:t>POD_NAME 替换为实际 Pod。previous 日志仅在存在上一实例时可用；kubectl top 需要已部署指标服务，无法获取时改用已有监控或经授权的系统指标。</w:t>
      </w:r>
    </w:p>
    <w:p>
      <w:pPr>
        <w:pStyle w:val="Heading2"/>
      </w:pPr>
      <w:r>
        <w:rPr>
          <w:rFonts w:ascii="Arial" w:hAnsi="Arial" w:eastAsia="Microsoft YaHei"/>
          <w:b w:val="0"/>
          <w:i w:val="0"/>
        </w:rPr>
        <w:t>5.3 基站无法接入／小区不可用</w:t>
      </w:r>
    </w:p>
    <w:p>
      <w:r>
        <w:rPr>
          <w:rFonts w:ascii="Arial" w:hAnsi="Arial" w:eastAsia="Microsoft YaHei"/>
          <w:b w:val="0"/>
          <w:i w:val="0"/>
        </w:rPr>
        <w:t>小区退服首先由无线侧与核心网联合定位。核心网侧检查 AMF 就绪、N2 地址和 SCTP/38412、NG Setup 结果及 PLMN／TAC／切片匹配；基站侧检查射频、授权、时钟、配置及传输链路。</w:t>
      </w:r>
    </w:p>
    <w:p>
      <w:pPr>
        <w:spacing w:line="264" w:lineRule="auto" w:before="80" w:after="160"/>
        <w:ind w:left="85" w:right="57"/>
        <w:shd w:fill="F0F4F8"/>
      </w:pPr>
      <w:r>
        <w:rPr>
          <w:rFonts w:ascii="Consolas" w:hAnsi="Consolas" w:eastAsia="Microsoft YaHei"/>
          <w:color w:val="203B56"/>
          <w:sz w:val="16"/>
        </w:rPr>
        <w:t>kubectl -n xcn exec deploy/xcn-5gc -c upf -- xcnctl show gnb --detail</w:t>
        <w:br/>
        <w:t>kubectl -n xcn exec deploy/xcn-5gc -c upf -- ss -lnp -A sctp</w:t>
        <w:br/>
        <w:t>kubectl -n xcn exec deploy/xcn-5gc -c upf -- \</w:t>
        <w:br/>
        <w:t xml:space="preserve">  tail -n 200 /var/log/open5gs/amf.log</w:t>
      </w:r>
    </w:p>
    <w:p>
      <w:r>
        <w:rPr>
          <w:rFonts w:ascii="Arial" w:hAnsi="Arial" w:eastAsia="Microsoft YaHei"/>
          <w:b w:val="0"/>
          <w:i w:val="0"/>
        </w:rPr>
        <w:t>无 gNB 项时，先判断 SCTP 未建立还是 NG Setup 被拒绝；已有 gNB 连接不代表小区射频正常或 UE 已注册。采用非 hostNetwork 时，额外核对 SCTP 的 hostPort／NodePort／CNI 路径，不用 TCP 探测结果替代。</w:t>
      </w:r>
    </w:p>
    <w:p>
      <w:pPr>
        <w:pStyle w:val="Heading2"/>
      </w:pPr>
      <w:r>
        <w:rPr>
          <w:rFonts w:ascii="Arial" w:hAnsi="Arial" w:eastAsia="Microsoft YaHei"/>
          <w:b w:val="0"/>
          <w:i w:val="0"/>
        </w:rPr>
        <w:t>5.4 UE 注册或鉴权失败</w:t>
      </w:r>
    </w:p>
    <w:p>
      <w:pPr>
        <w:pStyle w:val="ListNumber"/>
        <w:numPr>
          <w:ilvl w:val="0"/>
          <w:numId w:val="19"/>
        </w:numPr>
      </w:pPr>
      <w:r>
        <w:rPr>
          <w:rFonts w:ascii="Arial" w:hAnsi="Arial" w:eastAsia="Microsoft YaHei"/>
          <w:b w:val="0"/>
          <w:i w:val="0"/>
        </w:rPr>
        <w:t>确认基站已连接、UE 选择正确 PLMN／切片，订阅身份与 SIM 一致。</w:t>
      </w:r>
    </w:p>
    <w:p>
      <w:pPr>
        <w:pStyle w:val="ListNumber"/>
        <w:numPr>
          <w:ilvl w:val="0"/>
          <w:numId w:val="19"/>
        </w:numPr>
      </w:pPr>
      <w:r>
        <w:rPr>
          <w:rFonts w:ascii="Arial" w:hAnsi="Arial" w:eastAsia="Microsoft YaHei"/>
          <w:b w:val="0"/>
          <w:i w:val="0"/>
        </w:rPr>
        <w:t>核对鉴权密钥、OP／OPc 类型、鉴权管理参数及同步情况，由有权限人员处理，不在工单中公开完整密钥。</w:t>
      </w:r>
    </w:p>
    <w:p>
      <w:pPr>
        <w:pStyle w:val="ListNumber"/>
        <w:numPr>
          <w:ilvl w:val="0"/>
          <w:numId w:val="19"/>
        </w:numPr>
      </w:pPr>
      <w:r>
        <w:rPr>
          <w:rFonts w:ascii="Arial" w:hAnsi="Arial" w:eastAsia="Microsoft YaHei"/>
          <w:b w:val="0"/>
          <w:i w:val="0"/>
        </w:rPr>
        <w:t>确认 AUSF／UDM／UDR、MongoDB 和 NRF／SCP 可用，检查相关 SBI 及鉴权事件。</w:t>
      </w:r>
    </w:p>
    <w:p>
      <w:pPr>
        <w:pStyle w:val="ListNumber"/>
        <w:numPr>
          <w:ilvl w:val="0"/>
          <w:numId w:val="19"/>
        </w:numPr>
      </w:pPr>
      <w:r>
        <w:rPr>
          <w:rFonts w:ascii="Arial" w:hAnsi="Arial" w:eastAsia="Microsoft YaHei"/>
          <w:b w:val="0"/>
          <w:i w:val="0"/>
        </w:rPr>
        <w:t>按 SUPI 查询事件的失败阶段和 cause，将超时、明确拒绝、同步失败分开处理。</w:t>
      </w:r>
    </w:p>
    <w:p>
      <w:pPr>
        <w:spacing w:line="264" w:lineRule="auto" w:before="80" w:after="160"/>
        <w:ind w:left="85" w:right="57"/>
        <w:shd w:fill="F0F4F8"/>
      </w:pPr>
      <w:r>
        <w:rPr>
          <w:rFonts w:ascii="Consolas" w:hAnsi="Consolas" w:eastAsia="Microsoft YaHei"/>
          <w:color w:val="203B56"/>
          <w:sz w:val="16"/>
        </w:rPr>
        <w:t>kubectl -n xcn exec deploy/xcn-5gc -c upf -- \</w:t>
        <w:br/>
        <w:t xml:space="preserve">  xcnctl show ue --supi imsi-460110000000100 --detail</w:t>
        <w:br/>
        <w:t>kubectl -n xcn exec deploy/xcn-5gc -c upf -- \</w:t>
        <w:br/>
        <w:t xml:space="preserve">  xcnctl show ue-event --supi imsi-460110000000100 \</w:t>
        <w:br/>
        <w:t xml:space="preserve">  --since 30m --limit 200</w:t>
      </w:r>
    </w:p>
    <w:p>
      <w:r>
        <w:rPr>
          <w:rFonts w:ascii="Arial" w:hAnsi="Arial" w:eastAsia="Microsoft YaHei"/>
          <w:b w:val="0"/>
          <w:i w:val="0"/>
        </w:rPr>
        <w:t>尚未解析出 SUPI 的失败可能只存在匿名 trace 中，按 SUPI 查无记录不能直接认定未接入；必要时使用未过滤事件查询及 AMF 日志关联。UE 注销后可能保留 AMF 空闲上下文，不能仅以条目存在判断业务仍活动。</w:t>
      </w:r>
    </w:p>
    <w:p>
      <w:pPr>
        <w:pStyle w:val="Heading2"/>
      </w:pPr>
      <w:r>
        <w:rPr>
          <w:rFonts w:ascii="Arial" w:hAnsi="Arial" w:eastAsia="Microsoft YaHei"/>
          <w:b w:val="0"/>
          <w:i w:val="0"/>
        </w:rPr>
        <w:t>5.5 PDU 会话建立失败或已注册但业务不通</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阶段</w:t>
            </w:r>
          </w:p>
        </w:tc>
        <w:tc>
          <w:tcPr>
            <w:tcW w:type="dxa" w:w="6953"/>
            <w:vAlign w:val="center"/>
            <w:shd w:fill="214D72"/>
          </w:tcPr>
          <w:p>
            <w:pPr>
              <w:spacing w:line="288" w:lineRule="auto" w:before="60" w:after="60"/>
            </w:pPr>
            <w:r>
              <w:rPr>
                <w:rFonts w:ascii="Arial" w:hAnsi="Arial" w:eastAsia="Microsoft YaHei"/>
                <w:b/>
                <w:i w:val="0"/>
                <w:color w:val="FFFFFF"/>
                <w:sz w:val="18"/>
              </w:rPr>
              <w:t>重点核对</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会话申请</w:t>
            </w:r>
          </w:p>
        </w:tc>
        <w:tc>
          <w:tcPr>
            <w:tcW w:type="dxa" w:w="6953"/>
            <w:vAlign w:val="center"/>
          </w:tcPr>
          <w:p>
            <w:pPr>
              <w:spacing w:line="288" w:lineRule="auto" w:before="60" w:after="60"/>
            </w:pPr>
            <w:r>
              <w:rPr>
                <w:rFonts w:ascii="Arial" w:hAnsi="Arial" w:eastAsia="Microsoft YaHei"/>
                <w:b w:val="0"/>
                <w:i w:val="0"/>
                <w:color w:val="24384C"/>
                <w:sz w:val="18"/>
              </w:rPr>
              <w:t>DNN、S-NSSAI、订阅状态、会话类型、地址池可用性及静态地址冲突</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策略与资源</w:t>
            </w:r>
          </w:p>
        </w:tc>
        <w:tc>
          <w:tcPr>
            <w:tcW w:type="dxa" w:w="6953"/>
            <w:vAlign w:val="center"/>
            <w:shd w:fill="F4F7FA"/>
          </w:tcPr>
          <w:p>
            <w:pPr>
              <w:spacing w:line="288" w:lineRule="auto" w:before="60" w:after="60"/>
            </w:pPr>
            <w:r>
              <w:rPr>
                <w:rFonts w:ascii="Arial" w:hAnsi="Arial" w:eastAsia="Microsoft YaHei"/>
                <w:b w:val="0"/>
                <w:i w:val="0"/>
                <w:color w:val="24384C"/>
                <w:sz w:val="18"/>
              </w:rPr>
              <w:t>PCF／SMF 处理、QoS 参数、N2 资源分配及对端返回原因</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N4</w:t>
            </w:r>
          </w:p>
        </w:tc>
        <w:tc>
          <w:tcPr>
            <w:tcW w:type="dxa" w:w="6953"/>
            <w:vAlign w:val="center"/>
          </w:tcPr>
          <w:p>
            <w:pPr>
              <w:spacing w:line="288" w:lineRule="auto" w:before="60" w:after="60"/>
            </w:pPr>
            <w:r>
              <w:rPr>
                <w:rFonts w:ascii="Arial" w:hAnsi="Arial" w:eastAsia="Microsoft YaHei"/>
                <w:b w:val="0"/>
                <w:i w:val="0"/>
                <w:color w:val="24384C"/>
                <w:sz w:val="18"/>
              </w:rPr>
              <w:t>SMF－UPF PFCP 关联、会话建立／修改结果及 SEID</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N3</w:t>
            </w:r>
          </w:p>
        </w:tc>
        <w:tc>
          <w:tcPr>
            <w:tcW w:type="dxa" w:w="6953"/>
            <w:vAlign w:val="center"/>
            <w:shd w:fill="F4F7FA"/>
          </w:tcPr>
          <w:p>
            <w:pPr>
              <w:spacing w:line="288" w:lineRule="auto" w:before="60" w:after="60"/>
            </w:pPr>
            <w:r>
              <w:rPr>
                <w:rFonts w:ascii="Arial" w:hAnsi="Arial" w:eastAsia="Microsoft YaHei"/>
                <w:b w:val="0"/>
                <w:i w:val="0"/>
                <w:color w:val="24384C"/>
                <w:sz w:val="18"/>
              </w:rPr>
              <w:t>gNB 与 UPF 的真实可达地址、GTP-U 端口、TEID／QFI 及双向报文</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N6</w:t>
            </w:r>
          </w:p>
        </w:tc>
        <w:tc>
          <w:tcPr>
            <w:tcW w:type="dxa" w:w="6953"/>
            <w:vAlign w:val="center"/>
          </w:tcPr>
          <w:p>
            <w:pPr>
              <w:spacing w:line="288" w:lineRule="auto" w:before="60" w:after="60"/>
            </w:pPr>
            <w:r>
              <w:rPr>
                <w:rFonts w:ascii="Arial" w:hAnsi="Arial" w:eastAsia="Microsoft YaHei"/>
                <w:b w:val="0"/>
                <w:i w:val="0"/>
                <w:color w:val="24384C"/>
                <w:sz w:val="18"/>
              </w:rPr>
              <w:t>TUN 或 memif 实际模式、路由／转发、防火墙、NAT、DN 回程及业务监听</w:t>
            </w:r>
          </w:p>
        </w:tc>
      </w:tr>
    </w:tbl>
    <w:p>
      <w:pPr>
        <w:spacing w:after="40" w:line="48" w:lineRule="auto"/>
      </w:pPr>
    </w:p>
    <w:p>
      <w:r>
        <w:rPr>
          <w:rFonts w:ascii="Arial" w:hAnsi="Arial" w:eastAsia="Microsoft YaHei"/>
          <w:b w:val="0"/>
          <w:i w:val="0"/>
        </w:rPr>
        <w:t>从 UE 业务接口先测试指定内网 DN，再测试 DNS 和业务端口。gNB／宿主机自身能 ping DN 不代表 UE 用户面正常。show rate 的 PSI、QFI、5QI 与 UE 详情应按同一会话关联；不要把 PSI、UPF-SEID、QFI 或 TEID 互相替代。</w:t>
      </w:r>
    </w:p>
    <w:p>
      <w:pPr>
        <w:pStyle w:val="Heading2"/>
      </w:pPr>
      <w:r>
        <w:rPr>
          <w:rFonts w:ascii="Arial" w:hAnsi="Arial" w:eastAsia="Microsoft YaHei"/>
          <w:b w:val="0"/>
          <w:i w:val="0"/>
        </w:rPr>
        <w:t>5.6 传输中断、单向不通与丢包</w:t>
      </w:r>
    </w:p>
    <w:p>
      <w:r>
        <w:rPr>
          <w:rFonts w:ascii="Arial" w:hAnsi="Arial" w:eastAsia="Microsoft YaHei"/>
          <w:b w:val="0"/>
          <w:i w:val="0"/>
        </w:rPr>
        <w:t>按 N3 入、UPF、N6 出、N6 回、N3 回逐段比对同一测试流。核对报文长度、路径 MTU、校验和、接口状态和错误计数；主机抓包的 checksum offload 显示需结合实际接收点判断，不能直接把所有“bad checksum”认定为线上错误。</w:t>
      </w:r>
    </w:p>
    <w:p>
      <w:r>
        <w:rPr>
          <w:rFonts w:ascii="Arial" w:hAnsi="Arial" w:eastAsia="Microsoft YaHei"/>
          <w:b w:val="0"/>
          <w:i w:val="0"/>
        </w:rPr>
        <w:t>TUN 模式在 UPF／hostNetwork 中可使用以下有限抓包命令；抓包包含敏感数据，注意授权和存储：</w:t>
      </w:r>
    </w:p>
    <w:p>
      <w:pPr>
        <w:spacing w:line="264" w:lineRule="auto" w:before="80" w:after="160"/>
        <w:ind w:left="85" w:right="57"/>
        <w:shd w:fill="F0F4F8"/>
      </w:pPr>
      <w:r>
        <w:rPr>
          <w:rFonts w:ascii="Consolas" w:hAnsi="Consolas" w:eastAsia="Microsoft YaHei"/>
          <w:color w:val="203B56"/>
          <w:sz w:val="16"/>
        </w:rPr>
        <w:t>kubectl -n xcn exec deploy/xcn-5gc -c upf -- \</w:t>
        <w:br/>
        <w:t xml:space="preserve">  tcpdump -ni any -nn -c 100 'udp port 2152'</w:t>
      </w:r>
    </w:p>
    <w:p>
      <w:r>
        <w:rPr>
          <w:rFonts w:ascii="Arial" w:hAnsi="Arial" w:eastAsia="Microsoft YaHei"/>
          <w:b w:val="0"/>
          <w:i w:val="0"/>
        </w:rPr>
        <w:t>memif／DPDK 模式的 VF 流量可能绕过 Linux tcpdump，需使用适用的 VPP 抓包／trace 或镜像端口；主机未抓到包不能直接证明 VF 未收包。重点检查 memif 连接、队列与 Worker 数、ring／队列拥塞、VF 链路、NUMA、VPP FIB 和 NAT44。</w:t>
      </w:r>
    </w:p>
    <w:p>
      <w:r>
        <w:rPr>
          <w:rFonts w:ascii="Arial" w:hAnsi="Arial" w:eastAsia="Microsoft YaHei"/>
          <w:b w:val="0"/>
          <w:i w:val="0"/>
        </w:rPr>
        <w:t>VF 或 Pod 重建后可能出现 MAC／邻居变化；先核对 ARP／邻居收敛再定向处置，禁止盲目清空全部邻居或宿主路由。外网探测丢包需与 N6 回包和主机直连对照，不能仅凭 UE ping 就判定核心网内部丢包。</w:t>
      </w:r>
    </w:p>
    <w:p>
      <w:pPr>
        <w:pStyle w:val="Heading2"/>
      </w:pPr>
      <w:r>
        <w:rPr>
          <w:rFonts w:ascii="Arial" w:hAnsi="Arial" w:eastAsia="Microsoft YaHei"/>
          <w:b w:val="0"/>
          <w:i w:val="0"/>
        </w:rPr>
        <w:t>5.7 时钟异常、事件时间与位置不一致</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问题</w:t>
            </w:r>
          </w:p>
        </w:tc>
        <w:tc>
          <w:tcPr>
            <w:tcW w:type="dxa" w:w="6953"/>
            <w:vAlign w:val="center"/>
            <w:shd w:fill="214D72"/>
          </w:tcPr>
          <w:p>
            <w:pPr>
              <w:spacing w:line="288" w:lineRule="auto" w:before="60" w:after="60"/>
            </w:pPr>
            <w:r>
              <w:rPr>
                <w:rFonts w:ascii="Arial" w:hAnsi="Arial" w:eastAsia="Microsoft YaHei"/>
                <w:b/>
                <w:i w:val="0"/>
                <w:color w:val="FFFFFF"/>
                <w:sz w:val="18"/>
              </w:rPr>
              <w:t>判断与处理</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宿主时间不同步</w:t>
            </w:r>
          </w:p>
        </w:tc>
        <w:tc>
          <w:tcPr>
            <w:tcW w:type="dxa" w:w="6953"/>
            <w:vAlign w:val="center"/>
          </w:tcPr>
          <w:p>
            <w:pPr>
              <w:spacing w:line="288" w:lineRule="auto" w:before="60" w:after="60"/>
            </w:pPr>
            <w:r>
              <w:rPr>
                <w:rFonts w:ascii="Arial" w:hAnsi="Arial" w:eastAsia="Microsoft YaHei"/>
                <w:b w:val="0"/>
                <w:i w:val="0"/>
                <w:color w:val="24384C"/>
                <w:sz w:val="18"/>
              </w:rPr>
              <w:t>检查 timedatectl、实际 NTP／PTP 服务及时间源连通性，按平台规范校时；校时前后保留时间偏差记录</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gNB 时钟失步</w:t>
            </w:r>
          </w:p>
        </w:tc>
        <w:tc>
          <w:tcPr>
            <w:tcW w:type="dxa" w:w="6953"/>
            <w:vAlign w:val="center"/>
            <w:shd w:fill="F4F7FA"/>
          </w:tcPr>
          <w:p>
            <w:pPr>
              <w:spacing w:line="288" w:lineRule="auto" w:before="60" w:after="60"/>
            </w:pPr>
            <w:r>
              <w:rPr>
                <w:rFonts w:ascii="Arial" w:hAnsi="Arial" w:eastAsia="Microsoft YaHei"/>
                <w:b w:val="0"/>
                <w:i w:val="0"/>
                <w:color w:val="24384C"/>
                <w:sz w:val="18"/>
              </w:rPr>
              <w:t>检查基站 GNSS／PTP／SyncE、传输与时钟源；核心网不提供射频时钟锁定能力</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事件时间难以关联</w:t>
            </w:r>
          </w:p>
        </w:tc>
        <w:tc>
          <w:tcPr>
            <w:tcW w:type="dxa" w:w="6953"/>
            <w:vAlign w:val="center"/>
          </w:tcPr>
          <w:p>
            <w:pPr>
              <w:spacing w:line="288" w:lineRule="auto" w:before="60" w:after="60"/>
            </w:pPr>
            <w:r>
              <w:rPr>
                <w:rFonts w:ascii="Arial" w:hAnsi="Arial" w:eastAsia="Microsoft YaHei"/>
                <w:b w:val="0"/>
                <w:i w:val="0"/>
                <w:color w:val="24384C"/>
                <w:sz w:val="18"/>
              </w:rPr>
              <w:t>xcnctl 事件为 UTC；跨网元对时后仍须按 trace／流程标识关联，不仅按显示顺序断定因果</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gNB ID 与 NCI 前缀不一致</w:t>
            </w:r>
          </w:p>
        </w:tc>
        <w:tc>
          <w:tcPr>
            <w:tcW w:type="dxa" w:w="6953"/>
            <w:vAlign w:val="center"/>
            <w:shd w:fill="F4F7FA"/>
          </w:tcPr>
          <w:p>
            <w:pPr>
              <w:spacing w:line="288" w:lineRule="auto" w:before="60" w:after="60"/>
            </w:pPr>
            <w:r>
              <w:rPr>
                <w:rFonts w:ascii="Arial" w:hAnsi="Arial" w:eastAsia="Microsoft YaHei"/>
                <w:b w:val="0"/>
                <w:i w:val="0"/>
                <w:color w:val="24384C"/>
                <w:sz w:val="18"/>
              </w:rPr>
              <w:t>核对基站配置的 gNB ID、NGAP 上报 ID 位宽、NCI 和 PLMN；CLI 显示 mismatch，不应把解码 ID 覆盖上报 ID</w:t>
            </w:r>
          </w:p>
        </w:tc>
      </w:tr>
    </w:tbl>
    <w:p>
      <w:pPr>
        <w:spacing w:after="40" w:line="48" w:lineRule="auto"/>
      </w:pPr>
    </w:p>
    <w:p>
      <w:r>
        <w:rPr>
          <w:rFonts w:ascii="Arial" w:hAnsi="Arial" w:eastAsia="Microsoft YaHei"/>
          <w:b w:val="0"/>
          <w:i w:val="0"/>
        </w:rPr>
        <w:t>NCI 为 36 位，若 gNB ID 长度为 L，则本地小区号由低 36-L 位解码。示例：上报 gNB ID=3584、L=28，而 NCI=0x0000e014e 时，解码 gNB ID=3585、CELL-ID=78，两者不一致。应检查基站标识配置；CELL-ID=78 不是 PCI，也不应擅自假定位宽为 22。</w:t>
      </w:r>
    </w:p>
    <w:p>
      <w:pPr>
        <w:pStyle w:val="Heading2"/>
      </w:pPr>
      <w:r>
        <w:rPr>
          <w:rFonts w:ascii="Arial" w:hAnsi="Arial" w:eastAsia="Microsoft YaHei"/>
          <w:b w:val="0"/>
          <w:i w:val="0"/>
        </w:rPr>
        <w:t>5.8 后路由、QoS 和可选业务问题</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现象</w:t>
            </w:r>
          </w:p>
        </w:tc>
        <w:tc>
          <w:tcPr>
            <w:tcW w:type="dxa" w:w="6953"/>
            <w:vAlign w:val="center"/>
            <w:shd w:fill="214D72"/>
          </w:tcPr>
          <w:p>
            <w:pPr>
              <w:spacing w:line="288" w:lineRule="auto" w:before="60" w:after="60"/>
            </w:pPr>
            <w:r>
              <w:rPr>
                <w:rFonts w:ascii="Arial" w:hAnsi="Arial" w:eastAsia="Microsoft YaHei"/>
                <w:b/>
                <w:i w:val="0"/>
                <w:color w:val="FFFFFF"/>
                <w:sz w:val="18"/>
              </w:rPr>
              <w:t>检查要点</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WebUI 已保存后路由但不通</w:t>
            </w:r>
          </w:p>
        </w:tc>
        <w:tc>
          <w:tcPr>
            <w:tcW w:type="dxa" w:w="6953"/>
            <w:vAlign w:val="center"/>
          </w:tcPr>
          <w:p>
            <w:pPr>
              <w:spacing w:line="288" w:lineRule="auto" w:before="60" w:after="60"/>
            </w:pPr>
            <w:r>
              <w:rPr>
                <w:rFonts w:ascii="Arial" w:hAnsi="Arial" w:eastAsia="Microsoft YaHei"/>
                <w:b w:val="0"/>
                <w:i w:val="0"/>
                <w:color w:val="24384C"/>
                <w:sz w:val="18"/>
              </w:rPr>
              <w:t>确认在正确的切片／DNN Session 配置、会话已重建、UE 开启相应转发，并具有 UPF／Linux／VPP／DN 双向路由</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UE 可主动访问，DN 无法主动访问</w:t>
            </w:r>
          </w:p>
        </w:tc>
        <w:tc>
          <w:tcPr>
            <w:tcW w:type="dxa" w:w="6953"/>
            <w:vAlign w:val="center"/>
            <w:shd w:fill="F4F7FA"/>
          </w:tcPr>
          <w:p>
            <w:pPr>
              <w:spacing w:line="288" w:lineRule="auto" w:before="60" w:after="60"/>
            </w:pPr>
            <w:r>
              <w:rPr>
                <w:rFonts w:ascii="Arial" w:hAnsi="Arial" w:eastAsia="Microsoft YaHei"/>
                <w:b w:val="0"/>
                <w:i w:val="0"/>
                <w:color w:val="24384C"/>
                <w:sz w:val="18"/>
              </w:rPr>
              <w:t>检查 NAT／防火墙／回程；不能默认 MASQUERADE 允许 DN 发起新连接</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小 ping 正常，TCP 大报文停顿</w:t>
            </w:r>
          </w:p>
        </w:tc>
        <w:tc>
          <w:tcPr>
            <w:tcW w:type="dxa" w:w="6953"/>
            <w:vAlign w:val="center"/>
          </w:tcPr>
          <w:p>
            <w:pPr>
              <w:spacing w:line="288" w:lineRule="auto" w:before="60" w:after="60"/>
            </w:pPr>
            <w:r>
              <w:rPr>
                <w:rFonts w:ascii="Arial" w:hAnsi="Arial" w:eastAsia="Microsoft YaHei"/>
                <w:b w:val="0"/>
                <w:i w:val="0"/>
                <w:color w:val="24384C"/>
                <w:sz w:val="18"/>
              </w:rPr>
              <w:t>检查全路径 MTU、分片／PMTU／MSS、后方设备 MTU 与 ICMP 策略，采用抓包和实际应用数据核验</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QoS 参数已下发但速率不符</w:t>
            </w:r>
          </w:p>
        </w:tc>
        <w:tc>
          <w:tcPr>
            <w:tcW w:type="dxa" w:w="6953"/>
            <w:vAlign w:val="center"/>
            <w:shd w:fill="F4F7FA"/>
          </w:tcPr>
          <w:p>
            <w:pPr>
              <w:spacing w:line="288" w:lineRule="auto" w:before="60" w:after="60"/>
            </w:pPr>
            <w:r>
              <w:rPr>
                <w:rFonts w:ascii="Arial" w:hAnsi="Arial" w:eastAsia="Microsoft YaHei"/>
                <w:b w:val="0"/>
                <w:i w:val="0"/>
                <w:color w:val="24384C"/>
                <w:sz w:val="18"/>
              </w:rPr>
              <w:t>检查规则命中、方向、QFI／5QI、N2／N4 结果及无线／传输瓶颈；速率统计不是带宽保证证明</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ePCO 用户意图无效果</w:t>
            </w:r>
          </w:p>
        </w:tc>
        <w:tc>
          <w:tcPr>
            <w:tcW w:type="dxa" w:w="6953"/>
            <w:vAlign w:val="center"/>
          </w:tcPr>
          <w:p>
            <w:pPr>
              <w:spacing w:line="288" w:lineRule="auto" w:before="60" w:after="60"/>
            </w:pPr>
            <w:r>
              <w:rPr>
                <w:rFonts w:ascii="Arial" w:hAnsi="Arial" w:eastAsia="Microsoft YaHei"/>
                <w:b w:val="0"/>
                <w:i w:val="0"/>
                <w:color w:val="24384C"/>
                <w:sz w:val="18"/>
              </w:rPr>
              <w:t>确认功能显式启用、运营商标识及双方私有容器一致，并查看 SMF／PCF 结果；默认关闭不属于故障</w:t>
            </w:r>
          </w:p>
        </w:tc>
      </w:tr>
    </w:tbl>
    <w:p>
      <w:pPr>
        <w:spacing w:after="40" w:line="48" w:lineRule="auto"/>
      </w:pPr>
    </w:p>
    <w:p>
      <w:r>
        <w:rPr>
          <w:rFonts w:ascii="Arial" w:hAnsi="Arial" w:eastAsia="Microsoft YaHei"/>
          <w:b w:val="0"/>
          <w:i w:val="0"/>
        </w:rPr>
        <w:t>ePCO 用户意图当前存在明确边界：混合 Requested QoS Rules／Flow Descriptions 请求、纯 IPv6 通知及真实 RAN 的 QFI／DRB 映射需按 R07 单独确认。默认通知示例使用明文 HTTP 且不提供鉴权／重试，正式使用需先落实相应业务与安全方案。核心网处理成功不能据此认定无线独立 DRB 或算力服务处理已成功。</w:t>
      </w:r>
    </w:p>
    <w:p>
      <w:pPr>
        <w:pStyle w:val="Heading2"/>
      </w:pPr>
      <w:r>
        <w:rPr>
          <w:rFonts w:ascii="Arial" w:hAnsi="Arial" w:eastAsia="Microsoft YaHei"/>
          <w:b w:val="0"/>
          <w:i w:val="0"/>
        </w:rPr>
        <w:t>5.9 干扰异常、驻波比及硬件告警</w:t>
      </w:r>
    </w:p>
    <w:p>
      <w:r>
        <w:rPr>
          <w:rFonts w:ascii="Arial" w:hAnsi="Arial" w:eastAsia="Microsoft YaHei"/>
          <w:b w:val="0"/>
          <w:i w:val="0"/>
        </w:rPr>
        <w:t>射频干扰、SINR 异常、VSWR 告警、天馈故障及无线功率属于基站／射频系统排查范围，XCN 不提供对应物理告警阈值或馈线维修步骤。核心网维护人员应提供故障时间、注册／会话／吞吐变化和相关 gNB 信息，协同无线侧检查频谱、天馈、接头、同步与调度。</w:t>
      </w:r>
    </w:p>
    <w:p>
      <w:r>
        <w:rPr>
          <w:rFonts w:ascii="Arial" w:hAnsi="Arial" w:eastAsia="Microsoft YaHei"/>
          <w:b w:val="0"/>
          <w:i w:val="0"/>
        </w:rPr>
        <w:t>服务器电源、风扇、温度、磁盘及网卡硬件告警通过原厂 BMC／系统管理工具处理；更换流程、热插拔条件和 LED 含义以实际设备说明为准。</w:t>
      </w:r>
    </w:p>
    <w:p>
      <w:pPr>
        <w:pStyle w:val="Heading2"/>
      </w:pPr>
      <w:r>
        <w:rPr>
          <w:rFonts w:ascii="Arial" w:hAnsi="Arial" w:eastAsia="Microsoft YaHei"/>
          <w:b w:val="0"/>
          <w:i w:val="0"/>
        </w:rPr>
        <w:t>5.10 主机、容器与代理网络异常</w:t>
      </w:r>
    </w:p>
    <w:p>
      <w:r>
        <w:rPr>
          <w:rFonts w:ascii="Arial" w:hAnsi="Arial" w:eastAsia="Microsoft YaHei"/>
          <w:b w:val="0"/>
          <w:i w:val="0"/>
        </w:rPr>
        <w:t>当前环境可能使用 clashctl／Clash，排查时同时确认 shell 环境变量代理、服务代理和 TUN／透明转发规则；环境变量直连成功不代表透明代理已被绕过。N2／N3、本机回环、Kubernetes API、Pod／Service 网段和业务内网应按实际代理方案设置直连。</w:t>
      </w:r>
    </w:p>
    <w:p>
      <w:r>
        <w:rPr>
          <w:rFonts w:ascii="Arial" w:hAnsi="Arial" w:eastAsia="Microsoft YaHei"/>
          <w:b w:val="0"/>
          <w:i w:val="0"/>
        </w:rPr>
        <w:t>先保留原状态并检查代理是否截获目标，再使用单次命令绕过环境变量代理进行只读对照：</w:t>
      </w:r>
    </w:p>
    <w:p>
      <w:pPr>
        <w:spacing w:line="264" w:lineRule="auto" w:before="80" w:after="160"/>
        <w:ind w:left="85" w:right="57"/>
        <w:shd w:fill="F0F4F8"/>
      </w:pPr>
      <w:r>
        <w:rPr>
          <w:rFonts w:ascii="Consolas" w:hAnsi="Consolas" w:eastAsia="Microsoft YaHei"/>
          <w:color w:val="203B56"/>
          <w:sz w:val="16"/>
        </w:rPr>
        <w:t>env -u HTTP_PROXY -u HTTPS_PROXY -u ALL_PROXY \</w:t>
        <w:br/>
        <w:t xml:space="preserve">  -u http_proxy -u https_proxy -u all_proxy \</w:t>
        <w:br/>
        <w:t xml:space="preserve">  kubectl --request-timeout=10s -n xcn get pods</w:t>
      </w:r>
    </w:p>
    <w:p>
      <w:r>
        <w:rPr>
          <w:rFonts w:ascii="Arial" w:hAnsi="Arial" w:eastAsia="Microsoft YaHei"/>
          <w:b w:val="0"/>
          <w:i w:val="0"/>
        </w:rPr>
        <w:t>仍不通时，核对 NO_PROXY／no_proxy、kubeconfig 中的代理设置、透明转发、路由与防火墙。不要为排查一个目标而全局关闭防火墙或代理。Docker 构建桥接网络异常时，可在已确认安全边界的构建环境尝试 --network host，但这不替代容器 DNS、镜像仓库证书和代理规则的修正。</w:t>
      </w:r>
    </w:p>
    <w:p>
      <w:pPr>
        <w:pStyle w:val="Heading2"/>
      </w:pPr>
      <w:r>
        <w:rPr>
          <w:rFonts w:ascii="Arial" w:hAnsi="Arial" w:eastAsia="Microsoft YaHei"/>
          <w:b w:val="0"/>
          <w:i w:val="0"/>
        </w:rPr>
        <w:t>5.11 应急处理与备件更换</w:t>
      </w:r>
    </w:p>
    <w:p>
      <w:pPr>
        <w:pStyle w:val="ListNumber"/>
        <w:numPr>
          <w:ilvl w:val="0"/>
          <w:numId w:val="20"/>
        </w:numPr>
      </w:pPr>
      <w:r>
        <w:rPr>
          <w:rFonts w:ascii="Arial" w:hAnsi="Arial" w:eastAsia="Microsoft YaHei"/>
          <w:b w:val="0"/>
          <w:i w:val="0"/>
        </w:rPr>
      </w:r>
      <w:r>
        <w:rPr>
          <w:rFonts w:ascii="Arial" w:hAnsi="Arial" w:eastAsia="Microsoft YaHei"/>
          <w:b/>
          <w:i w:val="0"/>
        </w:rPr>
        <w:t>界定影响</w:t>
      </w:r>
      <w:r>
        <w:rPr>
          <w:rFonts w:ascii="Arial" w:hAnsi="Arial" w:eastAsia="Microsoft YaHei"/>
          <w:b w:val="0"/>
          <w:i w:val="0"/>
        </w:rPr>
        <w:t>：确认是否为单 UE、单基站、单网元或整站故障，记录时间和最后变更。</w:t>
      </w:r>
    </w:p>
    <w:p>
      <w:pPr>
        <w:pStyle w:val="ListNumber"/>
        <w:numPr>
          <w:ilvl w:val="0"/>
          <w:numId w:val="20"/>
        </w:numPr>
      </w:pPr>
      <w:r>
        <w:rPr>
          <w:rFonts w:ascii="Arial" w:hAnsi="Arial" w:eastAsia="Microsoft YaHei"/>
          <w:b w:val="0"/>
          <w:i w:val="0"/>
        </w:rPr>
      </w:r>
      <w:r>
        <w:rPr>
          <w:rFonts w:ascii="Arial" w:hAnsi="Arial" w:eastAsia="Microsoft YaHei"/>
          <w:b/>
          <w:i w:val="0"/>
        </w:rPr>
        <w:t>保留证据</w:t>
      </w:r>
      <w:r>
        <w:rPr>
          <w:rFonts w:ascii="Arial" w:hAnsi="Arial" w:eastAsia="Microsoft YaHei"/>
          <w:b w:val="0"/>
          <w:i w:val="0"/>
        </w:rPr>
        <w:t>：保存 Pod events、日志、诊断快照和必要抓包；网元重启会清除内存事件与相关运行状态。</w:t>
      </w:r>
    </w:p>
    <w:p>
      <w:pPr>
        <w:pStyle w:val="ListNumber"/>
        <w:numPr>
          <w:ilvl w:val="0"/>
          <w:numId w:val="20"/>
        </w:numPr>
      </w:pPr>
      <w:r>
        <w:rPr>
          <w:rFonts w:ascii="Arial" w:hAnsi="Arial" w:eastAsia="Microsoft YaHei"/>
          <w:b w:val="0"/>
          <w:i w:val="0"/>
        </w:rPr>
      </w:r>
      <w:r>
        <w:rPr>
          <w:rFonts w:ascii="Arial" w:hAnsi="Arial" w:eastAsia="Microsoft YaHei"/>
          <w:b/>
          <w:i w:val="0"/>
        </w:rPr>
        <w:t>优先恢复前提</w:t>
      </w:r>
      <w:r>
        <w:rPr>
          <w:rFonts w:ascii="Arial" w:hAnsi="Arial" w:eastAsia="Microsoft YaHei"/>
          <w:b w:val="0"/>
          <w:i w:val="0"/>
        </w:rPr>
        <w:t>：修复供电、链路、存储、地址冲突、路由或依赖服务，避免反复重启掩盖原因。</w:t>
      </w:r>
    </w:p>
    <w:p>
      <w:pPr>
        <w:pStyle w:val="ListNumber"/>
        <w:numPr>
          <w:ilvl w:val="0"/>
          <w:numId w:val="20"/>
        </w:numPr>
      </w:pPr>
      <w:r>
        <w:rPr>
          <w:rFonts w:ascii="Arial" w:hAnsi="Arial" w:eastAsia="Microsoft YaHei"/>
          <w:b w:val="0"/>
          <w:i w:val="0"/>
        </w:rPr>
      </w:r>
      <w:r>
        <w:rPr>
          <w:rFonts w:ascii="Arial" w:hAnsi="Arial" w:eastAsia="Microsoft YaHei"/>
          <w:b/>
          <w:i w:val="0"/>
        </w:rPr>
        <w:t>最小范围恢复</w:t>
      </w:r>
      <w:r>
        <w:rPr>
          <w:rFonts w:ascii="Arial" w:hAnsi="Arial" w:eastAsia="Microsoft YaHei"/>
          <w:b w:val="0"/>
          <w:i w:val="0"/>
        </w:rPr>
        <w:t>：在已批准的维护条件下选择回退配置、恢复原镜像或重建受影响工作负载。xcn-5gc 的重建会同时影响该 Pod 内所有网元，不能当作单 UE 无损复位。</w:t>
      </w:r>
    </w:p>
    <w:p>
      <w:pPr>
        <w:pStyle w:val="ListNumber"/>
        <w:numPr>
          <w:ilvl w:val="0"/>
          <w:numId w:val="20"/>
        </w:numPr>
      </w:pPr>
      <w:r>
        <w:rPr>
          <w:rFonts w:ascii="Arial" w:hAnsi="Arial" w:eastAsia="Microsoft YaHei"/>
          <w:b w:val="0"/>
          <w:i w:val="0"/>
        </w:rPr>
      </w:r>
      <w:r>
        <w:rPr>
          <w:rFonts w:ascii="Arial" w:hAnsi="Arial" w:eastAsia="Microsoft YaHei"/>
          <w:b/>
          <w:i w:val="0"/>
        </w:rPr>
        <w:t>备件更换</w:t>
      </w:r>
      <w:r>
        <w:rPr>
          <w:rFonts w:ascii="Arial" w:hAnsi="Arial" w:eastAsia="Microsoft YaHei"/>
          <w:b w:val="0"/>
          <w:i w:val="0"/>
        </w:rPr>
        <w:t>：按硬件说明更换电源、磁盘、网卡或服务器，核对序列号、驱动／固件、网口／VF／MAC、存储与镜像，再恢复配置；不把故障盘上的数据视作已备份。</w:t>
      </w:r>
    </w:p>
    <w:p>
      <w:pPr>
        <w:pStyle w:val="ListNumber"/>
        <w:numPr>
          <w:ilvl w:val="0"/>
          <w:numId w:val="20"/>
        </w:numPr>
      </w:pPr>
      <w:r>
        <w:rPr>
          <w:rFonts w:ascii="Arial" w:hAnsi="Arial" w:eastAsia="Microsoft YaHei"/>
          <w:b w:val="0"/>
          <w:i w:val="0"/>
        </w:rPr>
      </w:r>
      <w:r>
        <w:rPr>
          <w:rFonts w:ascii="Arial" w:hAnsi="Arial" w:eastAsia="Microsoft YaHei"/>
          <w:b/>
          <w:i w:val="0"/>
        </w:rPr>
        <w:t>业务复核</w:t>
      </w:r>
      <w:r>
        <w:rPr>
          <w:rFonts w:ascii="Arial" w:hAnsi="Arial" w:eastAsia="Microsoft YaHei"/>
          <w:b w:val="0"/>
          <w:i w:val="0"/>
        </w:rPr>
        <w:t>：检查网元就绪、gNB 重连、UE 重注册、会话和双向业务，记录实际恢复耗时与剩余风险。</w:t>
      </w:r>
    </w:p>
    <w:p>
      <w:r>
        <w:rPr>
          <w:rFonts w:ascii="Arial" w:hAnsi="Arial" w:eastAsia="Microsoft YaHei"/>
          <w:b w:val="0"/>
          <w:i w:val="0"/>
        </w:rPr>
        <w:t>当前默认单实例部署未提供通用双机热备和会话无损倒换。涉及整机损坏、数据库损坏或区域故障时，按已验证的备份恢复和替代节点方案执行；临时降载、限制新增接入或切回已验收的 TUN 模式，应作为有维护影响的受控变更。</w:t>
      </w:r>
    </w:p>
    <w:p>
      <w:pPr>
        <w:pStyle w:val="Heading1"/>
        <w:pageBreakBefore/>
      </w:pPr>
      <w:r>
        <w:rPr>
          <w:rFonts w:ascii="Arial" w:hAnsi="Arial" w:eastAsia="Microsoft YaHei"/>
          <w:b w:val="0"/>
          <w:i w:val="0"/>
        </w:rPr>
        <w:t>6. 附录</w:t>
      </w:r>
    </w:p>
    <w:p>
      <w:pPr>
        <w:pStyle w:val="Heading2"/>
      </w:pPr>
      <w:r>
        <w:rPr>
          <w:rFonts w:ascii="Arial" w:hAnsi="Arial" w:eastAsia="Microsoft YaHei"/>
          <w:b w:val="0"/>
          <w:i w:val="0"/>
        </w:rPr>
        <w:t>6.1 物理接口与引脚说明</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接口类型</w:t>
            </w:r>
          </w:p>
        </w:tc>
        <w:tc>
          <w:tcPr>
            <w:tcW w:type="dxa" w:w="3143"/>
            <w:vAlign w:val="center"/>
            <w:shd w:fill="214D72"/>
          </w:tcPr>
          <w:p>
            <w:pPr>
              <w:spacing w:line="288" w:lineRule="auto" w:before="60" w:after="60"/>
            </w:pPr>
            <w:r>
              <w:rPr>
                <w:rFonts w:ascii="Arial" w:hAnsi="Arial" w:eastAsia="Microsoft YaHei"/>
                <w:b/>
                <w:i w:val="0"/>
                <w:color w:val="FFFFFF"/>
                <w:sz w:val="18"/>
              </w:rPr>
              <w:t>XCN 适用说明</w:t>
            </w:r>
          </w:p>
        </w:tc>
        <w:tc>
          <w:tcPr>
            <w:tcW w:type="dxa" w:w="4191"/>
            <w:vAlign w:val="center"/>
            <w:shd w:fill="214D72"/>
          </w:tcPr>
          <w:p>
            <w:pPr>
              <w:spacing w:line="288" w:lineRule="auto" w:before="60" w:after="60"/>
            </w:pPr>
            <w:r>
              <w:rPr>
                <w:rFonts w:ascii="Arial" w:hAnsi="Arial" w:eastAsia="Microsoft YaHei"/>
                <w:b/>
                <w:i w:val="0"/>
                <w:color w:val="FFFFFF"/>
                <w:sz w:val="18"/>
              </w:rPr>
              <w:t>需要附入的资料</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以太网电口</w:t>
            </w:r>
          </w:p>
        </w:tc>
        <w:tc>
          <w:tcPr>
            <w:tcW w:type="dxa" w:w="3143"/>
            <w:vAlign w:val="center"/>
          </w:tcPr>
          <w:p>
            <w:pPr>
              <w:spacing w:line="288" w:lineRule="auto" w:before="60" w:after="60"/>
            </w:pPr>
            <w:r>
              <w:rPr>
                <w:rFonts w:ascii="Arial" w:hAnsi="Arial" w:eastAsia="Microsoft YaHei"/>
                <w:b w:val="0"/>
                <w:i w:val="0"/>
                <w:color w:val="24384C"/>
                <w:sz w:val="18"/>
              </w:rPr>
              <w:t>具体速率、RJ45 形式、端口编号由服务器／网卡确定</w:t>
            </w:r>
          </w:p>
        </w:tc>
        <w:tc>
          <w:tcPr>
            <w:tcW w:type="dxa" w:w="4191"/>
            <w:vAlign w:val="center"/>
          </w:tcPr>
          <w:p>
            <w:pPr>
              <w:spacing w:line="288" w:lineRule="auto" w:before="60" w:after="60"/>
            </w:pPr>
            <w:r>
              <w:rPr>
                <w:rFonts w:ascii="Arial" w:hAnsi="Arial" w:eastAsia="Microsoft YaHei"/>
                <w:b w:val="0"/>
                <w:i w:val="0"/>
                <w:color w:val="24384C"/>
                <w:sz w:val="18"/>
              </w:rPr>
              <w:t>实际型号端口图、链路速率及线缆类别</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光口</w:t>
            </w:r>
          </w:p>
        </w:tc>
        <w:tc>
          <w:tcPr>
            <w:tcW w:type="dxa" w:w="3143"/>
            <w:vAlign w:val="center"/>
            <w:shd w:fill="F4F7FA"/>
          </w:tcPr>
          <w:p>
            <w:pPr>
              <w:spacing w:line="288" w:lineRule="auto" w:before="60" w:after="60"/>
            </w:pPr>
            <w:r>
              <w:rPr>
                <w:rFonts w:ascii="Arial" w:hAnsi="Arial" w:eastAsia="Microsoft YaHei"/>
                <w:b w:val="0"/>
                <w:i w:val="0"/>
                <w:color w:val="24384C"/>
                <w:sz w:val="18"/>
              </w:rPr>
              <w:t>SFP／SFP+／其他形态及光模块兼容性由设备确定</w:t>
            </w:r>
          </w:p>
        </w:tc>
        <w:tc>
          <w:tcPr>
            <w:tcW w:type="dxa" w:w="4191"/>
            <w:vAlign w:val="center"/>
            <w:shd w:fill="F4F7FA"/>
          </w:tcPr>
          <w:p>
            <w:pPr>
              <w:spacing w:line="288" w:lineRule="auto" w:before="60" w:after="60"/>
            </w:pPr>
            <w:r>
              <w:rPr>
                <w:rFonts w:ascii="Arial" w:hAnsi="Arial" w:eastAsia="Microsoft YaHei"/>
                <w:b w:val="0"/>
                <w:i w:val="0"/>
                <w:color w:val="24384C"/>
                <w:sz w:val="18"/>
              </w:rPr>
              <w:t>光模块型号、波长、距离、连接器与配对要求</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BMC／串口／USB</w:t>
            </w:r>
          </w:p>
        </w:tc>
        <w:tc>
          <w:tcPr>
            <w:tcW w:type="dxa" w:w="3143"/>
            <w:vAlign w:val="center"/>
          </w:tcPr>
          <w:p>
            <w:pPr>
              <w:spacing w:line="288" w:lineRule="auto" w:before="60" w:after="60"/>
            </w:pPr>
            <w:r>
              <w:rPr>
                <w:rFonts w:ascii="Arial" w:hAnsi="Arial" w:eastAsia="Microsoft YaHei"/>
                <w:b w:val="0"/>
                <w:i w:val="0"/>
                <w:color w:val="24384C"/>
                <w:sz w:val="18"/>
              </w:rPr>
              <w:t>硬件维护入口，不等同于核心网 N2／N3 接口</w:t>
            </w:r>
          </w:p>
        </w:tc>
        <w:tc>
          <w:tcPr>
            <w:tcW w:type="dxa" w:w="4191"/>
            <w:vAlign w:val="center"/>
          </w:tcPr>
          <w:p>
            <w:pPr>
              <w:spacing w:line="288" w:lineRule="auto" w:before="60" w:after="60"/>
            </w:pPr>
            <w:r>
              <w:rPr>
                <w:rFonts w:ascii="Arial" w:hAnsi="Arial" w:eastAsia="Microsoft YaHei"/>
                <w:b w:val="0"/>
                <w:i w:val="0"/>
                <w:color w:val="24384C"/>
                <w:sz w:val="18"/>
              </w:rPr>
              <w:t>原厂管理与 Pinout 文档</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电源／接地／告警口</w:t>
            </w:r>
          </w:p>
        </w:tc>
        <w:tc>
          <w:tcPr>
            <w:tcW w:type="dxa" w:w="3143"/>
            <w:vAlign w:val="center"/>
            <w:shd w:fill="F4F7FA"/>
          </w:tcPr>
          <w:p>
            <w:pPr>
              <w:spacing w:line="288" w:lineRule="auto" w:before="60" w:after="60"/>
            </w:pPr>
            <w:r>
              <w:rPr>
                <w:rFonts w:ascii="Arial" w:hAnsi="Arial" w:eastAsia="Microsoft YaHei"/>
                <w:b w:val="0"/>
                <w:i w:val="0"/>
                <w:color w:val="24384C"/>
                <w:sz w:val="18"/>
              </w:rPr>
              <w:t>由实际硬件定义，禁止使用通用软件说明推断针脚和极性</w:t>
            </w:r>
          </w:p>
        </w:tc>
        <w:tc>
          <w:tcPr>
            <w:tcW w:type="dxa" w:w="4191"/>
            <w:vAlign w:val="center"/>
            <w:shd w:fill="F4F7FA"/>
          </w:tcPr>
          <w:p>
            <w:pPr>
              <w:spacing w:line="288" w:lineRule="auto" w:before="60" w:after="60"/>
            </w:pPr>
            <w:r>
              <w:rPr>
                <w:rFonts w:ascii="Arial" w:hAnsi="Arial" w:eastAsia="Microsoft YaHei"/>
                <w:b w:val="0"/>
                <w:i w:val="0"/>
                <w:color w:val="24384C"/>
                <w:sz w:val="18"/>
              </w:rPr>
              <w:t>原厂针脚图、额定值及接线说明</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GNSS／北斗／PTP</w:t>
            </w:r>
          </w:p>
        </w:tc>
        <w:tc>
          <w:tcPr>
            <w:tcW w:type="dxa" w:w="3143"/>
            <w:vAlign w:val="center"/>
          </w:tcPr>
          <w:p>
            <w:pPr>
              <w:spacing w:line="288" w:lineRule="auto" w:before="60" w:after="60"/>
            </w:pPr>
            <w:r>
              <w:rPr>
                <w:rFonts w:ascii="Arial" w:hAnsi="Arial" w:eastAsia="Microsoft YaHei"/>
                <w:b w:val="0"/>
                <w:i w:val="0"/>
                <w:color w:val="24384C"/>
                <w:sz w:val="18"/>
              </w:rPr>
              <w:t>非 XCN 核心网固定硬件接口</w:t>
            </w:r>
          </w:p>
        </w:tc>
        <w:tc>
          <w:tcPr>
            <w:tcW w:type="dxa" w:w="4191"/>
            <w:vAlign w:val="center"/>
          </w:tcPr>
          <w:p>
            <w:pPr>
              <w:spacing w:line="288" w:lineRule="auto" w:before="60" w:after="60"/>
            </w:pPr>
            <w:r>
              <w:rPr>
                <w:rFonts w:ascii="Arial" w:hAnsi="Arial" w:eastAsia="Microsoft YaHei"/>
                <w:b w:val="0"/>
                <w:i w:val="0"/>
                <w:color w:val="24384C"/>
                <w:sz w:val="18"/>
              </w:rPr>
              <w:t>若配套设备提供，附对应时钟硬件资料</w:t>
            </w:r>
          </w:p>
        </w:tc>
      </w:tr>
    </w:tbl>
    <w:p>
      <w:pPr>
        <w:spacing w:after="40" w:line="48" w:lineRule="auto"/>
      </w:pPr>
    </w:p>
    <w:p>
      <w:r>
        <w:rPr>
          <w:rFonts w:ascii="Arial" w:hAnsi="Arial" w:eastAsia="Microsoft YaHei"/>
          <w:b w:val="0"/>
          <w:i w:val="0"/>
        </w:rPr>
        <w:t>本产品的 N2、N3、N4、N6 为逻辑接口，不能一一等同于某个固定物理插座。投标供货为软硬件一体时，应附实际面板图及完整 Pinout；当前软件仓库不足以确定这些针脚。</w:t>
      </w:r>
    </w:p>
    <w:p>
      <w:pPr>
        <w:pStyle w:val="Heading2"/>
      </w:pPr>
      <w:r>
        <w:rPr>
          <w:rFonts w:ascii="Arial" w:hAnsi="Arial" w:eastAsia="Microsoft YaHei"/>
          <w:b w:val="0"/>
          <w:i w:val="0"/>
        </w:rPr>
        <w:t>6.2 指示灯与软件状态速查</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状态项</w:t>
            </w:r>
          </w:p>
        </w:tc>
        <w:tc>
          <w:tcPr>
            <w:tcW w:type="dxa" w:w="3143"/>
            <w:vAlign w:val="center"/>
            <w:shd w:fill="214D72"/>
          </w:tcPr>
          <w:p>
            <w:pPr>
              <w:spacing w:line="288" w:lineRule="auto" w:before="60" w:after="60"/>
            </w:pPr>
            <w:r>
              <w:rPr>
                <w:rFonts w:ascii="Arial" w:hAnsi="Arial" w:eastAsia="Microsoft YaHei"/>
                <w:b/>
                <w:i w:val="0"/>
                <w:color w:val="FFFFFF"/>
                <w:sz w:val="18"/>
              </w:rPr>
              <w:t>参考含义</w:t>
            </w:r>
          </w:p>
        </w:tc>
        <w:tc>
          <w:tcPr>
            <w:tcW w:type="dxa" w:w="4191"/>
            <w:vAlign w:val="center"/>
            <w:shd w:fill="214D72"/>
          </w:tcPr>
          <w:p>
            <w:pPr>
              <w:spacing w:line="288" w:lineRule="auto" w:before="60" w:after="60"/>
            </w:pPr>
            <w:r>
              <w:rPr>
                <w:rFonts w:ascii="Arial" w:hAnsi="Arial" w:eastAsia="Microsoft YaHei"/>
                <w:b/>
                <w:i w:val="0"/>
                <w:color w:val="FFFFFF"/>
                <w:sz w:val="18"/>
              </w:rPr>
              <w:t>后续检查</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服务器电源／故障／磁盘 LED</w:t>
            </w:r>
          </w:p>
        </w:tc>
        <w:tc>
          <w:tcPr>
            <w:tcW w:type="dxa" w:w="3143"/>
            <w:vAlign w:val="center"/>
          </w:tcPr>
          <w:p>
            <w:pPr>
              <w:spacing w:line="288" w:lineRule="auto" w:before="60" w:after="60"/>
            </w:pPr>
            <w:r>
              <w:rPr>
                <w:rFonts w:ascii="Arial" w:hAnsi="Arial" w:eastAsia="Microsoft YaHei"/>
                <w:b w:val="0"/>
                <w:i w:val="0"/>
                <w:color w:val="24384C"/>
                <w:sz w:val="18"/>
              </w:rPr>
              <w:t>颜色及闪烁频率随硬件型号不同</w:t>
            </w:r>
          </w:p>
        </w:tc>
        <w:tc>
          <w:tcPr>
            <w:tcW w:type="dxa" w:w="4191"/>
            <w:vAlign w:val="center"/>
          </w:tcPr>
          <w:p>
            <w:pPr>
              <w:spacing w:line="288" w:lineRule="auto" w:before="60" w:after="60"/>
            </w:pPr>
            <w:r>
              <w:rPr>
                <w:rFonts w:ascii="Arial" w:hAnsi="Arial" w:eastAsia="Microsoft YaHei"/>
                <w:b w:val="0"/>
                <w:i w:val="0"/>
                <w:color w:val="24384C"/>
                <w:sz w:val="18"/>
              </w:rPr>
              <w:t>查原厂状态表与 BMC，不编造统一颜色规则</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网口 Link／Activity LED</w:t>
            </w:r>
          </w:p>
        </w:tc>
        <w:tc>
          <w:tcPr>
            <w:tcW w:type="dxa" w:w="3143"/>
            <w:vAlign w:val="center"/>
            <w:shd w:fill="F4F7FA"/>
          </w:tcPr>
          <w:p>
            <w:pPr>
              <w:spacing w:line="288" w:lineRule="auto" w:before="60" w:after="60"/>
            </w:pPr>
            <w:r>
              <w:rPr>
                <w:rFonts w:ascii="Arial" w:hAnsi="Arial" w:eastAsia="Microsoft YaHei"/>
                <w:b w:val="0"/>
                <w:i w:val="0"/>
                <w:color w:val="24384C"/>
                <w:sz w:val="18"/>
              </w:rPr>
              <w:t>物理链路与活动提示，具体含义依网卡</w:t>
            </w:r>
          </w:p>
        </w:tc>
        <w:tc>
          <w:tcPr>
            <w:tcW w:type="dxa" w:w="4191"/>
            <w:vAlign w:val="center"/>
            <w:shd w:fill="F4F7FA"/>
          </w:tcPr>
          <w:p>
            <w:pPr>
              <w:spacing w:line="288" w:lineRule="auto" w:before="60" w:after="60"/>
            </w:pPr>
            <w:r>
              <w:rPr>
                <w:rFonts w:ascii="Arial" w:hAnsi="Arial" w:eastAsia="Microsoft YaHei"/>
                <w:b w:val="0"/>
                <w:i w:val="0"/>
                <w:color w:val="24384C"/>
                <w:sz w:val="18"/>
              </w:rPr>
              <w:t>结合链路速率、错误计数与业务流量判断</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节点 Ready</w:t>
            </w:r>
          </w:p>
        </w:tc>
        <w:tc>
          <w:tcPr>
            <w:tcW w:type="dxa" w:w="3143"/>
            <w:vAlign w:val="center"/>
          </w:tcPr>
          <w:p>
            <w:pPr>
              <w:spacing w:line="288" w:lineRule="auto" w:before="60" w:after="60"/>
            </w:pPr>
            <w:r>
              <w:rPr>
                <w:rFonts w:ascii="Arial" w:hAnsi="Arial" w:eastAsia="Microsoft YaHei"/>
                <w:b w:val="0"/>
                <w:i w:val="0"/>
                <w:color w:val="24384C"/>
                <w:sz w:val="18"/>
              </w:rPr>
              <w:t>kubelet 与平台就绪条件满足</w:t>
            </w:r>
          </w:p>
        </w:tc>
        <w:tc>
          <w:tcPr>
            <w:tcW w:type="dxa" w:w="4191"/>
            <w:vAlign w:val="center"/>
          </w:tcPr>
          <w:p>
            <w:pPr>
              <w:spacing w:line="288" w:lineRule="auto" w:before="60" w:after="60"/>
            </w:pPr>
            <w:r>
              <w:rPr>
                <w:rFonts w:ascii="Arial" w:hAnsi="Arial" w:eastAsia="Microsoft YaHei"/>
                <w:b w:val="0"/>
                <w:i w:val="0"/>
                <w:color w:val="24384C"/>
                <w:sz w:val="18"/>
              </w:rPr>
              <w:t>不替代核心网网元和业务检查</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Pod Running、READY 未满</w:t>
            </w:r>
          </w:p>
        </w:tc>
        <w:tc>
          <w:tcPr>
            <w:tcW w:type="dxa" w:w="3143"/>
            <w:vAlign w:val="center"/>
            <w:shd w:fill="F4F7FA"/>
          </w:tcPr>
          <w:p>
            <w:pPr>
              <w:spacing w:line="288" w:lineRule="auto" w:before="60" w:after="60"/>
            </w:pPr>
            <w:r>
              <w:rPr>
                <w:rFonts w:ascii="Arial" w:hAnsi="Arial" w:eastAsia="Microsoft YaHei"/>
                <w:b w:val="0"/>
                <w:i w:val="0"/>
                <w:color w:val="24384C"/>
                <w:sz w:val="18"/>
              </w:rPr>
              <w:t>容器已运行但部分未就绪</w:t>
            </w:r>
          </w:p>
        </w:tc>
        <w:tc>
          <w:tcPr>
            <w:tcW w:type="dxa" w:w="4191"/>
            <w:vAlign w:val="center"/>
            <w:shd w:fill="F4F7FA"/>
          </w:tcPr>
          <w:p>
            <w:pPr>
              <w:spacing w:line="288" w:lineRule="auto" w:before="60" w:after="60"/>
            </w:pPr>
            <w:r>
              <w:rPr>
                <w:rFonts w:ascii="Arial" w:hAnsi="Arial" w:eastAsia="Microsoft YaHei"/>
                <w:b w:val="0"/>
                <w:i w:val="0"/>
                <w:color w:val="24384C"/>
                <w:sz w:val="18"/>
              </w:rPr>
              <w:t>检查探针、依赖及事件</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Pod Running、READY 满额</w:t>
            </w:r>
          </w:p>
        </w:tc>
        <w:tc>
          <w:tcPr>
            <w:tcW w:type="dxa" w:w="3143"/>
            <w:vAlign w:val="center"/>
          </w:tcPr>
          <w:p>
            <w:pPr>
              <w:spacing w:line="288" w:lineRule="auto" w:before="60" w:after="60"/>
            </w:pPr>
            <w:r>
              <w:rPr>
                <w:rFonts w:ascii="Arial" w:hAnsi="Arial" w:eastAsia="Microsoft YaHei"/>
                <w:b w:val="0"/>
                <w:i w:val="0"/>
                <w:color w:val="24384C"/>
                <w:sz w:val="18"/>
              </w:rPr>
              <w:t>当前探针通过</w:t>
            </w:r>
          </w:p>
        </w:tc>
        <w:tc>
          <w:tcPr>
            <w:tcW w:type="dxa" w:w="4191"/>
            <w:vAlign w:val="center"/>
          </w:tcPr>
          <w:p>
            <w:pPr>
              <w:spacing w:line="288" w:lineRule="auto" w:before="60" w:after="60"/>
            </w:pPr>
            <w:r>
              <w:rPr>
                <w:rFonts w:ascii="Arial" w:hAnsi="Arial" w:eastAsia="Microsoft YaHei"/>
                <w:b w:val="0"/>
                <w:i w:val="0"/>
                <w:color w:val="24384C"/>
                <w:sz w:val="18"/>
              </w:rPr>
              <w:t>继续验证服务发现、N2／N4 与业务</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Pending／CrashLoopBackOff</w:t>
            </w:r>
          </w:p>
        </w:tc>
        <w:tc>
          <w:tcPr>
            <w:tcW w:type="dxa" w:w="3143"/>
            <w:vAlign w:val="center"/>
            <w:shd w:fill="F4F7FA"/>
          </w:tcPr>
          <w:p>
            <w:pPr>
              <w:spacing w:line="288" w:lineRule="auto" w:before="60" w:after="60"/>
            </w:pPr>
            <w:r>
              <w:rPr>
                <w:rFonts w:ascii="Arial" w:hAnsi="Arial" w:eastAsia="Microsoft YaHei"/>
                <w:b w:val="0"/>
                <w:i w:val="0"/>
                <w:color w:val="24384C"/>
                <w:sz w:val="18"/>
              </w:rPr>
              <w:t>未调度／启动后反复退出</w:t>
            </w:r>
          </w:p>
        </w:tc>
        <w:tc>
          <w:tcPr>
            <w:tcW w:type="dxa" w:w="4191"/>
            <w:vAlign w:val="center"/>
            <w:shd w:fill="F4F7FA"/>
          </w:tcPr>
          <w:p>
            <w:pPr>
              <w:spacing w:line="288" w:lineRule="auto" w:before="60" w:after="60"/>
            </w:pPr>
            <w:r>
              <w:rPr>
                <w:rFonts w:ascii="Arial" w:hAnsi="Arial" w:eastAsia="Microsoft YaHei"/>
                <w:b w:val="0"/>
                <w:i w:val="0"/>
                <w:color w:val="24384C"/>
                <w:sz w:val="18"/>
              </w:rPr>
              <w:t>按 5.2 检查</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PVC Bound</w:t>
            </w:r>
          </w:p>
        </w:tc>
        <w:tc>
          <w:tcPr>
            <w:tcW w:type="dxa" w:w="3143"/>
            <w:vAlign w:val="center"/>
          </w:tcPr>
          <w:p>
            <w:pPr>
              <w:spacing w:line="288" w:lineRule="auto" w:before="60" w:after="60"/>
            </w:pPr>
            <w:r>
              <w:rPr>
                <w:rFonts w:ascii="Arial" w:hAnsi="Arial" w:eastAsia="Microsoft YaHei"/>
                <w:b w:val="0"/>
                <w:i w:val="0"/>
                <w:color w:val="24384C"/>
                <w:sz w:val="18"/>
              </w:rPr>
              <w:t>卷已绑定</w:t>
            </w:r>
          </w:p>
        </w:tc>
        <w:tc>
          <w:tcPr>
            <w:tcW w:type="dxa" w:w="4191"/>
            <w:vAlign w:val="center"/>
          </w:tcPr>
          <w:p>
            <w:pPr>
              <w:spacing w:line="288" w:lineRule="auto" w:before="60" w:after="60"/>
            </w:pPr>
            <w:r>
              <w:rPr>
                <w:rFonts w:ascii="Arial" w:hAnsi="Arial" w:eastAsia="Microsoft YaHei"/>
                <w:b w:val="0"/>
                <w:i w:val="0"/>
                <w:color w:val="24384C"/>
                <w:sz w:val="18"/>
              </w:rPr>
              <w:t>仍需检查可写、容量、故障与备份</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NG Setup 成功</w:t>
            </w:r>
          </w:p>
        </w:tc>
        <w:tc>
          <w:tcPr>
            <w:tcW w:type="dxa" w:w="3143"/>
            <w:vAlign w:val="center"/>
            <w:shd w:fill="F4F7FA"/>
          </w:tcPr>
          <w:p>
            <w:pPr>
              <w:spacing w:line="288" w:lineRule="auto" w:before="60" w:after="60"/>
            </w:pPr>
            <w:r>
              <w:rPr>
                <w:rFonts w:ascii="Arial" w:hAnsi="Arial" w:eastAsia="Microsoft YaHei"/>
                <w:b w:val="0"/>
                <w:i w:val="0"/>
                <w:color w:val="24384C"/>
                <w:sz w:val="18"/>
              </w:rPr>
              <w:t>gNB 与 AMF 的 NG 接入成功</w:t>
            </w:r>
          </w:p>
        </w:tc>
        <w:tc>
          <w:tcPr>
            <w:tcW w:type="dxa" w:w="4191"/>
            <w:vAlign w:val="center"/>
            <w:shd w:fill="F4F7FA"/>
          </w:tcPr>
          <w:p>
            <w:pPr>
              <w:spacing w:line="288" w:lineRule="auto" w:before="60" w:after="60"/>
            </w:pPr>
            <w:r>
              <w:rPr>
                <w:rFonts w:ascii="Arial" w:hAnsi="Arial" w:eastAsia="Microsoft YaHei"/>
                <w:b w:val="0"/>
                <w:i w:val="0"/>
                <w:color w:val="24384C"/>
                <w:sz w:val="18"/>
              </w:rPr>
              <w:t>不代表 UE 注册或无线小区全部正常</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CM connected／idle</w:t>
            </w:r>
          </w:p>
        </w:tc>
        <w:tc>
          <w:tcPr>
            <w:tcW w:type="dxa" w:w="3143"/>
            <w:vAlign w:val="center"/>
          </w:tcPr>
          <w:p>
            <w:pPr>
              <w:spacing w:line="288" w:lineRule="auto" w:before="60" w:after="60"/>
            </w:pPr>
            <w:r>
              <w:rPr>
                <w:rFonts w:ascii="Arial" w:hAnsi="Arial" w:eastAsia="Microsoft YaHei"/>
                <w:b w:val="0"/>
                <w:i w:val="0"/>
                <w:color w:val="24384C"/>
                <w:sz w:val="18"/>
              </w:rPr>
              <w:t>UE 控制面连接态／空闲态</w:t>
            </w:r>
          </w:p>
        </w:tc>
        <w:tc>
          <w:tcPr>
            <w:tcW w:type="dxa" w:w="4191"/>
            <w:vAlign w:val="center"/>
          </w:tcPr>
          <w:p>
            <w:pPr>
              <w:spacing w:line="288" w:lineRule="auto" w:before="60" w:after="60"/>
            </w:pPr>
            <w:r>
              <w:rPr>
                <w:rFonts w:ascii="Arial" w:hAnsi="Arial" w:eastAsia="Microsoft YaHei"/>
                <w:b w:val="0"/>
                <w:i w:val="0"/>
                <w:color w:val="24384C"/>
                <w:sz w:val="18"/>
              </w:rPr>
              <w:t>idle 不等于注销，也不等于 PDU 已释放</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PDU active</w:t>
            </w:r>
          </w:p>
        </w:tc>
        <w:tc>
          <w:tcPr>
            <w:tcW w:type="dxa" w:w="3143"/>
            <w:vAlign w:val="center"/>
            <w:shd w:fill="F4F7FA"/>
          </w:tcPr>
          <w:p>
            <w:pPr>
              <w:spacing w:line="288" w:lineRule="auto" w:before="60" w:after="60"/>
            </w:pPr>
            <w:r>
              <w:rPr>
                <w:rFonts w:ascii="Arial" w:hAnsi="Arial" w:eastAsia="Microsoft YaHei"/>
                <w:b w:val="0"/>
                <w:i w:val="0"/>
                <w:color w:val="24384C"/>
                <w:sz w:val="18"/>
              </w:rPr>
              <w:t>对应会话状态为活动</w:t>
            </w:r>
          </w:p>
        </w:tc>
        <w:tc>
          <w:tcPr>
            <w:tcW w:type="dxa" w:w="4191"/>
            <w:vAlign w:val="center"/>
            <w:shd w:fill="F4F7FA"/>
          </w:tcPr>
          <w:p>
            <w:pPr>
              <w:spacing w:line="288" w:lineRule="auto" w:before="60" w:after="60"/>
            </w:pPr>
            <w:r>
              <w:rPr>
                <w:rFonts w:ascii="Arial" w:hAnsi="Arial" w:eastAsia="Microsoft YaHei"/>
                <w:b w:val="0"/>
                <w:i w:val="0"/>
                <w:color w:val="24384C"/>
                <w:sz w:val="18"/>
              </w:rPr>
              <w:t>仍需真实双向数据验证</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location mismatch</w:t>
            </w:r>
          </w:p>
        </w:tc>
        <w:tc>
          <w:tcPr>
            <w:tcW w:type="dxa" w:w="3143"/>
            <w:vAlign w:val="center"/>
          </w:tcPr>
          <w:p>
            <w:pPr>
              <w:spacing w:line="288" w:lineRule="auto" w:before="60" w:after="60"/>
            </w:pPr>
            <w:r>
              <w:rPr>
                <w:rFonts w:ascii="Arial" w:hAnsi="Arial" w:eastAsia="Microsoft YaHei"/>
                <w:b w:val="0"/>
                <w:i w:val="0"/>
                <w:color w:val="24384C"/>
                <w:sz w:val="18"/>
              </w:rPr>
              <w:t>上报节点身份与 NCI 前缀不一致</w:t>
            </w:r>
          </w:p>
        </w:tc>
        <w:tc>
          <w:tcPr>
            <w:tcW w:type="dxa" w:w="4191"/>
            <w:vAlign w:val="center"/>
          </w:tcPr>
          <w:p>
            <w:pPr>
              <w:spacing w:line="288" w:lineRule="auto" w:before="60" w:after="60"/>
            </w:pPr>
            <w:r>
              <w:rPr>
                <w:rFonts w:ascii="Arial" w:hAnsi="Arial" w:eastAsia="Microsoft YaHei"/>
                <w:b w:val="0"/>
                <w:i w:val="0"/>
                <w:color w:val="24384C"/>
                <w:sz w:val="18"/>
              </w:rPr>
              <w:t>按 5.7 核对 gNB ID、位宽和 NCI</w:t>
            </w:r>
          </w:p>
        </w:tc>
      </w:tr>
    </w:tbl>
    <w:p>
      <w:pPr>
        <w:spacing w:after="40" w:line="48" w:lineRule="auto"/>
      </w:pPr>
    </w:p>
    <w:p>
      <w:pPr>
        <w:pStyle w:val="Heading2"/>
      </w:pPr>
      <w:r>
        <w:rPr>
          <w:rFonts w:ascii="Arial" w:hAnsi="Arial" w:eastAsia="Microsoft YaHei"/>
          <w:b w:val="0"/>
          <w:i w:val="0"/>
        </w:rPr>
        <w:t>6.3 常用 CLI 索引</w:t>
      </w:r>
    </w:p>
    <w:p>
      <w:r>
        <w:rPr>
          <w:rFonts w:ascii="Arial" w:hAnsi="Arial" w:eastAsia="Microsoft YaHei"/>
          <w:b w:val="0"/>
          <w:i w:val="0"/>
        </w:rPr>
        <w:t>以下 xcnctl 命令在 UPF 容器内执行；宿主机调用时加前缀 kubectl -n xcn exec deploy/xcn-5gc -c upf --。示例 SUPI、地址和 ID 需替换为实际授权对象。</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用途</w:t>
            </w:r>
          </w:p>
        </w:tc>
        <w:tc>
          <w:tcPr>
            <w:tcW w:type="dxa" w:w="6953"/>
            <w:vAlign w:val="center"/>
            <w:shd w:fill="214D72"/>
          </w:tcPr>
          <w:p>
            <w:pPr>
              <w:spacing w:line="288" w:lineRule="auto" w:before="60" w:after="60"/>
            </w:pPr>
            <w:r>
              <w:rPr>
                <w:rFonts w:ascii="Arial" w:hAnsi="Arial" w:eastAsia="Microsoft YaHei"/>
                <w:b/>
                <w:i w:val="0"/>
                <w:color w:val="FFFFFF"/>
                <w:sz w:val="18"/>
              </w:rPr>
              <w:t>命令示例</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UE 列表／详情</w:t>
            </w:r>
          </w:p>
        </w:tc>
        <w:tc>
          <w:tcPr>
            <w:tcW w:type="dxa" w:w="6953"/>
            <w:vAlign w:val="center"/>
          </w:tcPr>
          <w:p>
            <w:pPr>
              <w:spacing w:line="288" w:lineRule="auto" w:before="60" w:after="60"/>
            </w:pPr>
            <w:r>
              <w:rPr>
                <w:rFonts w:ascii="Arial" w:hAnsi="Arial" w:eastAsia="Microsoft YaHei"/>
                <w:b w:val="0"/>
                <w:i w:val="0"/>
                <w:color w:val="24384C"/>
                <w:sz w:val="18"/>
              </w:rPr>
              <w:t>xcnctl show ue；xcnctl show ue --supi imsi-460110000000100 --detail</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gNB 列表／详情</w:t>
            </w:r>
          </w:p>
        </w:tc>
        <w:tc>
          <w:tcPr>
            <w:tcW w:type="dxa" w:w="6953"/>
            <w:vAlign w:val="center"/>
            <w:shd w:fill="F4F7FA"/>
          </w:tcPr>
          <w:p>
            <w:pPr>
              <w:spacing w:line="288" w:lineRule="auto" w:before="60" w:after="60"/>
            </w:pPr>
            <w:r>
              <w:rPr>
                <w:rFonts w:ascii="Arial" w:hAnsi="Arial" w:eastAsia="Microsoft YaHei"/>
                <w:b w:val="0"/>
                <w:i w:val="0"/>
                <w:color w:val="24384C"/>
                <w:sz w:val="18"/>
              </w:rPr>
              <w:t>xcnctl show gnb；xcnctl show gnb --detail</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按基站与 PLMN 过滤</w:t>
            </w:r>
          </w:p>
        </w:tc>
        <w:tc>
          <w:tcPr>
            <w:tcW w:type="dxa" w:w="6953"/>
            <w:vAlign w:val="center"/>
          </w:tcPr>
          <w:p>
            <w:pPr>
              <w:spacing w:line="288" w:lineRule="auto" w:before="60" w:after="60"/>
            </w:pPr>
            <w:r>
              <w:rPr>
                <w:rFonts w:ascii="Arial" w:hAnsi="Arial" w:eastAsia="Microsoft YaHei"/>
                <w:b w:val="0"/>
                <w:i w:val="0"/>
                <w:color w:val="24384C"/>
                <w:sz w:val="18"/>
              </w:rPr>
              <w:t>xcnctl show ue --gnb-id 3584 --plmn 46011 --json</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用户汇总速率</w:t>
            </w:r>
          </w:p>
        </w:tc>
        <w:tc>
          <w:tcPr>
            <w:tcW w:type="dxa" w:w="6953"/>
            <w:vAlign w:val="center"/>
            <w:shd w:fill="F4F7FA"/>
          </w:tcPr>
          <w:p>
            <w:pPr>
              <w:spacing w:line="288" w:lineRule="auto" w:before="60" w:after="60"/>
            </w:pPr>
            <w:r>
              <w:rPr>
                <w:rFonts w:ascii="Arial" w:hAnsi="Arial" w:eastAsia="Microsoft YaHei"/>
                <w:b w:val="0"/>
                <w:i w:val="0"/>
                <w:color w:val="24384C"/>
                <w:sz w:val="18"/>
              </w:rPr>
              <w:t>xcnctl show rate --level user</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会话速率与位置</w:t>
            </w:r>
          </w:p>
        </w:tc>
        <w:tc>
          <w:tcPr>
            <w:tcW w:type="dxa" w:w="6953"/>
            <w:vAlign w:val="center"/>
          </w:tcPr>
          <w:p>
            <w:pPr>
              <w:spacing w:line="288" w:lineRule="auto" w:before="60" w:after="60"/>
            </w:pPr>
            <w:r>
              <w:rPr>
                <w:rFonts w:ascii="Arial" w:hAnsi="Arial" w:eastAsia="Microsoft YaHei"/>
                <w:b w:val="0"/>
                <w:i w:val="0"/>
                <w:color w:val="24384C"/>
                <w:sz w:val="18"/>
              </w:rPr>
              <w:t>xcnctl show rate --level session --with-location</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活动 QoS 流速率</w:t>
            </w:r>
          </w:p>
        </w:tc>
        <w:tc>
          <w:tcPr>
            <w:tcW w:type="dxa" w:w="6953"/>
            <w:vAlign w:val="center"/>
            <w:shd w:fill="F4F7FA"/>
          </w:tcPr>
          <w:p>
            <w:pPr>
              <w:spacing w:line="288" w:lineRule="auto" w:before="60" w:after="60"/>
            </w:pPr>
            <w:r>
              <w:rPr>
                <w:rFonts w:ascii="Arial" w:hAnsi="Arial" w:eastAsia="Microsoft YaHei"/>
                <w:b w:val="0"/>
                <w:i w:val="0"/>
                <w:color w:val="24384C"/>
                <w:sz w:val="18"/>
              </w:rPr>
              <w:t>xcnctl show rate --level bearer --active-only --watch</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PDR 规则统计</w:t>
            </w:r>
          </w:p>
        </w:tc>
        <w:tc>
          <w:tcPr>
            <w:tcW w:type="dxa" w:w="6953"/>
            <w:vAlign w:val="center"/>
          </w:tcPr>
          <w:p>
            <w:pPr>
              <w:spacing w:line="288" w:lineRule="auto" w:before="60" w:after="60"/>
            </w:pPr>
            <w:r>
              <w:rPr>
                <w:rFonts w:ascii="Arial" w:hAnsi="Arial" w:eastAsia="Microsoft YaHei"/>
                <w:b w:val="0"/>
                <w:i w:val="0"/>
                <w:color w:val="24384C"/>
                <w:sz w:val="18"/>
              </w:rPr>
              <w:t>xcnctl show rate --level rule --json</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单 UE 事件</w:t>
            </w:r>
          </w:p>
        </w:tc>
        <w:tc>
          <w:tcPr>
            <w:tcW w:type="dxa" w:w="6953"/>
            <w:vAlign w:val="center"/>
            <w:shd w:fill="F4F7FA"/>
          </w:tcPr>
          <w:p>
            <w:pPr>
              <w:spacing w:line="288" w:lineRule="auto" w:before="60" w:after="60"/>
            </w:pPr>
            <w:r>
              <w:rPr>
                <w:rFonts w:ascii="Arial" w:hAnsi="Arial" w:eastAsia="Microsoft YaHei"/>
                <w:b w:val="0"/>
                <w:i w:val="0"/>
                <w:color w:val="24384C"/>
                <w:sz w:val="18"/>
              </w:rPr>
              <w:t>xcnctl show ue-event --supi imsi-460110000000100 --since 30m --limit 200</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实时事件观察</w:t>
            </w:r>
          </w:p>
        </w:tc>
        <w:tc>
          <w:tcPr>
            <w:tcW w:type="dxa" w:w="6953"/>
            <w:vAlign w:val="center"/>
          </w:tcPr>
          <w:p>
            <w:pPr>
              <w:spacing w:line="288" w:lineRule="auto" w:before="60" w:after="60"/>
            </w:pPr>
            <w:r>
              <w:rPr>
                <w:rFonts w:ascii="Arial" w:hAnsi="Arial" w:eastAsia="Microsoft YaHei"/>
                <w:b w:val="0"/>
                <w:i w:val="0"/>
                <w:color w:val="24384C"/>
                <w:sz w:val="18"/>
              </w:rPr>
              <w:t>xcnctl show ue-event --supi imsi-460110000000100 --watch</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事件帮助</w:t>
            </w:r>
          </w:p>
        </w:tc>
        <w:tc>
          <w:tcPr>
            <w:tcW w:type="dxa" w:w="6953"/>
            <w:vAlign w:val="center"/>
            <w:shd w:fill="F4F7FA"/>
          </w:tcPr>
          <w:p>
            <w:pPr>
              <w:spacing w:line="288" w:lineRule="auto" w:before="60" w:after="60"/>
            </w:pPr>
            <w:r>
              <w:rPr>
                <w:rFonts w:ascii="Arial" w:hAnsi="Arial" w:eastAsia="Microsoft YaHei"/>
                <w:b w:val="0"/>
                <w:i w:val="0"/>
                <w:color w:val="24384C"/>
                <w:sz w:val="18"/>
              </w:rPr>
              <w:t>xcnctl show ue-event --help</w:t>
            </w:r>
          </w:p>
        </w:tc>
      </w:tr>
    </w:tbl>
    <w:p>
      <w:pPr>
        <w:spacing w:after="40" w:line="48" w:lineRule="auto"/>
      </w:pP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选项</w:t>
            </w:r>
          </w:p>
        </w:tc>
        <w:tc>
          <w:tcPr>
            <w:tcW w:type="dxa" w:w="6953"/>
            <w:vAlign w:val="center"/>
            <w:shd w:fill="214D72"/>
          </w:tcPr>
          <w:p>
            <w:pPr>
              <w:spacing w:line="288" w:lineRule="auto" w:before="60" w:after="60"/>
            </w:pPr>
            <w:r>
              <w:rPr>
                <w:rFonts w:ascii="Arial" w:hAnsi="Arial" w:eastAsia="Microsoft YaHei"/>
                <w:b/>
                <w:i w:val="0"/>
                <w:color w:val="FFFFFF"/>
                <w:sz w:val="18"/>
              </w:rPr>
              <w:t>适用说明</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--detail</w:t>
            </w:r>
          </w:p>
        </w:tc>
        <w:tc>
          <w:tcPr>
            <w:tcW w:type="dxa" w:w="6953"/>
            <w:vAlign w:val="center"/>
          </w:tcPr>
          <w:p>
            <w:pPr>
              <w:spacing w:line="288" w:lineRule="auto" w:before="60" w:after="60"/>
            </w:pPr>
            <w:r>
              <w:rPr>
                <w:rFonts w:ascii="Arial" w:hAnsi="Arial" w:eastAsia="Microsoft YaHei"/>
                <w:b w:val="0"/>
                <w:i w:val="0"/>
                <w:color w:val="24384C"/>
                <w:sz w:val="18"/>
              </w:rPr>
              <w:t>用于 UE／gNB 详情；不用于 rate／ue-event</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--json</w:t>
            </w:r>
          </w:p>
        </w:tc>
        <w:tc>
          <w:tcPr>
            <w:tcW w:type="dxa" w:w="6953"/>
            <w:vAlign w:val="center"/>
            <w:shd w:fill="F4F7FA"/>
          </w:tcPr>
          <w:p>
            <w:pPr>
              <w:spacing w:line="288" w:lineRule="auto" w:before="60" w:after="60"/>
            </w:pPr>
            <w:r>
              <w:rPr>
                <w:rFonts w:ascii="Arial" w:hAnsi="Arial" w:eastAsia="Microsoft YaHei"/>
                <w:b w:val="0"/>
                <w:i w:val="0"/>
                <w:color w:val="24384C"/>
                <w:sz w:val="18"/>
              </w:rPr>
              <w:t>输出结构化 JSON；watch 模式按刷新／事件模式输出，采集程序应按对应命令格式解析</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--watch／--interval</w:t>
            </w:r>
          </w:p>
        </w:tc>
        <w:tc>
          <w:tcPr>
            <w:tcW w:type="dxa" w:w="6953"/>
            <w:vAlign w:val="center"/>
          </w:tcPr>
          <w:p>
            <w:pPr>
              <w:spacing w:line="288" w:lineRule="auto" w:before="60" w:after="60"/>
            </w:pPr>
            <w:r>
              <w:rPr>
                <w:rFonts w:ascii="Arial" w:hAnsi="Arial" w:eastAsia="Microsoft YaHei"/>
                <w:b w:val="0"/>
                <w:i w:val="0"/>
                <w:color w:val="24384C"/>
                <w:sz w:val="18"/>
              </w:rPr>
              <w:t>连续观察及刷新周期；按 Ctrl+C 结束</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--active-only</w:t>
            </w:r>
          </w:p>
        </w:tc>
        <w:tc>
          <w:tcPr>
            <w:tcW w:type="dxa" w:w="6953"/>
            <w:vAlign w:val="center"/>
            <w:shd w:fill="F4F7FA"/>
          </w:tcPr>
          <w:p>
            <w:pPr>
              <w:spacing w:line="288" w:lineRule="auto" w:before="60" w:after="60"/>
            </w:pPr>
            <w:r>
              <w:rPr>
                <w:rFonts w:ascii="Arial" w:hAnsi="Arial" w:eastAsia="Microsoft YaHei"/>
                <w:b w:val="0"/>
                <w:i w:val="0"/>
                <w:color w:val="24384C"/>
                <w:sz w:val="18"/>
              </w:rPr>
              <w:t>仅适用于 session／bearer／rule；需要 AMF、SMF 信息可用，否则报错，不猜测会话状态</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--with-location</w:t>
            </w:r>
          </w:p>
        </w:tc>
        <w:tc>
          <w:tcPr>
            <w:tcW w:type="dxa" w:w="6953"/>
            <w:vAlign w:val="center"/>
          </w:tcPr>
          <w:p>
            <w:pPr>
              <w:spacing w:line="288" w:lineRule="auto" w:before="60" w:after="60"/>
            </w:pPr>
            <w:r>
              <w:rPr>
                <w:rFonts w:ascii="Arial" w:hAnsi="Arial" w:eastAsia="Microsoft YaHei"/>
                <w:b w:val="0"/>
                <w:i w:val="0"/>
                <w:color w:val="24384C"/>
                <w:sz w:val="18"/>
              </w:rPr>
              <w:t>为 rate 增加基站／小区字段；上报位置可能为最后已知值</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--amf-ue-info／--amf-gnb-info／--smf-pdu-info</w:t>
            </w:r>
          </w:p>
        </w:tc>
        <w:tc>
          <w:tcPr>
            <w:tcW w:type="dxa" w:w="6953"/>
            <w:vAlign w:val="center"/>
            <w:shd w:fill="F4F7FA"/>
          </w:tcPr>
          <w:p>
            <w:pPr>
              <w:spacing w:line="288" w:lineRule="auto" w:before="60" w:after="60"/>
            </w:pPr>
            <w:r>
              <w:rPr>
                <w:rFonts w:ascii="Arial" w:hAnsi="Arial" w:eastAsia="Microsoft YaHei"/>
                <w:b w:val="0"/>
                <w:i w:val="0"/>
                <w:color w:val="24384C"/>
                <w:sz w:val="18"/>
              </w:rPr>
              <w:t>覆盖对应查询 URL；默认分别为回环地址的 9091、9091、9092 端口</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--amf-ue-events／--smf-ue-events</w:t>
            </w:r>
          </w:p>
        </w:tc>
        <w:tc>
          <w:tcPr>
            <w:tcW w:type="dxa" w:w="6953"/>
            <w:vAlign w:val="center"/>
          </w:tcPr>
          <w:p>
            <w:pPr>
              <w:spacing w:line="288" w:lineRule="auto" w:before="60" w:after="60"/>
            </w:pPr>
            <w:r>
              <w:rPr>
                <w:rFonts w:ascii="Arial" w:hAnsi="Arial" w:eastAsia="Microsoft YaHei"/>
                <w:b w:val="0"/>
                <w:i w:val="0"/>
                <w:color w:val="24384C"/>
                <w:sz w:val="18"/>
              </w:rPr>
              <w:t>覆盖事件查询地址；仅事件子命令使用</w:t>
            </w:r>
          </w:p>
        </w:tc>
      </w:tr>
    </w:tbl>
    <w:p>
      <w:pPr>
        <w:spacing w:after="40" w:line="48" w:lineRule="auto"/>
      </w:pPr>
    </w:p>
    <w:p>
      <w:r>
        <w:rPr>
          <w:rFonts w:ascii="Arial" w:hAnsi="Arial" w:eastAsia="Microsoft YaHei"/>
          <w:b w:val="0"/>
          <w:i w:val="0"/>
        </w:rPr>
        <w:t>速率层级 user 汇总 SUPI；session 区分会话；bearer 按同会话内 QFI 聚合；rule 展示 PDR 等规则。PSI 与 UPF-SEID 分别代表 NAS 和 PFCP 的不同标识。UPTIME 为当前 PFCP 会话存续时间，不能作为 UE 连续注册时间。</w:t>
      </w:r>
    </w:p>
    <w:p>
      <w:pPr>
        <w:pStyle w:val="Heading2"/>
      </w:pPr>
      <w:r>
        <w:rPr>
          <w:rFonts w:ascii="Arial" w:hAnsi="Arial" w:eastAsia="Microsoft YaHei"/>
          <w:b w:val="0"/>
          <w:i w:val="0"/>
        </w:rPr>
        <w:t>6.4 端口、安全与版本归档表</w:t>
      </w:r>
    </w:p>
    <w:p>
      <w:r>
        <w:rPr>
          <w:rFonts w:ascii="Arial" w:hAnsi="Arial" w:eastAsia="Microsoft YaHei"/>
          <w:b w:val="0"/>
          <w:i w:val="0"/>
        </w:rPr>
        <w:t>交付时填入以下记录并与实际清单核对：</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归档项</w:t>
            </w:r>
          </w:p>
        </w:tc>
        <w:tc>
          <w:tcPr>
            <w:tcW w:type="dxa" w:w="6953"/>
            <w:vAlign w:val="center"/>
            <w:shd w:fill="214D72"/>
          </w:tcPr>
          <w:p>
            <w:pPr>
              <w:spacing w:line="288" w:lineRule="auto" w:before="60" w:after="60"/>
            </w:pPr>
            <w:r>
              <w:rPr>
                <w:rFonts w:ascii="Arial" w:hAnsi="Arial" w:eastAsia="Microsoft YaHei"/>
                <w:b/>
                <w:i w:val="0"/>
                <w:color w:val="FFFFFF"/>
                <w:sz w:val="18"/>
              </w:rPr>
              <w:t>项目值／附件</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XCN 项目发布版本、源码提交、Chart 版本</w:t>
            </w:r>
          </w:p>
        </w:tc>
        <w:tc>
          <w:tcPr>
            <w:tcW w:type="dxa" w:w="6953"/>
            <w:vAlign w:val="center"/>
          </w:tcPr>
          <w:p>
            <w:pPr>
              <w:spacing w:line="288" w:lineRule="auto" w:before="60" w:after="60"/>
            </w:pPr>
            <w:r>
              <w:rPr>
                <w:rFonts w:ascii="Arial" w:hAnsi="Arial" w:eastAsia="Microsoft YaHei"/>
                <w:b w:val="0"/>
                <w:i w:val="0"/>
                <w:color w:val="24384C"/>
                <w:sz w:val="18"/>
              </w:rPr>
              <w:t>【投标人填写】</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Runtime／WebUI／MongoDB／VPP 镜像标签及摘要</w:t>
            </w:r>
          </w:p>
        </w:tc>
        <w:tc>
          <w:tcPr>
            <w:tcW w:type="dxa" w:w="6953"/>
            <w:vAlign w:val="center"/>
            <w:shd w:fill="F4F7FA"/>
          </w:tcPr>
          <w:p>
            <w:pPr>
              <w:spacing w:line="288" w:lineRule="auto" w:before="60" w:after="60"/>
            </w:pPr>
            <w:r>
              <w:rPr>
                <w:rFonts w:ascii="Arial" w:hAnsi="Arial" w:eastAsia="Microsoft YaHei"/>
                <w:b w:val="0"/>
                <w:i w:val="0"/>
                <w:color w:val="24384C"/>
                <w:sz w:val="18"/>
              </w:rPr>
              <w:t>【投标人填写，不能仅记录 latest】</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基站／UE 型号、软件版本、SIM 及互通范围</w:t>
            </w:r>
          </w:p>
        </w:tc>
        <w:tc>
          <w:tcPr>
            <w:tcW w:type="dxa" w:w="6953"/>
            <w:vAlign w:val="center"/>
          </w:tcPr>
          <w:p>
            <w:pPr>
              <w:spacing w:line="288" w:lineRule="auto" w:before="60" w:after="60"/>
            </w:pPr>
            <w:r>
              <w:rPr>
                <w:rFonts w:ascii="Arial" w:hAnsi="Arial" w:eastAsia="Microsoft YaHei"/>
                <w:b w:val="0"/>
                <w:i w:val="0"/>
                <w:color w:val="24384C"/>
                <w:sz w:val="18"/>
              </w:rPr>
              <w:t>【投标人填写，不在公开文件填入鉴权密钥】</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服务器、网卡、驱动／固件及平台版本</w:t>
            </w:r>
          </w:p>
        </w:tc>
        <w:tc>
          <w:tcPr>
            <w:tcW w:type="dxa" w:w="6953"/>
            <w:vAlign w:val="center"/>
            <w:shd w:fill="F4F7FA"/>
          </w:tcPr>
          <w:p>
            <w:pPr>
              <w:spacing w:line="288" w:lineRule="auto" w:before="60" w:after="60"/>
            </w:pPr>
            <w:r>
              <w:rPr>
                <w:rFonts w:ascii="Arial" w:hAnsi="Arial" w:eastAsia="Microsoft YaHei"/>
                <w:b w:val="0"/>
                <w:i w:val="0"/>
                <w:color w:val="24384C"/>
                <w:sz w:val="18"/>
              </w:rPr>
              <w:t>【投标人填写】</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管理地址、N2／N3／N6、VLAN、路由、防火墙</w:t>
            </w:r>
          </w:p>
        </w:tc>
        <w:tc>
          <w:tcPr>
            <w:tcW w:type="dxa" w:w="6953"/>
            <w:vAlign w:val="center"/>
          </w:tcPr>
          <w:p>
            <w:pPr>
              <w:spacing w:line="288" w:lineRule="auto" w:before="60" w:after="60"/>
            </w:pPr>
            <w:r>
              <w:rPr>
                <w:rFonts w:ascii="Arial" w:hAnsi="Arial" w:eastAsia="Microsoft YaHei"/>
                <w:b w:val="0"/>
                <w:i w:val="0"/>
                <w:color w:val="24384C"/>
                <w:sz w:val="18"/>
              </w:rPr>
              <w:t>【引用经批准的网络规划附件】</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证书、密钥及口令保管责任</w:t>
            </w:r>
          </w:p>
        </w:tc>
        <w:tc>
          <w:tcPr>
            <w:tcW w:type="dxa" w:w="6953"/>
            <w:vAlign w:val="center"/>
            <w:shd w:fill="F4F7FA"/>
          </w:tcPr>
          <w:p>
            <w:pPr>
              <w:spacing w:line="288" w:lineRule="auto" w:before="60" w:after="60"/>
            </w:pPr>
            <w:r>
              <w:rPr>
                <w:rFonts w:ascii="Arial" w:hAnsi="Arial" w:eastAsia="Microsoft YaHei"/>
                <w:b w:val="0"/>
                <w:i w:val="0"/>
                <w:color w:val="24384C"/>
                <w:sz w:val="18"/>
              </w:rPr>
              <w:t>【填写责任人与受控存放位置，不填写密钥值】</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性能／安全／恢复测试报告及适用条件</w:t>
            </w:r>
          </w:p>
        </w:tc>
        <w:tc>
          <w:tcPr>
            <w:tcW w:type="dxa" w:w="6953"/>
            <w:vAlign w:val="center"/>
          </w:tcPr>
          <w:p>
            <w:pPr>
              <w:spacing w:line="288" w:lineRule="auto" w:before="60" w:after="60"/>
            </w:pPr>
            <w:r>
              <w:rPr>
                <w:rFonts w:ascii="Arial" w:hAnsi="Arial" w:eastAsia="Microsoft YaHei"/>
                <w:b w:val="0"/>
                <w:i w:val="0"/>
                <w:color w:val="24384C"/>
                <w:sz w:val="18"/>
              </w:rPr>
              <w:t>【填写报告编号与版本】</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备份周期、留存、RPO／RTO 与演练记录</w:t>
            </w:r>
          </w:p>
        </w:tc>
        <w:tc>
          <w:tcPr>
            <w:tcW w:type="dxa" w:w="6953"/>
            <w:vAlign w:val="center"/>
            <w:shd w:fill="F4F7FA"/>
          </w:tcPr>
          <w:p>
            <w:pPr>
              <w:spacing w:line="288" w:lineRule="auto" w:before="60" w:after="60"/>
            </w:pPr>
            <w:r>
              <w:rPr>
                <w:rFonts w:ascii="Arial" w:hAnsi="Arial" w:eastAsia="Microsoft YaHei"/>
                <w:b w:val="0"/>
                <w:i w:val="0"/>
                <w:color w:val="24384C"/>
                <w:sz w:val="18"/>
              </w:rPr>
              <w:t>【按项目约定填写并测试】</w:t>
            </w:r>
          </w:p>
        </w:tc>
      </w:tr>
    </w:tbl>
    <w:p>
      <w:pPr>
        <w:spacing w:after="40" w:line="48" w:lineRule="auto"/>
      </w:pPr>
    </w:p>
    <w:p>
      <w:pPr>
        <w:pStyle w:val="Heading2"/>
      </w:pPr>
      <w:r>
        <w:rPr>
          <w:rFonts w:ascii="Arial" w:hAnsi="Arial" w:eastAsia="Microsoft YaHei"/>
          <w:b w:val="0"/>
          <w:i w:val="0"/>
        </w:rPr>
        <w:t>6.5 物料、备件与耗材清单</w:t>
      </w:r>
    </w:p>
    <w:tbl>
      <w:tblPr>
        <w:tblStyle w:val="TableGrid"/>
        <w:tblW w:type="auto" w:w="0"/>
        <w:tblLayout w:type="fixed"/>
        <w:tblLook w:firstColumn="1" w:firstRow="1" w:lastColumn="0" w:lastRow="0" w:noHBand="0" w:noVBand="1" w:val="04A0"/>
      </w:tblPr>
      <w:tblGrid>
        <w:gridCol w:w="2191"/>
        <w:gridCol w:w="3143"/>
        <w:gridCol w:w="4191"/>
      </w:tblGrid>
      <w:tr>
        <w:trPr>
          <w:cantSplit/>
          <w:tblHeader/>
        </w:trPr>
        <w:tc>
          <w:tcPr>
            <w:tcW w:type="dxa" w:w="2191"/>
            <w:vAlign w:val="center"/>
            <w:shd w:fill="214D72"/>
          </w:tcPr>
          <w:p>
            <w:pPr>
              <w:spacing w:line="288" w:lineRule="auto" w:before="60" w:after="60"/>
            </w:pPr>
            <w:r>
              <w:rPr>
                <w:rFonts w:ascii="Arial" w:hAnsi="Arial" w:eastAsia="Microsoft YaHei"/>
                <w:b/>
                <w:i w:val="0"/>
                <w:color w:val="FFFFFF"/>
                <w:sz w:val="18"/>
              </w:rPr>
              <w:t>类别</w:t>
            </w:r>
          </w:p>
        </w:tc>
        <w:tc>
          <w:tcPr>
            <w:tcW w:type="dxa" w:w="3143"/>
            <w:vAlign w:val="center"/>
            <w:shd w:fill="214D72"/>
          </w:tcPr>
          <w:p>
            <w:pPr>
              <w:spacing w:line="288" w:lineRule="auto" w:before="60" w:after="60"/>
            </w:pPr>
            <w:r>
              <w:rPr>
                <w:rFonts w:ascii="Arial" w:hAnsi="Arial" w:eastAsia="Microsoft YaHei"/>
                <w:b/>
                <w:i w:val="0"/>
                <w:color w:val="FFFFFF"/>
                <w:sz w:val="18"/>
              </w:rPr>
              <w:t>项目</w:t>
            </w:r>
          </w:p>
        </w:tc>
        <w:tc>
          <w:tcPr>
            <w:tcW w:type="dxa" w:w="4191"/>
            <w:vAlign w:val="center"/>
            <w:shd w:fill="214D72"/>
          </w:tcPr>
          <w:p>
            <w:pPr>
              <w:spacing w:line="288" w:lineRule="auto" w:before="60" w:after="60"/>
            </w:pPr>
            <w:r>
              <w:rPr>
                <w:rFonts w:ascii="Arial" w:hAnsi="Arial" w:eastAsia="Microsoft YaHei"/>
                <w:b/>
                <w:i w:val="0"/>
                <w:color w:val="FFFFFF"/>
                <w:sz w:val="18"/>
              </w:rPr>
              <w:t>规格／数量说明</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软件</w:t>
            </w:r>
          </w:p>
        </w:tc>
        <w:tc>
          <w:tcPr>
            <w:tcW w:type="dxa" w:w="3143"/>
            <w:vAlign w:val="center"/>
          </w:tcPr>
          <w:p>
            <w:pPr>
              <w:spacing w:line="288" w:lineRule="auto" w:before="60" w:after="60"/>
            </w:pPr>
            <w:r>
              <w:rPr>
                <w:rFonts w:ascii="Arial" w:hAnsi="Arial" w:eastAsia="Microsoft YaHei"/>
                <w:b w:val="0"/>
                <w:i w:val="0"/>
                <w:color w:val="24384C"/>
                <w:sz w:val="18"/>
              </w:rPr>
              <w:t>XCN 核心网运行镜像、WebUI、Chart、说明书及许可材料</w:t>
            </w:r>
          </w:p>
        </w:tc>
        <w:tc>
          <w:tcPr>
            <w:tcW w:type="dxa" w:w="4191"/>
            <w:vAlign w:val="center"/>
          </w:tcPr>
          <w:p>
            <w:pPr>
              <w:spacing w:line="288" w:lineRule="auto" w:before="60" w:after="60"/>
            </w:pPr>
            <w:r>
              <w:rPr>
                <w:rFonts w:ascii="Arial" w:hAnsi="Arial" w:eastAsia="Microsoft YaHei"/>
                <w:b w:val="0"/>
                <w:i w:val="0"/>
                <w:color w:val="24384C"/>
                <w:sz w:val="18"/>
              </w:rPr>
              <w:t>按实际交付版本、摘要清单和合同确认</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依赖</w:t>
            </w:r>
          </w:p>
        </w:tc>
        <w:tc>
          <w:tcPr>
            <w:tcW w:type="dxa" w:w="3143"/>
            <w:vAlign w:val="center"/>
            <w:shd w:fill="F4F7FA"/>
          </w:tcPr>
          <w:p>
            <w:pPr>
              <w:spacing w:line="288" w:lineRule="auto" w:before="60" w:after="60"/>
            </w:pPr>
            <w:r>
              <w:rPr>
                <w:rFonts w:ascii="Arial" w:hAnsi="Arial" w:eastAsia="Microsoft YaHei"/>
                <w:b w:val="0"/>
                <w:i w:val="0"/>
                <w:color w:val="24384C"/>
                <w:sz w:val="18"/>
              </w:rPr>
              <w:t>MongoDB；可选 VPP 26.06 及配套平台组件</w:t>
            </w:r>
          </w:p>
        </w:tc>
        <w:tc>
          <w:tcPr>
            <w:tcW w:type="dxa" w:w="4191"/>
            <w:vAlign w:val="center"/>
            <w:shd w:fill="F4F7FA"/>
          </w:tcPr>
          <w:p>
            <w:pPr>
              <w:spacing w:line="288" w:lineRule="auto" w:before="60" w:after="60"/>
            </w:pPr>
            <w:r>
              <w:rPr>
                <w:rFonts w:ascii="Arial" w:hAnsi="Arial" w:eastAsia="Microsoft YaHei"/>
                <w:b w:val="0"/>
                <w:i w:val="0"/>
                <w:color w:val="24384C"/>
                <w:sz w:val="18"/>
              </w:rPr>
              <w:t>版本、许可证和支持责任明确</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服务器</w:t>
            </w:r>
          </w:p>
        </w:tc>
        <w:tc>
          <w:tcPr>
            <w:tcW w:type="dxa" w:w="3143"/>
            <w:vAlign w:val="center"/>
          </w:tcPr>
          <w:p>
            <w:pPr>
              <w:spacing w:line="288" w:lineRule="auto" w:before="60" w:after="60"/>
            </w:pPr>
            <w:r>
              <w:rPr>
                <w:rFonts w:ascii="Arial" w:hAnsi="Arial" w:eastAsia="Microsoft YaHei"/>
                <w:b w:val="0"/>
                <w:i w:val="0"/>
                <w:color w:val="24384C"/>
                <w:sz w:val="18"/>
              </w:rPr>
              <w:t>CPU、内存、SSD、电源、导轨、BMC</w:t>
            </w:r>
          </w:p>
        </w:tc>
        <w:tc>
          <w:tcPr>
            <w:tcW w:type="dxa" w:w="4191"/>
            <w:vAlign w:val="center"/>
          </w:tcPr>
          <w:p>
            <w:pPr>
              <w:spacing w:line="288" w:lineRule="auto" w:before="60" w:after="60"/>
            </w:pPr>
            <w:r>
              <w:rPr>
                <w:rFonts w:ascii="Arial" w:hAnsi="Arial" w:eastAsia="Microsoft YaHei"/>
                <w:b w:val="0"/>
                <w:i w:val="0"/>
                <w:color w:val="24384C"/>
                <w:sz w:val="18"/>
              </w:rPr>
              <w:t>【投标人填写型号、数量、尺寸、重量、功耗和环境规格】</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网卡</w:t>
            </w:r>
          </w:p>
        </w:tc>
        <w:tc>
          <w:tcPr>
            <w:tcW w:type="dxa" w:w="3143"/>
            <w:vAlign w:val="center"/>
            <w:shd w:fill="F4F7FA"/>
          </w:tcPr>
          <w:p>
            <w:pPr>
              <w:spacing w:line="288" w:lineRule="auto" w:before="60" w:after="60"/>
            </w:pPr>
            <w:r>
              <w:rPr>
                <w:rFonts w:ascii="Arial" w:hAnsi="Arial" w:eastAsia="Microsoft YaHei"/>
                <w:b w:val="0"/>
                <w:i w:val="0"/>
                <w:color w:val="24384C"/>
                <w:sz w:val="18"/>
              </w:rPr>
              <w:t>N2／N3／N6／管理连接；加速模式所需 SR-IOV 网卡</w:t>
            </w:r>
          </w:p>
        </w:tc>
        <w:tc>
          <w:tcPr>
            <w:tcW w:type="dxa" w:w="4191"/>
            <w:vAlign w:val="center"/>
            <w:shd w:fill="F4F7FA"/>
          </w:tcPr>
          <w:p>
            <w:pPr>
              <w:spacing w:line="288" w:lineRule="auto" w:before="60" w:after="60"/>
            </w:pPr>
            <w:r>
              <w:rPr>
                <w:rFonts w:ascii="Arial" w:hAnsi="Arial" w:eastAsia="Microsoft YaHei"/>
                <w:b w:val="0"/>
                <w:i w:val="0"/>
                <w:color w:val="24384C"/>
                <w:sz w:val="18"/>
              </w:rPr>
              <w:t>【填写速率、端口数、VF 能力及合格驱动／固件】</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光电连接</w:t>
            </w:r>
          </w:p>
        </w:tc>
        <w:tc>
          <w:tcPr>
            <w:tcW w:type="dxa" w:w="3143"/>
            <w:vAlign w:val="center"/>
          </w:tcPr>
          <w:p>
            <w:pPr>
              <w:spacing w:line="288" w:lineRule="auto" w:before="60" w:after="60"/>
            </w:pPr>
            <w:r>
              <w:rPr>
                <w:rFonts w:ascii="Arial" w:hAnsi="Arial" w:eastAsia="Microsoft YaHei"/>
                <w:b w:val="0"/>
                <w:i w:val="0"/>
                <w:color w:val="24384C"/>
                <w:sz w:val="18"/>
              </w:rPr>
              <w:t>光模块、光纤跳线、网线、配线附件</w:t>
            </w:r>
          </w:p>
        </w:tc>
        <w:tc>
          <w:tcPr>
            <w:tcW w:type="dxa" w:w="4191"/>
            <w:vAlign w:val="center"/>
          </w:tcPr>
          <w:p>
            <w:pPr>
              <w:spacing w:line="288" w:lineRule="auto" w:before="60" w:after="60"/>
            </w:pPr>
            <w:r>
              <w:rPr>
                <w:rFonts w:ascii="Arial" w:hAnsi="Arial" w:eastAsia="Microsoft YaHei"/>
                <w:b w:val="0"/>
                <w:i w:val="0"/>
                <w:color w:val="24384C"/>
                <w:sz w:val="18"/>
              </w:rPr>
              <w:t>【填写类型、长度、数量及兼容型号】</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配电／接地</w:t>
            </w:r>
          </w:p>
        </w:tc>
        <w:tc>
          <w:tcPr>
            <w:tcW w:type="dxa" w:w="3143"/>
            <w:vAlign w:val="center"/>
            <w:shd w:fill="F4F7FA"/>
          </w:tcPr>
          <w:p>
            <w:pPr>
              <w:spacing w:line="288" w:lineRule="auto" w:before="60" w:after="60"/>
            </w:pPr>
            <w:r>
              <w:rPr>
                <w:rFonts w:ascii="Arial" w:hAnsi="Arial" w:eastAsia="Microsoft YaHei"/>
                <w:b w:val="0"/>
                <w:i w:val="0"/>
                <w:color w:val="24384C"/>
                <w:sz w:val="18"/>
              </w:rPr>
              <w:t>PDU、电源线、接地线及必要 UPS 配套</w:t>
            </w:r>
          </w:p>
        </w:tc>
        <w:tc>
          <w:tcPr>
            <w:tcW w:type="dxa" w:w="4191"/>
            <w:vAlign w:val="center"/>
            <w:shd w:fill="F4F7FA"/>
          </w:tcPr>
          <w:p>
            <w:pPr>
              <w:spacing w:line="288" w:lineRule="auto" w:before="60" w:after="60"/>
            </w:pPr>
            <w:r>
              <w:rPr>
                <w:rFonts w:ascii="Arial" w:hAnsi="Arial" w:eastAsia="Microsoft YaHei"/>
                <w:b w:val="0"/>
                <w:i w:val="0"/>
                <w:color w:val="24384C"/>
                <w:sz w:val="18"/>
              </w:rPr>
              <w:t>【按供电设计及硬件要求填写】</w:t>
            </w:r>
          </w:p>
        </w:tc>
      </w:tr>
      <w:tr>
        <w:trPr>
          <w:cantSplit/>
        </w:trPr>
        <w:tc>
          <w:tcPr>
            <w:tcW w:type="dxa" w:w="2191"/>
            <w:vAlign w:val="center"/>
          </w:tcPr>
          <w:p>
            <w:pPr>
              <w:spacing w:line="288" w:lineRule="auto" w:before="60" w:after="60"/>
            </w:pPr>
            <w:r>
              <w:rPr>
                <w:rFonts w:ascii="Arial" w:hAnsi="Arial" w:eastAsia="Microsoft YaHei"/>
                <w:b w:val="0"/>
                <w:i w:val="0"/>
                <w:color w:val="24384C"/>
                <w:sz w:val="18"/>
              </w:rPr>
              <w:t>备件</w:t>
            </w:r>
          </w:p>
        </w:tc>
        <w:tc>
          <w:tcPr>
            <w:tcW w:type="dxa" w:w="3143"/>
            <w:vAlign w:val="center"/>
          </w:tcPr>
          <w:p>
            <w:pPr>
              <w:spacing w:line="288" w:lineRule="auto" w:before="60" w:after="60"/>
            </w:pPr>
            <w:r>
              <w:rPr>
                <w:rFonts w:ascii="Arial" w:hAnsi="Arial" w:eastAsia="Microsoft YaHei"/>
                <w:b w:val="0"/>
                <w:i w:val="0"/>
                <w:color w:val="24384C"/>
                <w:sz w:val="18"/>
              </w:rPr>
              <w:t>电源、风扇、系统／数据盘、网卡、光模块</w:t>
            </w:r>
          </w:p>
        </w:tc>
        <w:tc>
          <w:tcPr>
            <w:tcW w:type="dxa" w:w="4191"/>
            <w:vAlign w:val="center"/>
          </w:tcPr>
          <w:p>
            <w:pPr>
              <w:spacing w:line="288" w:lineRule="auto" w:before="60" w:after="60"/>
            </w:pPr>
            <w:r>
              <w:rPr>
                <w:rFonts w:ascii="Arial" w:hAnsi="Arial" w:eastAsia="Microsoft YaHei"/>
                <w:b w:val="0"/>
                <w:i w:val="0"/>
                <w:color w:val="24384C"/>
                <w:sz w:val="18"/>
              </w:rPr>
              <w:t>【按原厂可替换型号、保修和备件策略填写】</w:t>
            </w:r>
          </w:p>
        </w:tc>
      </w:tr>
      <w:tr>
        <w:trPr>
          <w:cantSplit/>
        </w:trPr>
        <w:tc>
          <w:tcPr>
            <w:tcW w:type="dxa" w:w="2191"/>
            <w:vAlign w:val="center"/>
            <w:shd w:fill="F4F7FA"/>
          </w:tcPr>
          <w:p>
            <w:pPr>
              <w:spacing w:line="288" w:lineRule="auto" w:before="60" w:after="60"/>
            </w:pPr>
            <w:r>
              <w:rPr>
                <w:rFonts w:ascii="Arial" w:hAnsi="Arial" w:eastAsia="Microsoft YaHei"/>
                <w:b w:val="0"/>
                <w:i w:val="0"/>
                <w:color w:val="24384C"/>
                <w:sz w:val="18"/>
              </w:rPr>
              <w:t>耗材</w:t>
            </w:r>
          </w:p>
        </w:tc>
        <w:tc>
          <w:tcPr>
            <w:tcW w:type="dxa" w:w="3143"/>
            <w:vAlign w:val="center"/>
            <w:shd w:fill="F4F7FA"/>
          </w:tcPr>
          <w:p>
            <w:pPr>
              <w:spacing w:line="288" w:lineRule="auto" w:before="60" w:after="60"/>
            </w:pPr>
            <w:r>
              <w:rPr>
                <w:rFonts w:ascii="Arial" w:hAnsi="Arial" w:eastAsia="Microsoft YaHei"/>
                <w:b w:val="0"/>
                <w:i w:val="0"/>
                <w:color w:val="24384C"/>
                <w:sz w:val="18"/>
              </w:rPr>
              <w:t>标签、绑扎件、防尘塞及清洁用品</w:t>
            </w:r>
          </w:p>
        </w:tc>
        <w:tc>
          <w:tcPr>
            <w:tcW w:type="dxa" w:w="4191"/>
            <w:vAlign w:val="center"/>
            <w:shd w:fill="F4F7FA"/>
          </w:tcPr>
          <w:p>
            <w:pPr>
              <w:spacing w:line="288" w:lineRule="auto" w:before="60" w:after="60"/>
            </w:pPr>
            <w:r>
              <w:rPr>
                <w:rFonts w:ascii="Arial" w:hAnsi="Arial" w:eastAsia="Microsoft YaHei"/>
                <w:b w:val="0"/>
                <w:i w:val="0"/>
                <w:color w:val="24384C"/>
                <w:sz w:val="18"/>
              </w:rPr>
              <w:t>【按现场规范填写】</w:t>
            </w:r>
          </w:p>
        </w:tc>
      </w:tr>
    </w:tbl>
    <w:p>
      <w:pPr>
        <w:spacing w:after="40" w:line="48" w:lineRule="auto"/>
      </w:pPr>
    </w:p>
    <w:p>
      <w:pPr>
        <w:pStyle w:val="Heading2"/>
      </w:pPr>
      <w:r>
        <w:rPr>
          <w:rFonts w:ascii="Arial" w:hAnsi="Arial" w:eastAsia="Microsoft YaHei"/>
          <w:b w:val="0"/>
          <w:i w:val="0"/>
        </w:rPr>
        <w:t>6.6 技术支持与故障申报</w:t>
      </w:r>
    </w:p>
    <w:tbl>
      <w:tblPr>
        <w:tblStyle w:val="TableGrid"/>
        <w:tblW w:type="auto" w:w="0"/>
        <w:tblLayout w:type="fixed"/>
        <w:tblLook w:firstColumn="1" w:firstRow="1" w:lastColumn="0" w:lastRow="0" w:noHBand="0" w:noVBand="1" w:val="04A0"/>
      </w:tblPr>
      <w:tblGrid>
        <w:gridCol w:w="2572"/>
        <w:gridCol w:w="6953"/>
      </w:tblGrid>
      <w:tr>
        <w:trPr>
          <w:cantSplit/>
          <w:tblHeader/>
        </w:trPr>
        <w:tc>
          <w:tcPr>
            <w:tcW w:type="dxa" w:w="2572"/>
            <w:vAlign w:val="center"/>
            <w:shd w:fill="214D72"/>
          </w:tcPr>
          <w:p>
            <w:pPr>
              <w:spacing w:line="288" w:lineRule="auto" w:before="60" w:after="60"/>
            </w:pPr>
            <w:r>
              <w:rPr>
                <w:rFonts w:ascii="Arial" w:hAnsi="Arial" w:eastAsia="Microsoft YaHei"/>
                <w:b/>
                <w:i w:val="0"/>
                <w:color w:val="FFFFFF"/>
                <w:sz w:val="18"/>
              </w:rPr>
              <w:t>支持项目</w:t>
            </w:r>
          </w:p>
        </w:tc>
        <w:tc>
          <w:tcPr>
            <w:tcW w:type="dxa" w:w="6953"/>
            <w:vAlign w:val="center"/>
            <w:shd w:fill="214D72"/>
          </w:tcPr>
          <w:p>
            <w:pPr>
              <w:spacing w:line="288" w:lineRule="auto" w:before="60" w:after="60"/>
            </w:pPr>
            <w:r>
              <w:rPr>
                <w:rFonts w:ascii="Arial" w:hAnsi="Arial" w:eastAsia="Microsoft YaHei"/>
                <w:b/>
                <w:i w:val="0"/>
                <w:color w:val="FFFFFF"/>
                <w:sz w:val="18"/>
              </w:rPr>
              <w:t>交付信息</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责任单位／产品支持部门</w:t>
            </w:r>
          </w:p>
        </w:tc>
        <w:tc>
          <w:tcPr>
            <w:tcW w:type="dxa" w:w="6953"/>
            <w:vAlign w:val="center"/>
          </w:tcPr>
          <w:p>
            <w:pPr>
              <w:spacing w:line="288" w:lineRule="auto" w:before="60" w:after="60"/>
            </w:pPr>
            <w:r>
              <w:rPr>
                <w:rFonts w:ascii="Arial" w:hAnsi="Arial" w:eastAsia="Microsoft YaHei"/>
                <w:b w:val="0"/>
                <w:i w:val="0"/>
                <w:color w:val="24384C"/>
                <w:sz w:val="18"/>
              </w:rPr>
              <w:t>【投标人填写】</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技术支持电话／服务时段</w:t>
            </w:r>
          </w:p>
        </w:tc>
        <w:tc>
          <w:tcPr>
            <w:tcW w:type="dxa" w:w="6953"/>
            <w:vAlign w:val="center"/>
            <w:shd w:fill="F4F7FA"/>
          </w:tcPr>
          <w:p>
            <w:pPr>
              <w:spacing w:line="288" w:lineRule="auto" w:before="60" w:after="60"/>
            </w:pPr>
            <w:r>
              <w:rPr>
                <w:rFonts w:ascii="Arial" w:hAnsi="Arial" w:eastAsia="Microsoft YaHei"/>
                <w:b w:val="0"/>
                <w:i w:val="0"/>
                <w:color w:val="24384C"/>
                <w:sz w:val="18"/>
              </w:rPr>
              <w:t>【投标人填写，不预设 7×24 小时承诺】</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技术支持邮箱</w:t>
            </w:r>
          </w:p>
        </w:tc>
        <w:tc>
          <w:tcPr>
            <w:tcW w:type="dxa" w:w="6953"/>
            <w:vAlign w:val="center"/>
          </w:tcPr>
          <w:p>
            <w:pPr>
              <w:spacing w:line="288" w:lineRule="auto" w:before="60" w:after="60"/>
            </w:pPr>
            <w:r>
              <w:rPr>
                <w:rFonts w:ascii="Arial" w:hAnsi="Arial" w:eastAsia="Microsoft YaHei"/>
                <w:b w:val="0"/>
                <w:i w:val="0"/>
                <w:color w:val="24384C"/>
                <w:sz w:val="18"/>
              </w:rPr>
              <w:t>【投标人填写】</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工单系统／门户</w:t>
            </w:r>
          </w:p>
        </w:tc>
        <w:tc>
          <w:tcPr>
            <w:tcW w:type="dxa" w:w="6953"/>
            <w:vAlign w:val="center"/>
            <w:shd w:fill="F4F7FA"/>
          </w:tcPr>
          <w:p>
            <w:pPr>
              <w:spacing w:line="288" w:lineRule="auto" w:before="60" w:after="60"/>
            </w:pPr>
            <w:r>
              <w:rPr>
                <w:rFonts w:ascii="Arial" w:hAnsi="Arial" w:eastAsia="Microsoft YaHei"/>
                <w:b w:val="0"/>
                <w:i w:val="0"/>
                <w:color w:val="24384C"/>
                <w:sz w:val="18"/>
              </w:rPr>
              <w:t>【投标人填写正式入口】</w:t>
            </w:r>
          </w:p>
        </w:tc>
      </w:tr>
      <w:tr>
        <w:trPr>
          <w:cantSplit/>
        </w:trPr>
        <w:tc>
          <w:tcPr>
            <w:tcW w:type="dxa" w:w="2572"/>
            <w:vAlign w:val="center"/>
          </w:tcPr>
          <w:p>
            <w:pPr>
              <w:spacing w:line="288" w:lineRule="auto" w:before="60" w:after="60"/>
            </w:pPr>
            <w:r>
              <w:rPr>
                <w:rFonts w:ascii="Arial" w:hAnsi="Arial" w:eastAsia="Microsoft YaHei"/>
                <w:b w:val="0"/>
                <w:i w:val="0"/>
                <w:color w:val="24384C"/>
                <w:sz w:val="18"/>
              </w:rPr>
              <w:t>紧急升级联系人</w:t>
            </w:r>
          </w:p>
        </w:tc>
        <w:tc>
          <w:tcPr>
            <w:tcW w:type="dxa" w:w="6953"/>
            <w:vAlign w:val="center"/>
          </w:tcPr>
          <w:p>
            <w:pPr>
              <w:spacing w:line="288" w:lineRule="auto" w:before="60" w:after="60"/>
            </w:pPr>
            <w:r>
              <w:rPr>
                <w:rFonts w:ascii="Arial" w:hAnsi="Arial" w:eastAsia="Microsoft YaHei"/>
                <w:b w:val="0"/>
                <w:i w:val="0"/>
                <w:color w:val="24384C"/>
                <w:sz w:val="18"/>
              </w:rPr>
              <w:t>【投标人填写姓名、岗位及授权联系方式】</w:t>
            </w:r>
          </w:p>
        </w:tc>
      </w:tr>
      <w:tr>
        <w:trPr>
          <w:cantSplit/>
        </w:trPr>
        <w:tc>
          <w:tcPr>
            <w:tcW w:type="dxa" w:w="2572"/>
            <w:vAlign w:val="center"/>
            <w:shd w:fill="F4F7FA"/>
          </w:tcPr>
          <w:p>
            <w:pPr>
              <w:spacing w:line="288" w:lineRule="auto" w:before="60" w:after="60"/>
            </w:pPr>
            <w:r>
              <w:rPr>
                <w:rFonts w:ascii="Arial" w:hAnsi="Arial" w:eastAsia="Microsoft YaHei"/>
                <w:b w:val="0"/>
                <w:i w:val="0"/>
                <w:color w:val="24384C"/>
                <w:sz w:val="18"/>
              </w:rPr>
              <w:t>响应时限／现场支持／保修</w:t>
            </w:r>
          </w:p>
        </w:tc>
        <w:tc>
          <w:tcPr>
            <w:tcW w:type="dxa" w:w="6953"/>
            <w:vAlign w:val="center"/>
            <w:shd w:fill="F4F7FA"/>
          </w:tcPr>
          <w:p>
            <w:pPr>
              <w:spacing w:line="288" w:lineRule="auto" w:before="60" w:after="60"/>
            </w:pPr>
            <w:r>
              <w:rPr>
                <w:rFonts w:ascii="Arial" w:hAnsi="Arial" w:eastAsia="Microsoft YaHei"/>
                <w:b w:val="0"/>
                <w:i w:val="0"/>
                <w:color w:val="24384C"/>
                <w:sz w:val="18"/>
              </w:rPr>
              <w:t>【按本项目合同或 SLA 填写】</w:t>
            </w:r>
          </w:p>
        </w:tc>
      </w:tr>
    </w:tbl>
    <w:p>
      <w:pPr>
        <w:spacing w:after="40" w:line="48" w:lineRule="auto"/>
      </w:pPr>
    </w:p>
    <w:p>
      <w:r>
        <w:rPr>
          <w:rFonts w:ascii="Arial" w:hAnsi="Arial" w:eastAsia="Microsoft YaHei"/>
          <w:b w:val="0"/>
          <w:i w:val="0"/>
        </w:rPr>
        <w:t>申报时提供项目编号、产品／镜像版本、故障时间及时区、影响范围、最近变更、Pod 状态、脱敏后的 UE／gNB／事件信息和相关日志。涉及硬件故障时补充型号、序列号和原厂告警；通过指定受控渠道提交敏感证据，不在公开工单附完整鉴权资料。</w:t>
      </w:r>
    </w:p>
    <w:p>
      <w:pPr>
        <w:pStyle w:val="Heading2"/>
      </w:pPr>
      <w:r>
        <w:rPr>
          <w:rFonts w:ascii="Arial" w:hAnsi="Arial" w:eastAsia="Microsoft YaHei"/>
          <w:b w:val="0"/>
          <w:i w:val="0"/>
        </w:rPr>
        <w:t>6.7 本版编制核对与证据边界</w:t>
      </w:r>
    </w:p>
    <w:p>
      <w:r>
        <w:rPr>
          <w:rFonts w:ascii="Arial" w:hAnsi="Arial" w:eastAsia="Microsoft YaHei"/>
          <w:b w:val="0"/>
          <w:i w:val="0"/>
        </w:rPr>
        <w:t>2026-10-22 编制时，对实际 Kubernetes 环境进行了只读核对：xcn-core、xcn-5gc、xcn-webui 与 xcn-mongodb 均处于就绪状态；当前部署采用 VPP/memif，VPP 为 v26.06-release，数据库 PVC 为 1 GiB、local-path；UE／gNB／会话速率查询及事件帮助接口可用，MongoDB 镜像具有 mongodump／mongorestore 工具。</w:t>
      </w:r>
    </w:p>
    <w:p>
      <w:r>
        <w:rPr>
          <w:rFonts w:ascii="Arial" w:hAnsi="Arial" w:eastAsia="Microsoft YaHei"/>
          <w:b w:val="0"/>
          <w:i w:val="0"/>
        </w:rPr>
        <w:t>当前运行的核心网镜像标签为 localhost:5000/xcn-runtime:ue-event-observer-3cfac8f99-1021，WebUI 为 xcn-webui:latest，MongoDB 为 mongo:latest。该记录是编制时快照，不能替代实际交付的镜像摘要清单。源码、运行镜像及文档版本应分别登记。</w:t>
      </w:r>
    </w:p>
    <w:p>
      <w:r>
        <w:rPr>
          <w:rFonts w:ascii="Arial" w:hAnsi="Arial" w:eastAsia="Microsoft YaHei"/>
          <w:b w:val="0"/>
          <w:i w:val="0"/>
        </w:rPr>
        <w:t>只读核对同时观察到一处 gNB 上报身份与 NCI 前缀不一致，已在 5.7 给出识别方法；不能将服务就绪和诊断可用表述为全量验收通过。本次编制不变更运行配置，不重新执行既有记录中的压测、模式切换、恢复或无线射频验收。历史测试的配置、限制及未完成事项以 R03～R07 原记录为准。</w:t>
      </w:r>
    </w:p>
    <w:p>
      <w:r>
        <w:rPr>
          <w:rFonts w:ascii="Arial" w:hAnsi="Arial" w:eastAsia="Microsoft YaHei"/>
          <w:b w:val="0"/>
          <w:i w:val="0"/>
        </w:rPr>
        <w:t>正式投标前应完成责任人审核、项目专属信息补齐、性能与认证附件核对；正式交付时应保存双方签署的配置清单、验收结果和支持责任文件。</w:t>
      </w:r>
    </w:p>
    <w:sectPr w:rsidR="00FC693F" w:rsidRPr="0006063C" w:rsidSect="00034616">
      <w:headerReference w:type="default" r:id="rId9"/>
      <w:footerReference w:type="default" r:id="rId10"/>
      <w:pgSz w:w="11906" w:h="16838"/>
      <w:pgMar w:top="1134" w:right="1191" w:bottom="1077" w:left="1191"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Microsoft YaHei"/>
        <w:color w:val="58708B"/>
        <w:sz w:val="16"/>
      </w:rPr>
      <w:t xml:space="preserve">2026-10-22  |  第 </w:t>
    </w:r>
    <w:r>
      <w:rPr>
        <w:rFonts w:ascii="Arial" w:hAnsi="Arial" w:eastAsia="Microsoft YaHei"/>
        <w:color w:val="58708B"/>
        <w:sz w:val="16"/>
      </w:rPr>
    </w:r>
    <w:fldSimple w:instr="PAGE"/>
    <w:r>
      <w:rPr>
        <w:rFonts w:ascii="Arial" w:hAnsi="Arial" w:eastAsia="Microsoft YaHei"/>
        <w:color w:val="58708B"/>
        <w:sz w:val="16"/>
      </w:rPr>
      <w:t xml:space="preserve"> 页／共 </w:t>
    </w:r>
    <w:r>
      <w:rPr>
        <w:rFonts w:ascii="Arial" w:hAnsi="Arial" w:eastAsia="Microsoft YaHei"/>
        <w:color w:val="58708B"/>
        <w:sz w:val="16"/>
      </w:rPr>
    </w:r>
    <w:fldSimple w:instr="NUMPAGES"/>
    <w:r>
      <w:rPr>
        <w:rFonts w:ascii="Arial" w:hAnsi="Arial" w:eastAsia="Microsoft YaHei"/>
        <w:color w:val="58708B"/>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eastAsia="Microsoft YaHei"/>
        <w:color w:val="58708B"/>
        <w:sz w:val="16"/>
      </w:rPr>
      <w:t>XCN 核心网产品说明书</w:t>
    </w:r>
    <w:r>
      <w:rPr>
        <w:rFonts w:ascii="Arial" w:hAnsi="Arial" w:eastAsia="Microsoft YaHei"/>
        <w:color w:val="58708B"/>
        <w:sz w:val="16"/>
      </w:rPr>
      <w:t xml:space="preserve">                         XCN-PM-001 ·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2"/>
    </w:lvlOverride>
  </w:num>
  <w:num w:numId="12">
    <w:abstractNumId w:val="7"/>
    <w:lvlOverride w:ilvl="0">
      <w:startOverride w:val="3"/>
    </w:lvlOverride>
  </w:num>
  <w:num w:numId="13">
    <w:abstractNumId w:val="7"/>
    <w:lvlOverride w:ilvl="0">
      <w:startOverride w:val="4"/>
    </w:lvlOverride>
  </w:num>
  <w:num w:numId="14">
    <w:abstractNumId w:val="7"/>
    <w:lvlOverride w:ilvl="0">
      <w:startOverride w:val="5"/>
    </w:lvlOverride>
  </w:num>
  <w:num w:numId="15">
    <w:abstractNumId w:val="7"/>
    <w:lvlOverride w:ilvl="0">
      <w:startOverride w:val="6"/>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eastAsia="Microsoft YaHei"/>
      <w:color w:val="24384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Arial" w:hAnsi="Arial" w:eastAsia="Microsoft YaHei"/>
      <w:b/>
      <w:bCs/>
      <w:color w:val="163E64"/>
      <w:sz w:val="38"/>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Arial" w:hAnsi="Arial" w:eastAsia="Microsoft YaHei"/>
      <w:b/>
      <w:bCs/>
      <w:color w:val="163E64"/>
      <w:sz w:val="28"/>
      <w:szCs w:val="26"/>
    </w:rPr>
  </w:style>
  <w:style w:type="paragraph" w:styleId="Heading3">
    <w:name w:val="heading 3"/>
    <w:basedOn w:val="Normal"/>
    <w:next w:val="Normal"/>
    <w:link w:val="Heading3Char"/>
    <w:uiPriority w:val="9"/>
    <w:unhideWhenUsed/>
    <w:qFormat/>
    <w:rsid w:val="00FC693F"/>
    <w:pPr>
      <w:keepNext/>
      <w:keepLines/>
      <w:spacing w:before="260" w:after="140"/>
      <w:outlineLvl w:val="2"/>
    </w:pPr>
    <w:rPr>
      <w:rFonts w:asciiTheme="majorHAnsi" w:eastAsiaTheme="majorEastAsia" w:hAnsiTheme="majorHAnsi" w:cstheme="majorBidi" w:ascii="Arial" w:hAnsi="Arial" w:eastAsia="Microsoft YaHei"/>
      <w:b/>
      <w:bCs/>
      <w:color w:val="163E64"/>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400" w:line="240" w:lineRule="auto" w:before="960"/>
      <w:contextualSpacing/>
    </w:pPr>
    <w:rPr>
      <w:rFonts w:asciiTheme="majorHAnsi" w:eastAsiaTheme="majorEastAsia" w:hAnsiTheme="majorHAnsi" w:cstheme="majorBidi" w:ascii="Arial" w:hAnsi="Arial" w:eastAsia="Microsoft YaHei"/>
      <w:color w:val="163E64"/>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eastAsia="Microsoft YaHe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eastAsia="Microsoft YaHei"/>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eastAsia="Microsoft YaHei"/>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eastAsia="Microsoft YaHei"/>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portal.3gpp.org/desktopmodules/Specifications/SpecificationDetails.aspx?specificationId=3144" TargetMode="External"/><Relationship Id="rId12" Type="http://schemas.openxmlformats.org/officeDocument/2006/relationships/hyperlink" Target="https://portal.3gpp.org/Specifications.aspx?WiUid=740005&amp;q=1" TargetMode="External"/><Relationship Id="rId13" Type="http://schemas.openxmlformats.org/officeDocument/2006/relationships/hyperlink" Target="https://www.etsi.org/deliver/etsi_ts/138400_138499/138413/17.03.00_60/ts_138413v170300p.pdf" TargetMode="External"/><Relationship Id="rId14" Type="http://schemas.openxmlformats.org/officeDocument/2006/relationships/hyperlink" Target="https://www.etsi.org/deliver/etsi_ts/129200_129299/129244/19.05.00_60/ts_129244v190500p.pdf" TargetMode="External"/><Relationship Id="rId15" Type="http://schemas.openxmlformats.org/officeDocument/2006/relationships/hyperlink" Target="https://www.etsi.org/deliver/etsi_ts/129200_129299/129281/17.05.00_60/ts_129281v170500p.pdf" TargetMode="External"/><Relationship Id="rId16" Type="http://schemas.openxmlformats.org/officeDocument/2006/relationships/hyperlink" Target="https://portal.etsi.org/webapp/workprogram/Report_WorkItem.asp?WKI_ID=79149" TargetMode="External"/><Relationship Id="rId17"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XCN 核心网产品说明书</dc:title>
  <dc:subject>基于 Open5GS 的 5G SA 核心网系统 · 投标技术说明</dc:subject>
  <dc:creator>XCN 项目组（责任人待署名）</dc:creator>
  <cp:keywords>XCN,Open5GS,5GC,投标,产品说明书,V1.0</cp:keywords>
  <dc:description>generated by python-docx</dc:description>
  <cp:lastModifiedBy/>
  <cp:revision>1</cp:revision>
  <dcterms:created xsi:type="dcterms:W3CDTF">2026-10-22T00:00:00Z</dcterms:created>
  <dcterms:modified xsi:type="dcterms:W3CDTF">2026-10-22T00:00:00Z</dcterms:modified>
  <cp:category/>
</cp:coreProperties>
</file>