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【微证券】小红书爆款 AI 内容生成器 - Coze 搭建 PRD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 PRD 旨在将我们之前讨论的所有优化点（交互简化、场景化植入、图文/视频双模生成、合规内置）整合为一个可供 Coze Agent 直接搭建的执行文档。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产品定位与目标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：专为【腾讯微证券】运营打造的内部 AI 内容工厂。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：通过 RAG（检索增强生成）技术，将证券业务无缝融入小红书生活化场景，实现高转化、高合规的规模化内容产出。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核心工作流设计 (Workflow)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阶段一：意图触发与场景对齐 (Input Layer)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用户输入</w:t>
      </w:r>
      <w:r>
        <w:rPr>
          <w:rFonts w:eastAsia="等线" w:ascii="Arial" w:cs="Arial" w:hAnsi="Arial"/>
          <w:sz w:val="22"/>
        </w:rPr>
        <w:t>：通过 Coze 前端表单选择以下维度：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身份与场景 (Merged)</w:t>
      </w:r>
      <w:r>
        <w:rPr>
          <w:rFonts w:eastAsia="等线" w:ascii="Arial" w:cs="Arial" w:hAnsi="Arial"/>
          <w:sz w:val="22"/>
        </w:rPr>
        <w:t>：市场热点、小白科普、工具测评、职场与生活种草（生活化种草）。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输出形式</w:t>
      </w:r>
      <w:r>
        <w:rPr>
          <w:rFonts w:eastAsia="等线" w:ascii="Arial" w:cs="Arial" w:hAnsi="Arial"/>
          <w:sz w:val="22"/>
        </w:rPr>
        <w:t>：图文内容 / 视频脚本。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深度分析开关 (Toggle)</w:t>
      </w:r>
      <w:r>
        <w:rPr>
          <w:rFonts w:eastAsia="等线" w:ascii="Arial" w:cs="Arial" w:hAnsi="Arial"/>
          <w:sz w:val="22"/>
        </w:rPr>
        <w:t>：开启后触发 RAG 检索深度研报数据。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关键词推荐逻辑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生活化种草专属词库</w:t>
      </w:r>
      <w:r>
        <w:rPr>
          <w:rFonts w:eastAsia="等线" w:ascii="Arial" w:cs="Arial" w:hAnsi="Arial"/>
          <w:sz w:val="22"/>
        </w:rPr>
        <w:t>：#办公室摸鱼、#开会间隙、#排队等餐、#一键转发姐妹、#下拉即看。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阶段二：数据增强与合规拦截 (Processing Layer)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热点检索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serpAPI</w:t>
      </w:r>
      <w:r>
        <w:rPr>
          <w:rFonts w:eastAsia="等线" w:ascii="Arial" w:cs="Arial" w:hAnsi="Arial"/>
          <w:sz w:val="22"/>
        </w:rPr>
        <w:t xml:space="preserve"> 抓取实时财经热搜。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敏感词过滤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个股脱敏</w:t>
      </w:r>
      <w:r>
        <w:rPr>
          <w:rFonts w:eastAsia="等线" w:ascii="Arial" w:cs="Arial" w:hAnsi="Arial"/>
          <w:sz w:val="22"/>
        </w:rPr>
        <w:t>：自动将个股名称（如“腾讯控股”）映射为行业板块（如“互联网巨头”）。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违禁拦截</w:t>
      </w:r>
      <w:r>
        <w:rPr>
          <w:rFonts w:eastAsia="等线" w:ascii="Arial" w:cs="Arial" w:hAnsi="Arial"/>
          <w:sz w:val="22"/>
        </w:rPr>
        <w:t>：剔除“稳赚、荐股、加群、t+0”等小红书违规词。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RAG 注入</w:t>
      </w:r>
      <w:r>
        <w:rPr>
          <w:rFonts w:eastAsia="等线" w:ascii="Arial" w:cs="Arial" w:hAnsi="Arial"/>
          <w:sz w:val="22"/>
        </w:rPr>
        <w:t>：从知识库提取“小红书爆款方法论”和“微证券功能场景映射表”。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阶段三：内容生成 (Generation Layer)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双模生成引擎</w:t>
      </w:r>
      <w:r>
        <w:rPr>
          <w:rFonts w:eastAsia="等线" w:ascii="Arial" w:cs="Arial" w:hAnsi="Arial"/>
          <w:sz w:val="22"/>
        </w:rPr>
        <w:t>：根据“输出形式”变量跳转不同分支。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图文分支</w:t>
      </w:r>
      <w:r>
        <w:rPr>
          <w:rFonts w:eastAsia="等线" w:ascii="Arial" w:cs="Arial" w:hAnsi="Arial"/>
          <w:sz w:val="22"/>
        </w:rPr>
        <w:t>：输出清单式正文，严禁使用 Markdown 加粗符号，使用 Emoji 视觉分段。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视频分支</w:t>
      </w:r>
      <w:r>
        <w:rPr>
          <w:rFonts w:eastAsia="等线" w:ascii="Arial" w:cs="Arial" w:hAnsi="Arial"/>
          <w:sz w:val="22"/>
        </w:rPr>
        <w:t>：输出“黄金 3 秒钩子 + 视觉分镜描述 + 口播文案”。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核心 Prompt 指令集 (核心逻辑储存)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A. 角色定义 (Persona)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你是一位深谙小红书爆款逻辑的财经博主。你的语言风格是：</w:t>
      </w:r>
      <w:r>
        <w:rPr>
          <w:rFonts w:eastAsia="等线" w:ascii="Arial" w:cs="Arial" w:hAnsi="Arial"/>
          <w:b w:val="true"/>
          <w:sz w:val="22"/>
        </w:rPr>
        <w:t>有人味、去术语化、强共鸣</w:t>
      </w:r>
      <w:r>
        <w:rPr>
          <w:rFonts w:eastAsia="等线" w:ascii="Arial" w:cs="Arial" w:hAnsi="Arial"/>
          <w:sz w:val="22"/>
        </w:rPr>
        <w:t>。严禁写成“说明书”。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B. 场景化植入映射表 (Business Injection)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市场热点</w:t>
      </w:r>
      <w:r>
        <w:rPr>
          <w:rFonts w:eastAsia="等线" w:ascii="Arial" w:cs="Arial" w:hAnsi="Arial"/>
          <w:sz w:val="22"/>
        </w:rPr>
        <w:t xml:space="preserve"> -- 植入【问元宝 AI】：强调“大白话拆解复杂行情”。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小白科普</w:t>
      </w:r>
      <w:r>
        <w:rPr>
          <w:rFonts w:eastAsia="等线" w:ascii="Arial" w:cs="Arial" w:hAnsi="Arial"/>
          <w:sz w:val="22"/>
        </w:rPr>
        <w:t xml:space="preserve"> --  植入【极简 UI/微信直达】：强调“免下载、像刷朋友圈一样开户”。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工具测评</w:t>
      </w:r>
      <w:r>
        <w:rPr>
          <w:rFonts w:eastAsia="等线" w:ascii="Arial" w:cs="Arial" w:hAnsi="Arial"/>
          <w:sz w:val="22"/>
        </w:rPr>
        <w:t xml:space="preserve"> -- 植入【波动提醒】：强调“微信弹窗通知，上班忙也不漏行情”。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生活/职场种草</w:t>
      </w:r>
      <w:r>
        <w:rPr>
          <w:rFonts w:eastAsia="等线" w:ascii="Arial" w:cs="Arial" w:hAnsi="Arial"/>
          <w:sz w:val="22"/>
        </w:rPr>
        <w:t xml:space="preserve"> -- 植入【双端浮窗/一键分享】：强调“摸鱼隐蔽、社交分享无缝”。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C. 深度分析模式逻辑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开启后，文案需包含：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宏观核心逻辑（如：美联储动态对资产定价的影响）。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微证券内部数据引用（如：北向资金实时看板趋势）。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界面与交互优化 (UI/UX)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状态保留</w:t>
      </w:r>
      <w:r>
        <w:rPr>
          <w:rFonts w:eastAsia="等线" w:ascii="Arial" w:cs="Arial" w:hAnsi="Arial"/>
          <w:sz w:val="22"/>
        </w:rPr>
        <w:t>：在 Coze 节点间传递全局变量，确保生成内容后，用户点击“修改参数”能回溯到初始配置页面。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兼容性修复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增加一个 </w:t>
      </w:r>
      <w:r>
        <w:rPr>
          <w:rFonts w:eastAsia="等线" w:ascii="Arial" w:cs="Arial" w:hAnsi="Arial"/>
          <w:b w:val="true"/>
          <w:sz w:val="22"/>
        </w:rPr>
        <w:t>Final_Format_Node</w:t>
      </w:r>
      <w:r>
        <w:rPr>
          <w:rFonts w:eastAsia="等线" w:ascii="Arial" w:cs="Arial" w:hAnsi="Arial"/>
          <w:sz w:val="22"/>
        </w:rPr>
        <w:t>，通过正则表达式：</w:t>
      </w:r>
      <w:r>
        <w:rPr>
          <w:rFonts w:eastAsia="Consolas" w:ascii="Consolas" w:cs="Consolas" w:hAnsi="Consolas"/>
          <w:sz w:val="22"/>
          <w:shd w:fill="EFF0F1"/>
        </w:rPr>
        <w:t>result.replace(/\*\*/g, '')</w:t>
      </w:r>
      <w:r>
        <w:rPr>
          <w:rFonts w:eastAsia="等线" w:ascii="Arial" w:cs="Arial" w:hAnsi="Arial"/>
          <w:sz w:val="22"/>
        </w:rPr>
        <w:t xml:space="preserve"> 强制去除所有加粗符号，确保直接复制可用。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待增加提示关键词建议 (用于推荐模块)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</w:t>
      </w:r>
      <w:r>
        <w:rPr>
          <w:rFonts w:eastAsia="等线" w:ascii="Arial" w:cs="Arial" w:hAnsi="Arial"/>
          <w:b w:val="true"/>
          <w:sz w:val="22"/>
        </w:rPr>
        <w:t>生活化种草</w:t>
      </w:r>
      <w:r>
        <w:rPr>
          <w:rFonts w:eastAsia="等线" w:ascii="Arial" w:cs="Arial" w:hAnsi="Arial"/>
          <w:sz w:val="22"/>
        </w:rPr>
        <w:t>，在配置关键词推荐节点时，必须替换掉“存钱、理财、副业”等大词，改为：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摸鱼必备</w:t>
      </w:r>
      <w:r>
        <w:rPr>
          <w:rFonts w:eastAsia="等线" w:ascii="Arial" w:cs="Arial" w:hAnsi="Arial"/>
          <w:sz w:val="22"/>
        </w:rPr>
        <w:t>：突出隐蔽性。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微信直接看</w:t>
      </w:r>
      <w:r>
        <w:rPr>
          <w:rFonts w:eastAsia="等线" w:ascii="Arial" w:cs="Arial" w:hAnsi="Arial"/>
          <w:sz w:val="22"/>
        </w:rPr>
        <w:t>：突出原生便捷。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姐妹讨论</w:t>
      </w:r>
      <w:r>
        <w:rPr>
          <w:rFonts w:eastAsia="等线" w:ascii="Arial" w:cs="Arial" w:hAnsi="Arial"/>
          <w:sz w:val="22"/>
        </w:rPr>
        <w:t>：突出社交分享。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告别焦虑</w:t>
      </w:r>
      <w:r>
        <w:rPr>
          <w:rFonts w:eastAsia="等线" w:ascii="Arial" w:cs="Arial" w:hAnsi="Arial"/>
          <w:sz w:val="22"/>
        </w:rPr>
        <w:t>：突出 AI 辅助决策。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合规底线 (Hard Constraints)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文末强制声明</w:t>
      </w:r>
      <w:r>
        <w:rPr>
          <w:rFonts w:eastAsia="等线" w:ascii="Arial" w:cs="Arial" w:hAnsi="Arial"/>
          <w:sz w:val="22"/>
        </w:rPr>
        <w:t>：必须包含“投资有风险，入市需谨慎”。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唯一转化路径</w:t>
      </w:r>
      <w:r>
        <w:rPr>
          <w:rFonts w:eastAsia="等线" w:ascii="Arial" w:cs="Arial" w:hAnsi="Arial"/>
          <w:sz w:val="22"/>
        </w:rPr>
        <w:t>：所有 CTA 引导语必须统一为“微信搜索‘腾讯微证券’”。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严禁荐股</w:t>
      </w:r>
      <w:r>
        <w:rPr>
          <w:rFonts w:eastAsia="等线" w:ascii="Arial" w:cs="Arial" w:hAnsi="Arial"/>
          <w:sz w:val="22"/>
        </w:rPr>
        <w:t>：严禁给出任何买入/卖出建议或具体目标价。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搭建提示：</w:t>
      </w:r>
      <w:r>
        <w:rPr>
          <w:rFonts w:eastAsia="等线" w:ascii="Arial" w:cs="Arial" w:hAnsi="Arial"/>
          <w:sz w:val="22"/>
        </w:rPr>
        <w:t xml:space="preserve"> 在 Coze 搭建时，建议将**“生活化种草”**作为一个独立的 </w:t>
      </w:r>
      <w:r>
        <w:rPr>
          <w:rFonts w:eastAsia="等线" w:ascii="Arial" w:cs="Arial" w:hAnsi="Arial"/>
          <w:b w:val="true"/>
          <w:sz w:val="22"/>
        </w:rPr>
        <w:t>Condition 分支</w:t>
      </w:r>
      <w:r>
        <w:rPr>
          <w:rFonts w:eastAsia="等线" w:ascii="Arial" w:cs="Arial" w:hAnsi="Arial"/>
          <w:sz w:val="22"/>
        </w:rPr>
        <w:t>。在这个分支里，调高“情绪词”的生成权重，并调低“专业金融术语”的出现频率。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8440">
    <w:lvl>
      <w:numFmt w:val="bullet"/>
      <w:suff w:val="tab"/>
      <w:lvlText w:val="•"/>
      <w:rPr>
        <w:color w:val="3370ff"/>
      </w:rPr>
    </w:lvl>
  </w:abstractNum>
  <w:abstractNum w:abstractNumId="938441">
    <w:lvl>
      <w:numFmt w:val="bullet"/>
      <w:suff w:val="tab"/>
      <w:lvlText w:val="•"/>
      <w:rPr>
        <w:color w:val="3370ff"/>
      </w:rPr>
    </w:lvl>
  </w:abstractNum>
  <w:abstractNum w:abstractNumId="938442">
    <w:lvl>
      <w:numFmt w:val="bullet"/>
      <w:suff w:val="tab"/>
      <w:lvlText w:val="•"/>
      <w:rPr>
        <w:color w:val="3370ff"/>
      </w:rPr>
    </w:lvl>
  </w:abstractNum>
  <w:abstractNum w:abstractNumId="938443">
    <w:lvl>
      <w:start w:val="1"/>
      <w:numFmt w:val="lowerLetter"/>
      <w:suff w:val="tab"/>
      <w:lvlText w:val="%1."/>
      <w:rPr>
        <w:color w:val="3370ff"/>
      </w:rPr>
    </w:lvl>
  </w:abstractNum>
  <w:abstractNum w:abstractNumId="938444">
    <w:lvl>
      <w:start w:val="2"/>
      <w:numFmt w:val="lowerLetter"/>
      <w:suff w:val="tab"/>
      <w:lvlText w:val="%1."/>
      <w:rPr>
        <w:color w:val="3370ff"/>
      </w:rPr>
    </w:lvl>
  </w:abstractNum>
  <w:abstractNum w:abstractNumId="938445">
    <w:lvl>
      <w:start w:val="3"/>
      <w:numFmt w:val="lowerLetter"/>
      <w:suff w:val="tab"/>
      <w:lvlText w:val="%1."/>
      <w:rPr>
        <w:color w:val="3370ff"/>
      </w:rPr>
    </w:lvl>
  </w:abstractNum>
  <w:abstractNum w:abstractNumId="938446">
    <w:lvl>
      <w:numFmt w:val="bullet"/>
      <w:suff w:val="tab"/>
      <w:lvlText w:val="•"/>
      <w:rPr>
        <w:color w:val="3370ff"/>
      </w:rPr>
    </w:lvl>
  </w:abstractNum>
  <w:abstractNum w:abstractNumId="938447">
    <w:lvl>
      <w:numFmt w:val="bullet"/>
      <w:suff w:val="tab"/>
      <w:lvlText w:val="￮"/>
      <w:rPr>
        <w:color w:val="3370ff"/>
      </w:rPr>
    </w:lvl>
  </w:abstractNum>
  <w:abstractNum w:abstractNumId="938448">
    <w:lvl>
      <w:numFmt w:val="bullet"/>
      <w:suff w:val="tab"/>
      <w:lvlText w:val="•"/>
      <w:rPr>
        <w:color w:val="3370ff"/>
      </w:rPr>
    </w:lvl>
  </w:abstractNum>
  <w:abstractNum w:abstractNumId="938449">
    <w:lvl>
      <w:numFmt w:val="bullet"/>
      <w:suff w:val="tab"/>
      <w:lvlText w:val="•"/>
      <w:rPr>
        <w:color w:val="3370ff"/>
      </w:rPr>
    </w:lvl>
  </w:abstractNum>
  <w:abstractNum w:abstractNumId="938450">
    <w:lvl>
      <w:numFmt w:val="bullet"/>
      <w:suff w:val="tab"/>
      <w:lvlText w:val="￮"/>
      <w:rPr>
        <w:color w:val="3370ff"/>
      </w:rPr>
    </w:lvl>
  </w:abstractNum>
  <w:abstractNum w:abstractNumId="938451">
    <w:lvl>
      <w:numFmt w:val="bullet"/>
      <w:suff w:val="tab"/>
      <w:lvlText w:val="￮"/>
      <w:rPr>
        <w:color w:val="3370ff"/>
      </w:rPr>
    </w:lvl>
  </w:abstractNum>
  <w:abstractNum w:abstractNumId="938452">
    <w:lvl>
      <w:numFmt w:val="bullet"/>
      <w:suff w:val="tab"/>
      <w:lvlText w:val="•"/>
      <w:rPr>
        <w:color w:val="3370ff"/>
      </w:rPr>
    </w:lvl>
  </w:abstractNum>
  <w:abstractNum w:abstractNumId="938453">
    <w:lvl>
      <w:numFmt w:val="bullet"/>
      <w:suff w:val="tab"/>
      <w:lvlText w:val="•"/>
      <w:rPr>
        <w:color w:val="3370ff"/>
      </w:rPr>
    </w:lvl>
  </w:abstractNum>
  <w:abstractNum w:abstractNumId="938454">
    <w:lvl>
      <w:numFmt w:val="bullet"/>
      <w:suff w:val="tab"/>
      <w:lvlText w:val="•"/>
      <w:rPr>
        <w:color w:val="3370ff"/>
      </w:rPr>
    </w:lvl>
  </w:abstractNum>
  <w:abstractNum w:abstractNumId="938455">
    <w:lvl>
      <w:numFmt w:val="bullet"/>
      <w:suff w:val="tab"/>
      <w:lvlText w:val="•"/>
      <w:rPr>
        <w:color w:val="3370ff"/>
      </w:rPr>
    </w:lvl>
  </w:abstractNum>
  <w:abstractNum w:abstractNumId="938456">
    <w:lvl>
      <w:numFmt w:val="bullet"/>
      <w:suff w:val="tab"/>
      <w:lvlText w:val="•"/>
      <w:rPr>
        <w:color w:val="3370ff"/>
      </w:rPr>
    </w:lvl>
  </w:abstractNum>
  <w:abstractNum w:abstractNumId="938457">
    <w:lvl>
      <w:numFmt w:val="bullet"/>
      <w:suff w:val="tab"/>
      <w:lvlText w:val="•"/>
      <w:rPr>
        <w:color w:val="3370ff"/>
      </w:rPr>
    </w:lvl>
  </w:abstractNum>
  <w:abstractNum w:abstractNumId="938458">
    <w:lvl>
      <w:numFmt w:val="bullet"/>
      <w:suff w:val="tab"/>
      <w:lvlText w:val="•"/>
      <w:rPr>
        <w:color w:val="3370ff"/>
      </w:rPr>
    </w:lvl>
  </w:abstractNum>
  <w:abstractNum w:abstractNumId="938459">
    <w:lvl>
      <w:numFmt w:val="bullet"/>
      <w:suff w:val="tab"/>
      <w:lvlText w:val="•"/>
      <w:rPr>
        <w:color w:val="3370ff"/>
      </w:rPr>
    </w:lvl>
  </w:abstractNum>
  <w:abstractNum w:abstractNumId="938460">
    <w:lvl>
      <w:start w:val="1"/>
      <w:numFmt w:val="decimal"/>
      <w:suff w:val="tab"/>
      <w:lvlText w:val="%1."/>
      <w:rPr>
        <w:color w:val="3370ff"/>
      </w:rPr>
    </w:lvl>
  </w:abstractNum>
  <w:abstractNum w:abstractNumId="938461">
    <w:lvl>
      <w:start w:val="2"/>
      <w:numFmt w:val="decimal"/>
      <w:suff w:val="tab"/>
      <w:lvlText w:val="%1."/>
      <w:rPr>
        <w:color w:val="3370ff"/>
      </w:rPr>
    </w:lvl>
  </w:abstractNum>
  <w:abstractNum w:abstractNumId="938462">
    <w:lvl>
      <w:numFmt w:val="bullet"/>
      <w:suff w:val="tab"/>
      <w:lvlText w:val="•"/>
      <w:rPr>
        <w:color w:val="3370ff"/>
      </w:rPr>
    </w:lvl>
  </w:abstractNum>
  <w:abstractNum w:abstractNumId="938463">
    <w:lvl>
      <w:numFmt w:val="bullet"/>
      <w:suff w:val="tab"/>
      <w:lvlText w:val="•"/>
      <w:rPr>
        <w:color w:val="3370ff"/>
      </w:rPr>
    </w:lvl>
  </w:abstractNum>
  <w:abstractNum w:abstractNumId="938464">
    <w:lvl>
      <w:numFmt w:val="bullet"/>
      <w:suff w:val="tab"/>
      <w:lvlText w:val="￮"/>
      <w:rPr>
        <w:color w:val="3370ff"/>
      </w:rPr>
    </w:lvl>
  </w:abstractNum>
  <w:abstractNum w:abstractNumId="938465">
    <w:lvl>
      <w:numFmt w:val="bullet"/>
      <w:suff w:val="tab"/>
      <w:lvlText w:val="•"/>
      <w:rPr>
        <w:color w:val="3370ff"/>
      </w:rPr>
    </w:lvl>
  </w:abstractNum>
  <w:abstractNum w:abstractNumId="938466">
    <w:lvl>
      <w:numFmt w:val="bullet"/>
      <w:suff w:val="tab"/>
      <w:lvlText w:val="•"/>
      <w:rPr>
        <w:color w:val="3370ff"/>
      </w:rPr>
    </w:lvl>
  </w:abstractNum>
  <w:abstractNum w:abstractNumId="938467">
    <w:lvl>
      <w:numFmt w:val="bullet"/>
      <w:suff w:val="tab"/>
      <w:lvlText w:val="•"/>
      <w:rPr>
        <w:color w:val="3370ff"/>
      </w:rPr>
    </w:lvl>
  </w:abstractNum>
  <w:abstractNum w:abstractNumId="938468">
    <w:lvl>
      <w:numFmt w:val="bullet"/>
      <w:suff w:val="tab"/>
      <w:lvlText w:val="•"/>
      <w:rPr>
        <w:color w:val="3370ff"/>
      </w:rPr>
    </w:lvl>
  </w:abstractNum>
  <w:abstractNum w:abstractNumId="938469">
    <w:lvl>
      <w:start w:val="1"/>
      <w:numFmt w:val="decimal"/>
      <w:suff w:val="tab"/>
      <w:lvlText w:val="%1."/>
      <w:rPr>
        <w:color w:val="3370ff"/>
      </w:rPr>
    </w:lvl>
  </w:abstractNum>
  <w:abstractNum w:abstractNumId="938470">
    <w:lvl>
      <w:start w:val="2"/>
      <w:numFmt w:val="decimal"/>
      <w:suff w:val="tab"/>
      <w:lvlText w:val="%1."/>
      <w:rPr>
        <w:color w:val="3370ff"/>
      </w:rPr>
    </w:lvl>
  </w:abstractNum>
  <w:abstractNum w:abstractNumId="93847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938440"/>
  </w:num>
  <w:num w:numId="2">
    <w:abstractNumId w:val="938441"/>
  </w:num>
  <w:num w:numId="3">
    <w:abstractNumId w:val="938442"/>
  </w:num>
  <w:num w:numId="4">
    <w:abstractNumId w:val="938443"/>
  </w:num>
  <w:num w:numId="5">
    <w:abstractNumId w:val="938444"/>
  </w:num>
  <w:num w:numId="6">
    <w:abstractNumId w:val="938445"/>
  </w:num>
  <w:num w:numId="7">
    <w:abstractNumId w:val="938446"/>
  </w:num>
  <w:num w:numId="8">
    <w:abstractNumId w:val="938447"/>
  </w:num>
  <w:num w:numId="9">
    <w:abstractNumId w:val="938448"/>
  </w:num>
  <w:num w:numId="10">
    <w:abstractNumId w:val="938449"/>
  </w:num>
  <w:num w:numId="11">
    <w:abstractNumId w:val="938450"/>
  </w:num>
  <w:num w:numId="12">
    <w:abstractNumId w:val="938451"/>
  </w:num>
  <w:num w:numId="13">
    <w:abstractNumId w:val="938452"/>
  </w:num>
  <w:num w:numId="14">
    <w:abstractNumId w:val="938453"/>
  </w:num>
  <w:num w:numId="15">
    <w:abstractNumId w:val="938454"/>
  </w:num>
  <w:num w:numId="16">
    <w:abstractNumId w:val="938455"/>
  </w:num>
  <w:num w:numId="17">
    <w:abstractNumId w:val="938456"/>
  </w:num>
  <w:num w:numId="18">
    <w:abstractNumId w:val="938457"/>
  </w:num>
  <w:num w:numId="19">
    <w:abstractNumId w:val="938458"/>
  </w:num>
  <w:num w:numId="20">
    <w:abstractNumId w:val="938459"/>
  </w:num>
  <w:num w:numId="21">
    <w:abstractNumId w:val="938460"/>
  </w:num>
  <w:num w:numId="22">
    <w:abstractNumId w:val="938461"/>
  </w:num>
  <w:num w:numId="23">
    <w:abstractNumId w:val="938462"/>
  </w:num>
  <w:num w:numId="24">
    <w:abstractNumId w:val="938463"/>
  </w:num>
  <w:num w:numId="25">
    <w:abstractNumId w:val="938464"/>
  </w:num>
  <w:num w:numId="26">
    <w:abstractNumId w:val="938465"/>
  </w:num>
  <w:num w:numId="27">
    <w:abstractNumId w:val="938466"/>
  </w:num>
  <w:num w:numId="28">
    <w:abstractNumId w:val="938467"/>
  </w:num>
  <w:num w:numId="29">
    <w:abstractNumId w:val="938468"/>
  </w:num>
  <w:num w:numId="30">
    <w:abstractNumId w:val="938469"/>
  </w:num>
  <w:num w:numId="31">
    <w:abstractNumId w:val="938470"/>
  </w:num>
  <w:num w:numId="32">
    <w:abstractNumId w:val="938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2026-04-15T10:50:41Z</dcterms:created>
  <dc:creator>Apache POI</dc:creator>
</cp:coreProperties>
</file>