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УСИЛЕНИЕ ВАЛИДАТОРОВ БАНКОВСКИХ PDF</w:t>
      </w:r>
    </w:p>
    <w:p>
      <w:pPr>
        <w:pStyle w:val="Subtitle"/>
        <w:jc w:val="center"/>
      </w:pPr>
      <w:r>
        <w:t>Overlay addendum v2.0: document-type routing, status engine, 50 hardening checks и bank-specific contracts</w:t>
      </w:r>
    </w:p>
    <w:p>
      <w:pPr>
        <w:jc w:val="center"/>
      </w:pPr>
      <w:r>
        <w:rPr>
          <w:b/>
          <w:color w:val="9C0006"/>
          <w:sz w:val="20"/>
        </w:rPr>
        <w:t>Т-БАНК НЕ ИЗМЕНЯТЬ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2C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7F6000"/>
              </w:rPr>
              <w:t>Главная директива</w:t>
            </w:r>
          </w:p>
          <w:p>
            <w:pPr>
              <w:spacing w:after="0"/>
            </w:pPr>
            <w:r>
              <w:t>Применить этот документ поверх действующих future-safe спецификаций ВТБ, СберБанка, Ozon Банка, Газпромбанка и master-spec девяти малых банков. При конфликте правил v2.0 имеет приоритет. Т-Банк не затрагивать.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736"/>
            <w:shd w:fill="17365D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Параметр</w:t>
            </w:r>
          </w:p>
        </w:tc>
        <w:tc>
          <w:tcPr>
            <w:tcW w:type="dxa" w:w="7632"/>
            <w:shd w:fill="17365D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73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Оригинальные корпуса</w:t>
            </w:r>
          </w:p>
        </w:tc>
        <w:tc>
          <w:tcPr>
            <w:tcW w:type="dxa" w:w="763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97 PDF: ВТБ 15; СберБанк 22; Ozon 32; Газпромбанк 7; девять малых банков 21.</w:t>
            </w:r>
          </w:p>
        </w:tc>
      </w:tr>
      <w:tr>
        <w:trPr>
          <w:cantSplit/>
        </w:trPr>
        <w:tc>
          <w:tcPr>
            <w:tcW w:type="dxa" w:w="273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Уникальные файлы</w:t>
            </w:r>
          </w:p>
        </w:tc>
        <w:tc>
          <w:tcPr>
            <w:tcW w:type="dxa" w:w="763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ВТБ 10; СберБанк 21; Ozon 29; Газпромбанк 6; малые банки 15.</w:t>
            </w:r>
          </w:p>
        </w:tc>
      </w:tr>
      <w:tr>
        <w:trPr>
          <w:cantSplit/>
        </w:trPr>
        <w:tc>
          <w:tcPr>
            <w:tcW w:type="dxa" w:w="273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Новый внешний результат</w:t>
            </w:r>
          </w:p>
        </w:tc>
        <w:tc>
          <w:tcPr>
            <w:tcW w:type="dxa" w:w="763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ОРИГИНАЛ / ФЕЙК / НЕИЗВЕСТНЫЙ ДОКУМЕНТ.</w:t>
            </w:r>
          </w:p>
        </w:tc>
      </w:tr>
      <w:tr>
        <w:trPr>
          <w:cantSplit/>
        </w:trPr>
        <w:tc>
          <w:tcPr>
            <w:tcW w:type="dxa" w:w="273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Ключевая защита</w:t>
            </w:r>
          </w:p>
        </w:tc>
        <w:tc>
          <w:tcPr>
            <w:tcW w:type="dxa" w:w="763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Новый согласованный официальный профиль не банится за новизну.</w:t>
            </w:r>
          </w:p>
        </w:tc>
      </w:tr>
      <w:tr>
        <w:trPr>
          <w:cantSplit/>
        </w:trPr>
        <w:tc>
          <w:tcPr>
            <w:tcW w:type="dxa" w:w="273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Особое усиление</w:t>
            </w:r>
          </w:p>
        </w:tc>
        <w:tc>
          <w:tcPr>
            <w:tcW w:type="dxa" w:w="763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Semantic orphan/latent content, used glyph↔render parity, document-type gate, статус операции.</w:t>
            </w:r>
          </w:p>
        </w:tc>
      </w:tr>
      <w:tr>
        <w:trPr>
          <w:cantSplit/>
        </w:trPr>
        <w:tc>
          <w:tcPr>
            <w:tcW w:type="dxa" w:w="273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Версия</w:t>
            </w:r>
          </w:p>
        </w:tc>
        <w:tc>
          <w:tcPr>
            <w:tcW w:type="dxa" w:w="763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2.0 • 12.07.2026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1. Изменение архитектуры решения</w:t>
      </w:r>
    </w:p>
    <w:p>
      <w:pPr>
        <w:pStyle w:val="CodeBlock"/>
        <w:shd w:fill="F4F7FA"/>
        <w:pBdr>
          <w:top w:val="single" w:sz="4" w:space="2" w:color="B4C6E7"/>
          <w:left w:val="single" w:sz="4" w:space="2" w:color="B4C6E7"/>
          <w:bottom w:val="single" w:sz="4" w:space="2" w:color="B4C6E7"/>
          <w:right w:val="single" w:sz="4" w:space="2" w:color="B4C6E7"/>
        </w:pBdr>
      </w:pPr>
      <w:r>
        <w:t>doc = classify_document_type_and_issuer(original_pdf_bytes)</w:t>
        <w:br/>
        <w:br/>
        <w:t>if doc.type in {UNSUPPORTED_STATEMENT, UNSUPPORTED_CERTIFICATE, UNKNOWN_DOCUMENT}:</w:t>
        <w:br/>
        <w:t xml:space="preserve">    return "НЕИЗВЕСТНЫЙ ДОКУМЕНТ", doc_type_evidence</w:t>
        <w:br/>
        <w:br/>
        <w:t>result = run_global_hardening_pipeline(original_pdf_bytes)</w:t>
        <w:br/>
        <w:br/>
        <w:t>if not result.analysis_complete:</w:t>
        <w:br/>
        <w:t xml:space="preserve">    return "ФЕЙК", reason_code="ANALYSIS_NOT_COMPLETED"</w:t>
        <w:br/>
        <w:br/>
        <w:t>bank_result = run_bank_specific_pipeline(doc.issuer, doc.submethod, result)</w:t>
        <w:br/>
        <w:br/>
        <w:t>if bank_result.proven_hard_contradictions:</w:t>
        <w:br/>
        <w:t xml:space="preserve">    return "ФЕЙК", bank_result.decisive_evidence</w:t>
        <w:br/>
        <w:br/>
        <w:t>authenticity = "ОРИГИНАЛ"</w:t>
        <w:br/>
        <w:t>operation_status = normalize_operation_status(bank_result.visible_status)</w:t>
        <w:br/>
        <w:t>return authenticity, operation_status, user_warning_for(operation_status)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2F0D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F6D42"/>
              </w:rPr>
              <w:t>Подлинность документа ≠ успешность операции</w:t>
            </w:r>
          </w:p>
          <w:p>
            <w:pPr>
              <w:spacing w:after="0"/>
            </w:pPr>
            <w:r>
              <w:t>Настоящий банковский документ может отражать операцию «В обработке», «Отклонено» или «Возвращено». Статус нельзя превращать в verdict ФЕЙК. Пользователь должен отдельно увидеть, подтверждено ли зачисление.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Document-type router: чек, выписка или неподдерживаемый документ</w:t>
      </w:r>
    </w:p>
    <w:p>
      <w:pPr>
        <w:pStyle w:val="ListBullet"/>
      </w:pPr>
      <w:r>
        <w:t>До bank-specific проверки определить тип документа по видимому заголовку, структуре страниц и семантике.</w:t>
      </w:r>
    </w:p>
    <w:p>
      <w:pPr>
        <w:pStyle w:val="ListBullet"/>
      </w:pPr>
      <w:r>
        <w:t>Выписка: период, начальный/конечный остаток, многооперационная таблица, дебет/кредит, счёт/карта владельца, нумерация страниц.</w:t>
      </w:r>
    </w:p>
    <w:p>
      <w:pPr>
        <w:pStyle w:val="ListBullet"/>
      </w:pPr>
      <w:r>
        <w:t>Одна операция с суммой, датой, сторонами и идентификатором может быть чек/квитанция либо поддерживаемая банком справка.</w:t>
      </w:r>
    </w:p>
    <w:p>
      <w:pPr>
        <w:pStyle w:val="ListBullet"/>
      </w:pPr>
      <w:r>
        <w:t>Нельзя считать документ чеком только потому, что распознан логотип банка.</w:t>
      </w:r>
    </w:p>
    <w:p>
      <w:pPr>
        <w:pStyle w:val="ListBullet"/>
      </w:pPr>
      <w:r>
        <w:t>Нельзя маршрутизировать по полю «Банк получателя»: это не банк-эмитент.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448"/>
            <w:shd w:fill="17365D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Класс</w:t>
            </w:r>
          </w:p>
        </w:tc>
        <w:tc>
          <w:tcPr>
            <w:tcW w:type="dxa" w:w="3312"/>
            <w:shd w:fill="17365D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Решение</w:t>
            </w:r>
          </w:p>
        </w:tc>
        <w:tc>
          <w:tcPr>
            <w:tcW w:type="dxa" w:w="4896"/>
            <w:shd w:fill="17365D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Пользовательский текст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SUPPORTED_RECEIPT</w:t>
            </w:r>
          </w:p>
        </w:tc>
        <w:tc>
          <w:tcPr>
            <w:tcW w:type="dxa" w:w="331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Запустить валидатор банка</w:t>
            </w:r>
          </w:p>
        </w:tc>
        <w:tc>
          <w:tcPr>
            <w:tcW w:type="dxa" w:w="489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Обычный результат ОРИГИНАЛ/ФЕЙК.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SUPPORTED_OPERATION_CERTIFICATE</w:t>
            </w:r>
          </w:p>
        </w:tc>
        <w:tc>
          <w:tcPr>
            <w:tcW w:type="dxa" w:w="331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Запустить подтверждённый bank-specific contract</w:t>
            </w:r>
          </w:p>
        </w:tc>
        <w:tc>
          <w:tcPr>
            <w:tcW w:type="dxa" w:w="489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Например, поддерживаемая «Справка по операции» Райффайзенбанка.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UNSUPPORTED_STATEMENT</w:t>
            </w:r>
          </w:p>
        </w:tc>
        <w:tc>
          <w:tcPr>
            <w:tcW w:type="dxa" w:w="331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Не запускать receipt authenticity rules</w:t>
            </w:r>
          </w:p>
        </w:tc>
        <w:tc>
          <w:tcPr>
            <w:tcW w:type="dxa" w:w="489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⚪ НЕИЗВЕСТНЫЙ ДОКУМЕНТ. Определена выписка; этот тип пока не проверяется.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UNSUPPORTED_CERTIFICATE</w:t>
            </w:r>
          </w:p>
        </w:tc>
        <w:tc>
          <w:tcPr>
            <w:tcW w:type="dxa" w:w="331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Не назначать authenticity verdict</w:t>
            </w:r>
          </w:p>
        </w:tc>
        <w:tc>
          <w:tcPr>
            <w:tcW w:type="dxa" w:w="489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⚪ НЕИЗВЕСТНЫЙ ДОКУМЕНТ. Этот вид справки пока не поддерживается.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UNKNOWN_DOCUMENT</w:t>
            </w:r>
          </w:p>
        </w:tc>
        <w:tc>
          <w:tcPr>
            <w:tcW w:type="dxa" w:w="331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Не угадывать</w:t>
            </w:r>
          </w:p>
        </w:tc>
        <w:tc>
          <w:tcPr>
            <w:tcW w:type="dxa" w:w="489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⚪ НЕИЗВЕСТНЫЙ ДОКУМЕНТ. Не удалось определить поддерживаемый тип.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Status engine и пользовательские предупреждения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160"/>
            <w:shd w:fill="17365D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Нормализованный класс</w:t>
            </w:r>
          </w:p>
        </w:tc>
        <w:tc>
          <w:tcPr>
            <w:tcW w:type="dxa" w:w="4752"/>
            <w:shd w:fill="17365D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Наблюдаемые варианты</w:t>
            </w:r>
          </w:p>
        </w:tc>
        <w:tc>
          <w:tcPr>
            <w:tcW w:type="dxa" w:w="3744"/>
            <w:shd w:fill="17365D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Поведение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SUCCESS_FINAL</w:t>
            </w:r>
          </w:p>
        </w:tc>
        <w:tc>
          <w:tcPr>
            <w:tcW w:type="dxa" w:w="475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Выполнено; Успешно; Исполнено; ИСПОЛНЕНО; Операция выполнена; Перевод выполнен; Обработано — только для подтверждённого банка/метода</w:t>
            </w:r>
          </w:p>
        </w:tc>
        <w:tc>
          <w:tcPr>
            <w:tcW w:type="dxa" w:w="374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Показать результат проверки без предупреждения о незавершённости.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PENDING_NONFINAL</w:t>
            </w:r>
          </w:p>
        </w:tc>
        <w:tc>
          <w:tcPr>
            <w:tcW w:type="dxa" w:w="475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В обработке; Обрабатывается; Выполняется; Принято в обработку; Ожидает подтверждения; На проверке</w:t>
            </w:r>
          </w:p>
        </w:tc>
        <w:tc>
          <w:tcPr>
            <w:tcW w:type="dxa" w:w="374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«⚠️ Обратите внимание: операция ещё обрабатывается. Зачисление не подтверждено.»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FAILED_FINAL</w:t>
            </w:r>
          </w:p>
        </w:tc>
        <w:tc>
          <w:tcPr>
            <w:tcW w:type="dxa" w:w="475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Отклонено; Отменено; Не выполнено; Ошибка; Возвращено; Отказ</w:t>
            </w:r>
          </w:p>
        </w:tc>
        <w:tc>
          <w:tcPr>
            <w:tcW w:type="dxa" w:w="374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«⚠️ Обратите внимание: операция не выполнена либо возвращена.»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UNKNOWN_STATUS</w:t>
            </w:r>
          </w:p>
        </w:tc>
        <w:tc>
          <w:tcPr>
            <w:tcW w:type="dxa" w:w="475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Новый или отсутствующий статус</w:t>
            </w:r>
          </w:p>
        </w:tc>
        <w:tc>
          <w:tcPr>
            <w:tcW w:type="dxa" w:w="374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Не делать ФЕЙК. Сообщить, что статус не удалось однозначно определить.</w:t>
            </w:r>
          </w:p>
        </w:tc>
      </w:tr>
    </w:tbl>
    <w:p>
      <w:pPr>
        <w:spacing w:after="0"/>
      </w:pPr>
    </w:p>
    <w:p>
      <w:pPr>
        <w:pStyle w:val="CodeBlock"/>
        <w:shd w:fill="F4F7FA"/>
        <w:pBdr>
          <w:top w:val="single" w:sz="4" w:space="2" w:color="B4C6E7"/>
          <w:left w:val="single" w:sz="4" w:space="2" w:color="B4C6E7"/>
          <w:bottom w:val="single" w:sz="4" w:space="2" w:color="B4C6E7"/>
          <w:right w:val="single" w:sz="4" w:space="2" w:color="B4C6E7"/>
        </w:pBdr>
      </w:pPr>
      <w:r>
        <w:t>✅ ОРИГИНАЛ</w:t>
        <w:br/>
        <w:br/>
        <w:t>⚠️ Обратите внимание: статус операции — «В обработке».</w:t>
        <w:br/>
        <w:t>Зачисление средств ещё не подтверждено. Проверьте поступление в банковском приложении.</w:t>
      </w:r>
    </w:p>
    <w:p>
      <w:pPr>
        <w:pStyle w:val="CodeBlock"/>
        <w:shd w:fill="F4F7FA"/>
        <w:pBdr>
          <w:top w:val="single" w:sz="4" w:space="2" w:color="B4C6E7"/>
          <w:left w:val="single" w:sz="4" w:space="2" w:color="B4C6E7"/>
          <w:bottom w:val="single" w:sz="4" w:space="2" w:color="B4C6E7"/>
          <w:right w:val="single" w:sz="4" w:space="2" w:color="B4C6E7"/>
        </w:pBdr>
      </w:pPr>
      <w:r>
        <w:t>✅ ОРИГИНАЛ</w:t>
        <w:br/>
        <w:br/>
        <w:t>⚠️ Обратите внимание: статус операции — «Отклонено».</w:t>
        <w:br/>
        <w:t>Документ может быть подлинным, но перевод не выполнен.</w:t>
      </w:r>
    </w:p>
    <w:p>
      <w:pPr>
        <w:pStyle w:val="Heading1"/>
        <w:keepNext/>
      </w:pPr>
      <w:r>
        <w:t>4. Пятьдесят обязательных проверок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1800"/>
            <w:shd w:fill="17365D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№ / Rule ID</w:t>
            </w:r>
          </w:p>
        </w:tc>
        <w:tc>
          <w:tcPr>
            <w:tcW w:type="dxa" w:w="1584"/>
            <w:shd w:fill="17365D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Слой</w:t>
            </w:r>
          </w:p>
        </w:tc>
        <w:tc>
          <w:tcPr>
            <w:tcW w:type="dxa" w:w="4464"/>
            <w:shd w:fill="17365D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Что проверять</w:t>
            </w:r>
          </w:p>
        </w:tc>
        <w:tc>
          <w:tcPr>
            <w:tcW w:type="dxa" w:w="3312"/>
            <w:shd w:fill="17365D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Защита от false positive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1. G-DOC-001</w:t>
            </w:r>
          </w:p>
        </w:tc>
        <w:tc>
          <w:tcPr>
            <w:tcW w:type="dxa" w:w="15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Тип документа</w:t>
            </w:r>
          </w:p>
        </w:tc>
        <w:tc>
          <w:tcPr>
            <w:tcW w:type="dxa" w:w="446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До проверки подлинности определить: чек/квитанция, поддерживаемая справка, выписка, иной документ.</w:t>
            </w:r>
          </w:p>
        </w:tc>
        <w:tc>
          <w:tcPr>
            <w:tcW w:type="dxa" w:w="331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Выписка или неподдерживаемый тип → НЕИЗВЕСТНЫЙ ДОКУМЕНТ, без ОРИГИНАЛ/ФЕЙК.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2. G-DOC-002</w:t>
            </w:r>
          </w:p>
        </w:tc>
        <w:tc>
          <w:tcPr>
            <w:tcW w:type="dxa" w:w="15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Выписка</w:t>
            </w:r>
          </w:p>
        </w:tc>
        <w:tc>
          <w:tcPr>
            <w:tcW w:type="dxa" w:w="446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Искать заголовок «Выписка/Statement», период, остатки, многооперационную таблицу, дебет/кредит, нумерацию страниц.</w:t>
            </w:r>
          </w:p>
        </w:tc>
        <w:tc>
          <w:tcPr>
            <w:tcW w:type="dxa" w:w="331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Не применять receipt-validator к выписке.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3. G-DOC-003</w:t>
            </w:r>
          </w:p>
        </w:tc>
        <w:tc>
          <w:tcPr>
            <w:tcW w:type="dxa" w:w="15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Справка</w:t>
            </w:r>
          </w:p>
        </w:tc>
        <w:tc>
          <w:tcPr>
            <w:tcW w:type="dxa" w:w="446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Слово «Справка» не запрещать глобально: отдельные банки выпускают поддерживаемую справку по одной операции.</w:t>
            </w:r>
          </w:p>
        </w:tc>
        <w:tc>
          <w:tcPr>
            <w:tcW w:type="dxa" w:w="331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Решение только по bank-specific document contract.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4. G-ROUTE-001</w:t>
            </w:r>
          </w:p>
        </w:tc>
        <w:tc>
          <w:tcPr>
            <w:tcW w:type="dxa" w:w="15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Эмитент</w:t>
            </w:r>
          </w:p>
        </w:tc>
        <w:tc>
          <w:tcPr>
            <w:tcW w:type="dxa" w:w="446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Определять банк по логотипу, юридическому имени, footer/stamp, контактам и структуре.</w:t>
            </w:r>
          </w:p>
        </w:tc>
        <w:tc>
          <w:tcPr>
            <w:tcW w:type="dxa" w:w="331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Банк получателя никогда не определяет эмитента.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5. G-ROUTE-002</w:t>
            </w:r>
          </w:p>
        </w:tc>
        <w:tc>
          <w:tcPr>
            <w:tcW w:type="dxa" w:w="15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Несогласованный бренд</w:t>
            </w:r>
          </w:p>
        </w:tc>
        <w:tc>
          <w:tcPr>
            <w:tcW w:type="dxa" w:w="446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Сравнить логотип, юрлицо, БИК/корсчёт, footer и контакты внутри одного PDF.</w:t>
            </w:r>
          </w:p>
        </w:tc>
        <w:tc>
          <w:tcPr>
            <w:tcW w:type="dxa" w:w="331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Hard только при доказанной внутренней подмене.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6. G-RAW-001</w:t>
            </w:r>
          </w:p>
        </w:tc>
        <w:tc>
          <w:tcPr>
            <w:tcW w:type="dxa" w:w="15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PDF header</w:t>
            </w:r>
          </w:p>
        </w:tc>
        <w:tc>
          <w:tcPr>
            <w:tcW w:type="dxa" w:w="446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Ровно один однозначный header; без non-whitespace prefix и второго вложенного PDF.</w:t>
            </w:r>
          </w:p>
        </w:tc>
        <w:tc>
          <w:tcPr>
            <w:tcW w:type="dxa" w:w="331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Неизвестная версия PDF сама по себе допустима.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7. G-RAW-002</w:t>
            </w:r>
          </w:p>
        </w:tc>
        <w:tc>
          <w:tcPr>
            <w:tcW w:type="dxa" w:w="15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XRef/startxref</w:t>
            </w:r>
          </w:p>
        </w:tc>
        <w:tc>
          <w:tcPr>
            <w:tcW w:type="dxa" w:w="446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Проверить offsets, generations, free/active flags, trailer и все ссылки.</w:t>
            </w:r>
          </w:p>
        </w:tc>
        <w:tc>
          <w:tcPr>
            <w:tcW w:type="dxa" w:w="331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Hard при неоднозначности или ссылке в чужой span.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8. G-RAW-003</w:t>
            </w:r>
          </w:p>
        </w:tc>
        <w:tc>
          <w:tcPr>
            <w:tcW w:type="dxa" w:w="15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EOF</w:t>
            </w:r>
          </w:p>
        </w:tc>
        <w:tc>
          <w:tcPr>
            <w:tcW w:type="dxa" w:w="446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После последнего %%EOF допускается только ASCII whitespace.</w:t>
            </w:r>
          </w:p>
        </w:tc>
        <w:tc>
          <w:tcPr>
            <w:tcW w:type="dxa" w:w="331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Любые данные/архив/второй файл после EOF → hard.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9. G-RAW-004</w:t>
            </w:r>
          </w:p>
        </w:tc>
        <w:tc>
          <w:tcPr>
            <w:tcW w:type="dxa" w:w="15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Duplicate keys</w:t>
            </w:r>
          </w:p>
        </w:tc>
        <w:tc>
          <w:tcPr>
            <w:tcW w:type="dxa" w:w="446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Искать дубли ключей до и после PDF Name #xx decoding.</w:t>
            </w:r>
          </w:p>
        </w:tc>
        <w:tc>
          <w:tcPr>
            <w:tcW w:type="dxa" w:w="331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Конфликтующие effective values → hard.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10. G-RAW-005</w:t>
            </w:r>
          </w:p>
        </w:tc>
        <w:tc>
          <w:tcPr>
            <w:tcW w:type="dxa" w:w="15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Duplicate objects</w:t>
            </w:r>
          </w:p>
        </w:tc>
        <w:tc>
          <w:tcPr>
            <w:tcW w:type="dxa" w:w="446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Искать повторные определения, shadowing и пересекающиеся object spans.</w:t>
            </w:r>
          </w:p>
        </w:tc>
        <w:tc>
          <w:tcPr>
            <w:tcW w:type="dxa" w:w="331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Hard при неоднозначной активной версии.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11. G-RAW-006</w:t>
            </w:r>
          </w:p>
        </w:tc>
        <w:tc>
          <w:tcPr>
            <w:tcW w:type="dxa" w:w="15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Incremental revisions</w:t>
            </w:r>
          </w:p>
        </w:tc>
        <w:tc>
          <w:tcPr>
            <w:tcW w:type="dxa" w:w="446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Разобрать все revisions и /Prev цепочку.</w:t>
            </w:r>
          </w:p>
        </w:tc>
        <w:tc>
          <w:tcPr>
            <w:tcW w:type="dxa" w:w="331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Сам incremental update допустим; скрытая поздняя подмена критического объекта → hard.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12. G-RAW-007</w:t>
            </w:r>
          </w:p>
        </w:tc>
        <w:tc>
          <w:tcPr>
            <w:tcW w:type="dxa" w:w="15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Polyglot</w:t>
            </w:r>
          </w:p>
        </w:tc>
        <w:tc>
          <w:tcPr>
            <w:tcW w:type="dxa" w:w="446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Проверить ZIP/PE/HTML/JS и второй PDF внутри байтов.</w:t>
            </w:r>
          </w:p>
        </w:tc>
        <w:tc>
          <w:tcPr>
            <w:tcW w:type="dxa" w:w="331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Polyglot или исполняемая нагрузка → hard.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13. G-STR-001</w:t>
            </w:r>
          </w:p>
        </w:tc>
        <w:tc>
          <w:tcPr>
            <w:tcW w:type="dxa" w:w="15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Stream Length</w:t>
            </w:r>
          </w:p>
        </w:tc>
        <w:tc>
          <w:tcPr>
            <w:tcW w:type="dxa" w:w="446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Сверить /Length с фактическими границами каждого stream.</w:t>
            </w:r>
          </w:p>
        </w:tc>
        <w:tc>
          <w:tcPr>
            <w:tcW w:type="dxa" w:w="331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Boundary ambiguity или mismatch → hard.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14. G-STR-002</w:t>
            </w:r>
          </w:p>
        </w:tc>
        <w:tc>
          <w:tcPr>
            <w:tcW w:type="dxa" w:w="15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Strict decode</w:t>
            </w:r>
          </w:p>
        </w:tc>
        <w:tc>
          <w:tcPr>
            <w:tcW w:type="dxa" w:w="446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Строго завершать Flate/LZW/ASCII filters, проверять unused_data/trailing member.</w:t>
            </w:r>
          </w:p>
        </w:tc>
        <w:tc>
          <w:tcPr>
            <w:tcW w:type="dxa" w:w="331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Лишний compressed member → hard.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15. G-STR-003</w:t>
            </w:r>
          </w:p>
        </w:tc>
        <w:tc>
          <w:tcPr>
            <w:tcW w:type="dxa" w:w="15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Decoded budgets</w:t>
            </w:r>
          </w:p>
        </w:tc>
        <w:tc>
          <w:tcPr>
            <w:tcW w:type="dxa" w:w="446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Ограничить decoded bytes, recursion, images, objects и glyphs.</w:t>
            </w:r>
          </w:p>
        </w:tc>
        <w:tc>
          <w:tcPr>
            <w:tcW w:type="dxa" w:w="331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Превышение → ANALYSIS_NOT_COMPLETED, не «доказанная подделка».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16. G-GRAPH-001</w:t>
            </w:r>
          </w:p>
        </w:tc>
        <w:tc>
          <w:tcPr>
            <w:tcW w:type="dxa" w:w="15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Page Tree</w:t>
            </w:r>
          </w:p>
        </w:tc>
        <w:tc>
          <w:tcPr>
            <w:tcW w:type="dxa" w:w="446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Вычислить effective MediaBox/CropBox/Rotate/Resources и проверить циклы.</w:t>
            </w:r>
          </w:p>
        </w:tc>
        <w:tc>
          <w:tcPr>
            <w:tcW w:type="dxa" w:w="331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Неоднозначный/циклический Page Tree → hard.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17. G-GRAPH-002</w:t>
            </w:r>
          </w:p>
        </w:tc>
        <w:tc>
          <w:tcPr>
            <w:tcW w:type="dxa" w:w="15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Reachability</w:t>
            </w:r>
          </w:p>
        </w:tc>
        <w:tc>
          <w:tcPr>
            <w:tcW w:type="dxa" w:w="446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Построить граф достижимости от Catalog и всех исполняемых entry points.</w:t>
            </w:r>
          </w:p>
        </w:tc>
        <w:tc>
          <w:tcPr>
            <w:tcW w:type="dxa" w:w="331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Обычный несемантический orphan — diagnostic.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18. G-GRAPH-003</w:t>
            </w:r>
          </w:p>
        </w:tc>
        <w:tc>
          <w:tcPr>
            <w:tcW w:type="dxa" w:w="15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Скрытые версии операции</w:t>
            </w:r>
          </w:p>
        </w:tc>
        <w:tc>
          <w:tcPr>
            <w:tcW w:type="dxa" w:w="446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Декодировать недостижимые content streams и искать сумму, дату, ФИО, телефон, счёт, ID, статус.</w:t>
            </w:r>
          </w:p>
        </w:tc>
        <w:tc>
          <w:tcPr>
            <w:tcW w:type="dxa" w:w="331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Конфликтующая полноценная старая/новая операция в orphan stream → hard.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19. G-GRAPH-004</w:t>
            </w:r>
          </w:p>
        </w:tc>
        <w:tc>
          <w:tcPr>
            <w:tcW w:type="dxa" w:w="15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Orphan resources</w:t>
            </w:r>
          </w:p>
        </w:tc>
        <w:tc>
          <w:tcPr>
            <w:tcW w:type="dxa" w:w="446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Связать orphan fonts/images/forms с orphan semantic streams.</w:t>
            </w:r>
          </w:p>
        </w:tc>
        <w:tc>
          <w:tcPr>
            <w:tcW w:type="dxa" w:w="331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Ресурс сам по себе не hard; связка с конфликтующей версией операции усиливает G-GRAPH-003.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20. G-ACT-001</w:t>
            </w:r>
          </w:p>
        </w:tc>
        <w:tc>
          <w:tcPr>
            <w:tcW w:type="dxa" w:w="15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Active content</w:t>
            </w:r>
          </w:p>
        </w:tc>
        <w:tc>
          <w:tcPr>
            <w:tcW w:type="dxa" w:w="446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Рекурсивно проверить JavaScript, Launch, EmbeddedFiles, XFA, RichMedia, SubmitForm, actions.</w:t>
            </w:r>
          </w:p>
        </w:tc>
        <w:tc>
          <w:tcPr>
            <w:tcW w:type="dxa" w:w="331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Опасный active content → hard.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21. G-ACT-002</w:t>
            </w:r>
          </w:p>
        </w:tc>
        <w:tc>
          <w:tcPr>
            <w:tcW w:type="dxa" w:w="15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Шифрование</w:t>
            </w:r>
          </w:p>
        </w:tc>
        <w:tc>
          <w:tcPr>
            <w:tcW w:type="dxa" w:w="446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Полный анализ должен быть возможен.</w:t>
            </w:r>
          </w:p>
        </w:tc>
        <w:tc>
          <w:tcPr>
            <w:tcW w:type="dxa" w:w="331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Непрозрачное шифрование → ANALYSIS_NOT_COMPLETED.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22. G-AST-001</w:t>
            </w:r>
          </w:p>
        </w:tc>
        <w:tc>
          <w:tcPr>
            <w:tcW w:type="dxa" w:w="15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Content AST</w:t>
            </w:r>
          </w:p>
        </w:tc>
        <w:tc>
          <w:tcPr>
            <w:tcW w:type="dxa" w:w="446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Проверить баланс BT/ET, q/Q, BDC/EMC и состояние graphics/text.</w:t>
            </w:r>
          </w:p>
        </w:tc>
        <w:tc>
          <w:tcPr>
            <w:tcW w:type="dxa" w:w="331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Невосстановимое состояние или undefined resource → hard.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23. G-VIS-001</w:t>
            </w:r>
          </w:p>
        </w:tc>
        <w:tc>
          <w:tcPr>
            <w:tcW w:type="dxa" w:w="15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Final visibility</w:t>
            </w:r>
          </w:p>
        </w:tc>
        <w:tc>
          <w:tcPr>
            <w:tcW w:type="dxa" w:w="446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Учитывать clipping, alpha, blend, OCG, transforms, CropBox и paint order.</w:t>
            </w:r>
          </w:p>
        </w:tc>
        <w:tc>
          <w:tcPr>
            <w:tcW w:type="dxa" w:w="331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Невидимая/перекрытая подмена критического поля → hard.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24. G-VIS-002</w:t>
            </w:r>
          </w:p>
        </w:tc>
        <w:tc>
          <w:tcPr>
            <w:tcW w:type="dxa" w:w="15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Off-page content</w:t>
            </w:r>
          </w:p>
        </w:tc>
        <w:tc>
          <w:tcPr>
            <w:tcW w:type="dxa" w:w="446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Искать критические значения за страницей/в clipping path.</w:t>
            </w:r>
          </w:p>
        </w:tc>
        <w:tc>
          <w:tcPr>
            <w:tcW w:type="dxa" w:w="331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Конфликтующий off-page semantic text → hard.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25. G-VIS-003</w:t>
            </w:r>
          </w:p>
        </w:tc>
        <w:tc>
          <w:tcPr>
            <w:tcW w:type="dxa" w:w="15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Duplicate critical values</w:t>
            </w:r>
          </w:p>
        </w:tc>
        <w:tc>
          <w:tcPr>
            <w:tcW w:type="dxa" w:w="446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После visibility resolution у каждого реквизита должно быть одно значение.</w:t>
            </w:r>
          </w:p>
        </w:tc>
        <w:tc>
          <w:tcPr>
            <w:tcW w:type="dxa" w:w="331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Два видимых/эффективных разных значения → hard.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26. G-FONT-001</w:t>
            </w:r>
          </w:p>
        </w:tc>
        <w:tc>
          <w:tcPr>
            <w:tcW w:type="dxa" w:w="15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Mapping chain</w:t>
            </w:r>
          </w:p>
        </w:tc>
        <w:tc>
          <w:tcPr>
            <w:tcW w:type="dxa" w:w="446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Для каждого used code восстановить code→CID→Unicode→GID→glyph.</w:t>
            </w:r>
          </w:p>
        </w:tc>
        <w:tc>
          <w:tcPr>
            <w:tcW w:type="dxa" w:w="331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Разрыв цепочки в критическом поле → hard.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27. G-FONT-002</w:t>
            </w:r>
          </w:p>
        </w:tc>
        <w:tc>
          <w:tcPr>
            <w:tcW w:type="dxa" w:w="15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ToUnicode</w:t>
            </w:r>
          </w:p>
        </w:tc>
        <w:tc>
          <w:tcPr>
            <w:tcW w:type="dxa" w:w="446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Проверить used CID coverage и отсутствие конфликтующих mappings.</w:t>
            </w:r>
          </w:p>
        </w:tc>
        <w:tc>
          <w:tcPr>
            <w:tcW w:type="dxa" w:w="331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Лишние неиспользуемые mappings допустимы.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28. G-FONT-003</w:t>
            </w:r>
          </w:p>
        </w:tc>
        <w:tc>
          <w:tcPr>
            <w:tcW w:type="dxa" w:w="15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Widths</w:t>
            </w:r>
          </w:p>
        </w:tc>
        <w:tc>
          <w:tcPr>
            <w:tcW w:type="dxa" w:w="446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Сверить /W, DW, hmtx/CharString width и фактические TJ/Tz/Tc.</w:t>
            </w:r>
          </w:p>
        </w:tc>
        <w:tc>
          <w:tcPr>
            <w:tcW w:type="dxa" w:w="331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Несогласованность использованного glyph → hard.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29. G-FONT-004</w:t>
            </w:r>
          </w:p>
        </w:tc>
        <w:tc>
          <w:tcPr>
            <w:tcW w:type="dxa" w:w="15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Used empty glyph</w:t>
            </w:r>
          </w:p>
        </w:tc>
        <w:tc>
          <w:tcPr>
            <w:tcW w:type="dxa" w:w="446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Видимая буква/цифра в критическом поле должна иметь реальный contour/CharString/CharProc.</w:t>
            </w:r>
          </w:p>
        </w:tc>
        <w:tc>
          <w:tcPr>
            <w:tcW w:type="dxa" w:w="331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Пробелы, NBSP и неиспользуемые пустые glyph исключить.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30. G-FONT-005</w:t>
            </w:r>
          </w:p>
        </w:tc>
        <w:tc>
          <w:tcPr>
            <w:tcW w:type="dxa" w:w="15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Text↔render</w:t>
            </w:r>
          </w:p>
        </w:tc>
        <w:tc>
          <w:tcPr>
            <w:tcW w:type="dxa" w:w="446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Сравнить текстовый mapping с отрисованным символом минимум двумя renderer.</w:t>
            </w:r>
          </w:p>
        </w:tc>
        <w:tc>
          <w:tcPr>
            <w:tcW w:type="dxa" w:w="331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Парсер читает одно, оба renderer показывают другое/ничего → hard.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31. G-FONT-006</w:t>
            </w:r>
          </w:p>
        </w:tc>
        <w:tc>
          <w:tcPr>
            <w:tcW w:type="dxa" w:w="15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Composite closure</w:t>
            </w:r>
          </w:p>
        </w:tc>
        <w:tc>
          <w:tcPr>
            <w:tcW w:type="dxa" w:w="446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Проверить все компоненты composite glyph и циклы.</w:t>
            </w:r>
          </w:p>
        </w:tc>
        <w:tc>
          <w:tcPr>
            <w:tcW w:type="dxa" w:w="331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Потерянный/циклический компонент used glyph → hard.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32. G-FONT-007</w:t>
            </w:r>
          </w:p>
        </w:tc>
        <w:tc>
          <w:tcPr>
            <w:tcW w:type="dxa" w:w="15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Descriptor</w:t>
            </w:r>
          </w:p>
        </w:tc>
        <w:tc>
          <w:tcPr>
            <w:tcW w:type="dxa" w:w="446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Сверить FontBBox, ascent/descent, Flags и фактический font program.</w:t>
            </w:r>
          </w:p>
        </w:tc>
        <w:tc>
          <w:tcPr>
            <w:tcW w:type="dxa" w:w="331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Новый subset/hash не hard; внутреннее противоречие — hard.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33. G-FONT-008</w:t>
            </w:r>
          </w:p>
        </w:tc>
        <w:tc>
          <w:tcPr>
            <w:tcW w:type="dxa" w:w="15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Confusables</w:t>
            </w:r>
          </w:p>
        </w:tc>
        <w:tc>
          <w:tcPr>
            <w:tcW w:type="dxa" w:w="446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Выявлять bidi controls, невидимые разделители и Unicode confusables в критических полях.</w:t>
            </w:r>
          </w:p>
        </w:tc>
        <w:tc>
          <w:tcPr>
            <w:tcW w:type="dxa" w:w="331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Hard только при доказанной визуальной подмене.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34. G-GEO-001</w:t>
            </w:r>
          </w:p>
        </w:tc>
        <w:tc>
          <w:tcPr>
            <w:tcW w:type="dxa" w:w="15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Label/value binding</w:t>
            </w:r>
          </w:p>
        </w:tc>
        <w:tc>
          <w:tcPr>
            <w:tcW w:type="dxa" w:w="446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Связать поля по baseline, колонкам, reading order и видимости.</w:t>
            </w:r>
          </w:p>
        </w:tc>
        <w:tc>
          <w:tcPr>
            <w:tcW w:type="dxa" w:w="331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Нельзя извлекать значение одним regex без геометрии.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35. G-GEO-002</w:t>
            </w:r>
          </w:p>
        </w:tc>
        <w:tc>
          <w:tcPr>
            <w:tcW w:type="dxa" w:w="15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Метрики строки</w:t>
            </w:r>
          </w:p>
        </w:tc>
        <w:tc>
          <w:tcPr>
            <w:tcW w:type="dxa" w:w="446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End_x считать по font metrics, text matrix, CTM, TJ, Tz, Tc/Tw.</w:t>
            </w:r>
          </w:p>
        </w:tc>
        <w:tc>
          <w:tcPr>
            <w:tcW w:type="dxa" w:w="331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Bbox одного парсера не является доказательством.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36. G-GEO-003</w:t>
            </w:r>
          </w:p>
        </w:tc>
        <w:tc>
          <w:tcPr>
            <w:tcW w:type="dxa" w:w="15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Overflow/wrap</w:t>
            </w:r>
          </w:p>
        </w:tc>
        <w:tc>
          <w:tcPr>
            <w:tcW w:type="dxa" w:w="446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Проверить выход за колонку, неправильный перенос и координату, оставленную от старого текста.</w:t>
            </w:r>
          </w:p>
        </w:tc>
        <w:tc>
          <w:tcPr>
            <w:tcW w:type="dxa" w:w="331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Микроразница 0.01–0.02 pt — diagnostic до corpus regression.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37. G-SEM-001</w:t>
            </w:r>
          </w:p>
        </w:tc>
        <w:tc>
          <w:tcPr>
            <w:tcW w:type="dxa" w:w="15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Арифметика</w:t>
            </w:r>
          </w:p>
        </w:tc>
        <w:tc>
          <w:tcPr>
            <w:tcW w:type="dxa" w:w="446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Сумма + комиссия = итог с учётом валюты и правил округления.</w:t>
            </w:r>
          </w:p>
        </w:tc>
        <w:tc>
          <w:tcPr>
            <w:tcW w:type="dxa" w:w="331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Доказанное несоответствие → hard.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38. G-SEM-002</w:t>
            </w:r>
          </w:p>
        </w:tc>
        <w:tc>
          <w:tcPr>
            <w:tcW w:type="dxa" w:w="15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Метод и роли</w:t>
            </w:r>
          </w:p>
        </w:tc>
        <w:tc>
          <w:tcPr>
            <w:tcW w:type="dxa" w:w="446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Поля отправителя/получателя/счёта/карты/банка должны соответствовать подметоду.</w:t>
            </w:r>
          </w:p>
        </w:tc>
        <w:tc>
          <w:tcPr>
            <w:tcW w:type="dxa" w:w="331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Новое поле не hard; невозможная ролевая комбинация — hard.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39. G-SEM-003</w:t>
            </w:r>
          </w:p>
        </w:tc>
        <w:tc>
          <w:tcPr>
            <w:tcW w:type="dxa" w:w="15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Форматы</w:t>
            </w:r>
          </w:p>
        </w:tc>
        <w:tc>
          <w:tcPr>
            <w:tcW w:type="dxa" w:w="446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Проверить дату, телефон, маски, валюту, ID и номер документа bank/profile-aware.</w:t>
            </w:r>
          </w:p>
        </w:tc>
        <w:tc>
          <w:tcPr>
            <w:tcW w:type="dxa" w:w="331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Новый формат — shadow, а не автоматический fake.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40. G-TIME-001</w:t>
            </w:r>
          </w:p>
        </w:tc>
        <w:tc>
          <w:tcPr>
            <w:tcW w:type="dxa" w:w="15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Хронология</w:t>
            </w:r>
          </w:p>
        </w:tc>
        <w:tc>
          <w:tcPr>
            <w:tcW w:type="dxa" w:w="446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Операция не должна происходить после CreationDate в одной временной модели.</w:t>
            </w:r>
          </w:p>
        </w:tc>
        <w:tc>
          <w:tcPr>
            <w:tcW w:type="dxa" w:w="331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Учитывать UTC rollover и отсутствие metadata.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41. G-ID-001</w:t>
            </w:r>
          </w:p>
        </w:tc>
        <w:tc>
          <w:tcPr>
            <w:tcW w:type="dxa" w:w="15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ID syntax</w:t>
            </w:r>
          </w:p>
        </w:tc>
        <w:tc>
          <w:tcPr>
            <w:tcW w:type="dxa" w:w="446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Проверить длину, alphabet и фиксированные блоки только там, где они доказаны для банка/профиля.</w:t>
            </w:r>
          </w:p>
        </w:tc>
        <w:tc>
          <w:tcPr>
            <w:tcW w:type="dxa" w:w="331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Не выдумывать checksum или связь суммы с ID.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42. G-ID-002</w:t>
            </w:r>
          </w:p>
        </w:tc>
        <w:tc>
          <w:tcPr>
            <w:tcW w:type="dxa" w:w="15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ID timestamp</w:t>
            </w:r>
          </w:p>
        </w:tc>
        <w:tc>
          <w:tcPr>
            <w:tcW w:type="dxa" w:w="446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Декодировать timestamp core только для подтверждённых семейств.</w:t>
            </w:r>
          </w:p>
        </w:tc>
        <w:tc>
          <w:tcPr>
            <w:tcW w:type="dxa" w:w="331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Расхождение сверх bank-specific tolerance → hard.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43. G-STATUS-001</w:t>
            </w:r>
          </w:p>
        </w:tc>
        <w:tc>
          <w:tcPr>
            <w:tcW w:type="dxa" w:w="15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Нормализация</w:t>
            </w:r>
          </w:p>
        </w:tc>
        <w:tc>
          <w:tcPr>
            <w:tcW w:type="dxa" w:w="446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Разделить статус подлинности документа и статус банковской операции.</w:t>
            </w:r>
          </w:p>
        </w:tc>
        <w:tc>
          <w:tcPr>
            <w:tcW w:type="dxa" w:w="331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Оригинальный чек может быть pending/failed.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44. G-STATUS-002</w:t>
            </w:r>
          </w:p>
        </w:tc>
        <w:tc>
          <w:tcPr>
            <w:tcW w:type="dxa" w:w="15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Противоречие статусов</w:t>
            </w:r>
          </w:p>
        </w:tc>
        <w:tc>
          <w:tcPr>
            <w:tcW w:type="dxa" w:w="446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Сравнить поле статуса, stamp/footer и текст подтверждения.</w:t>
            </w:r>
          </w:p>
        </w:tc>
        <w:tc>
          <w:tcPr>
            <w:tcW w:type="dxa" w:w="331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«Отклонено» + «Операция выполнена» внутри одного PDF → hard.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45. G-STATUS-003</w:t>
            </w:r>
          </w:p>
        </w:tc>
        <w:tc>
          <w:tcPr>
            <w:tcW w:type="dxa" w:w="15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Предупреждение</w:t>
            </w:r>
          </w:p>
        </w:tc>
        <w:tc>
          <w:tcPr>
            <w:tcW w:type="dxa" w:w="446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Pending/failed/unknown status выводить отдельным предупреждением пользователю.</w:t>
            </w:r>
          </w:p>
        </w:tc>
        <w:tc>
          <w:tcPr>
            <w:tcW w:type="dxa" w:w="331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Не превращать pending в fake.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46. G-PARITY-001</w:t>
            </w:r>
          </w:p>
        </w:tc>
        <w:tc>
          <w:tcPr>
            <w:tcW w:type="dxa" w:w="15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Два parser</w:t>
            </w:r>
          </w:p>
        </w:tc>
        <w:tc>
          <w:tcPr>
            <w:tcW w:type="dxa" w:w="446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Сравнить нормализованные критические поля минимум двумя независимыми parser.</w:t>
            </w:r>
          </w:p>
        </w:tc>
        <w:tc>
          <w:tcPr>
            <w:tcW w:type="dxa" w:w="331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Расхождение требует raw-разбора.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47. G-PARITY-002</w:t>
            </w:r>
          </w:p>
        </w:tc>
        <w:tc>
          <w:tcPr>
            <w:tcW w:type="dxa" w:w="15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Два renderer</w:t>
            </w:r>
          </w:p>
        </w:tc>
        <w:tc>
          <w:tcPr>
            <w:tcW w:type="dxa" w:w="446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Сравнить смысл отрисованных полей минимум двумя renderer.</w:t>
            </w:r>
          </w:p>
        </w:tc>
        <w:tc>
          <w:tcPr>
            <w:tcW w:type="dxa" w:w="331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Не использовать render rows и pixel-strip scoring.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48. G-CROSS-001</w:t>
            </w:r>
          </w:p>
        </w:tc>
        <w:tc>
          <w:tcPr>
            <w:tcW w:type="dxa" w:w="15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ID conflict</w:t>
            </w:r>
          </w:p>
        </w:tc>
        <w:tc>
          <w:tcPr>
            <w:tcW w:type="dxa" w:w="446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Один и тот же ID/RRN/document number с разными критическими реквизитами → hard.</w:t>
            </w:r>
          </w:p>
        </w:tc>
        <w:tc>
          <w:tcPr>
            <w:tcW w:type="dxa" w:w="331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Exact duplicate той же операции допустим.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49. G-EVID-001</w:t>
            </w:r>
          </w:p>
        </w:tc>
        <w:tc>
          <w:tcPr>
            <w:tcW w:type="dxa" w:w="15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Evidence</w:t>
            </w:r>
          </w:p>
        </w:tc>
        <w:tc>
          <w:tcPr>
            <w:tcW w:type="dxa" w:w="446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Каждый hard-verdict: rule_id, object/stream, offset/operator, expected, actual, raw bytes и cross-check.</w:t>
            </w:r>
          </w:p>
        </w:tc>
        <w:tc>
          <w:tcPr>
            <w:tcW w:type="dxa" w:w="331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Без воспроизводимого evidence hard-правило не принимается.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50. G-CI-001</w:t>
            </w:r>
          </w:p>
        </w:tc>
        <w:tc>
          <w:tcPr>
            <w:tcW w:type="dxa" w:w="15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Regression/shadow</w:t>
            </w:r>
          </w:p>
        </w:tc>
        <w:tc>
          <w:tcPr>
            <w:tcW w:type="dxa" w:w="446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Все подтверждённые originals должны оставаться originals; новые профили сначала shadow.</w:t>
            </w:r>
          </w:p>
        </w:tc>
        <w:tc>
          <w:tcPr>
            <w:tcW w:type="dxa" w:w="331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Диагностики не суммируются автоматически в fake.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Ключевое новое hard-правило: скрытые версии операции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CE4D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9C0006"/>
              </w:rPr>
              <w:t>G-GRAPH-003 — Semantic orphan / latent transaction content</w:t>
            </w:r>
          </w:p>
          <w:p>
            <w:pPr>
              <w:spacing w:after="0"/>
            </w:pPr>
            <w:r>
              <w:t>Недостижимый объект сам по себе не доказывает подделку. Hard-вердикт появляется только тогда, когда недостижимый content stream содержит полноценную старую или альтернативную версию операции и конфликтует с видимым документом по сумме, дате, сторонам, счёту, идентификатору, номеру квитанции или статусу.</w:t>
            </w:r>
          </w:p>
        </w:tc>
      </w:tr>
    </w:tbl>
    <w:p>
      <w:pPr>
        <w:spacing w:after="0"/>
      </w:pPr>
    </w:p>
    <w:p>
      <w:pPr>
        <w:pStyle w:val="ListNumber"/>
      </w:pPr>
      <w:r>
        <w:t>Построить reachability graph от Catalog, Page Tree, /Contents, XObjects, annotations, actions и forms.</w:t>
      </w:r>
    </w:p>
    <w:p>
      <w:pPr>
        <w:pStyle w:val="ListNumber"/>
      </w:pPr>
      <w:r>
        <w:t>Строго декодировать каждый недостижимый stream в пределах budgets.</w:t>
      </w:r>
    </w:p>
    <w:p>
      <w:pPr>
        <w:pStyle w:val="ListNumber"/>
      </w:pPr>
      <w:r>
        <w:t>Разобрать его content AST и text mapping; не полагаться на простой поиск строк в compressed bytes.</w:t>
      </w:r>
    </w:p>
    <w:p>
      <w:pPr>
        <w:pStyle w:val="ListNumber"/>
      </w:pPr>
      <w:r>
        <w:t>Классифицировать semantic density: labels + values + date + amount + parties + identifiers.</w:t>
      </w:r>
    </w:p>
    <w:p>
      <w:pPr>
        <w:pStyle w:val="ListNumber"/>
      </w:pPr>
      <w:r>
        <w:t>Сравнить latent version с final visible version.</w:t>
      </w:r>
    </w:p>
    <w:p>
      <w:pPr>
        <w:pStyle w:val="ListNumber"/>
      </w:pPr>
      <w:r>
        <w:t>Hard только при конфликтующей полноценной операции; font/image orphan без семантики остаётся diagnostic.</w:t>
      </w:r>
    </w:p>
    <w:p>
      <w:pPr>
        <w:pStyle w:val="ListNumber"/>
      </w:pPr>
      <w:r>
        <w:t>В evidence вывести object number, decoded operators, latent fields, visible fields и точные конфликты.</w:t>
      </w:r>
    </w:p>
    <w:p>
      <w:pPr>
        <w:pStyle w:val="Heading1"/>
        <w:keepNext/>
      </w:pPr>
      <w:r>
        <w:t>6. Bank-specific contracts и статусы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</w:trPr>
        <w:tc>
          <w:tcPr>
            <w:tcW w:type="dxa" w:w="1440"/>
            <w:shd w:fill="17365D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Банк</w:t>
            </w:r>
          </w:p>
        </w:tc>
        <w:tc>
          <w:tcPr>
            <w:tcW w:type="dxa" w:w="2376"/>
            <w:shd w:fill="17365D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Подтверждённые подметоды</w:t>
            </w:r>
          </w:p>
        </w:tc>
        <w:tc>
          <w:tcPr>
            <w:tcW w:type="dxa" w:w="2376"/>
            <w:shd w:fill="17365D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Статус текущих оригиналов</w:t>
            </w:r>
          </w:p>
        </w:tc>
        <w:tc>
          <w:tcPr>
            <w:tcW w:type="dxa" w:w="3384"/>
            <w:shd w:fill="17365D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Что усилить</w:t>
            </w:r>
          </w:p>
        </w:tc>
        <w:tc>
          <w:tcPr>
            <w:tcW w:type="dxa" w:w="2376"/>
            <w:shd w:fill="17365D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False-positive guard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ВТБ</w:t>
            </w:r>
          </w:p>
        </w:tc>
        <w:tc>
          <w:tcPr>
            <w:tcW w:type="dxa" w:w="237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Исходящий СБП; СБП с сообщением; перевод на карту; телефон клиенту ВТБ</w:t>
            </w:r>
          </w:p>
        </w:tc>
        <w:tc>
          <w:tcPr>
            <w:tcW w:type="dxa" w:w="237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«Выполнено» + footer «Операция выполнена» в текущем corpus</w:t>
            </w:r>
          </w:p>
        </w:tc>
        <w:tc>
          <w:tcPr>
            <w:tcW w:type="dxa" w:w="33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Проверять согласованность пары статус/footer; openhtmltopdf font chain; Form XObject logo; method-specific fields; minute-level дата + SBP timestamp.</w:t>
            </w:r>
          </w:p>
        </w:tc>
        <w:tc>
          <w:tcPr>
            <w:tcW w:type="dxa" w:w="237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Не банить новый подметод, новый bank recipient, 1–7 секунд metadata delay или unseen glyph.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СберБанк</w:t>
            </w:r>
          </w:p>
        </w:tc>
        <w:tc>
          <w:tcPr>
            <w:tcW w:type="dxa" w:w="237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Карта→другой банк; клиент Сбера по телефону→карта/счёт; legacy phone; исходящий СБП; запрос СБП</w:t>
            </w:r>
          </w:p>
        </w:tc>
        <w:tc>
          <w:tcPr>
            <w:tcW w:type="dxa" w:w="237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Во многих профилях явного поля статуса нет; подтверждение задаётся stamp/формой документа</w:t>
            </w:r>
          </w:p>
        </w:tc>
        <w:tc>
          <w:tcPr>
            <w:tcW w:type="dxa" w:w="33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Разделять 6 подметодов и 3 generator paths; проверять stamp/auth/document/SBP ID только по своему профилю.</w:t>
            </w:r>
          </w:p>
        </w:tc>
        <w:tc>
          <w:tcPr>
            <w:tcW w:type="dxa" w:w="237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Не требовать слово «Успешно»; не путать PDFium/Quartz/Jasper; выписку маршрутизировать как unsupported.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Ozon Банк</w:t>
            </w:r>
          </w:p>
        </w:tc>
        <w:tc>
          <w:tcPr>
            <w:tcW w:type="dxa" w:w="237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Внутренний телефон out/in; СБП out/in; карта другого банка</w:t>
            </w:r>
          </w:p>
        </w:tc>
        <w:tc>
          <w:tcPr>
            <w:tcW w:type="dxa" w:w="237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«Успешно» во всех 32 corpus files</w:t>
            </w:r>
          </w:p>
        </w:tc>
        <w:tc>
          <w:tcPr>
            <w:tcW w:type="dxa" w:w="33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Проверять direction-specific account/party fields, сумму/комиссию/итог, 32-char SBP или po-UUID, Chromium Tagged PDF.</w:t>
            </w:r>
          </w:p>
        </w:tc>
        <w:tc>
          <w:tcPr>
            <w:tcW w:type="dxa" w:w="237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Новый Ozon profile/QR/page height не fake сам по себе.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Газпромбанк</w:t>
            </w:r>
          </w:p>
        </w:tc>
        <w:tc>
          <w:tcPr>
            <w:tcW w:type="dxa" w:w="237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СБП по телефону; перевод по карте; current iText7; legacy Jasper PDF/A</w:t>
            </w:r>
          </w:p>
        </w:tc>
        <w:tc>
          <w:tcPr>
            <w:tcW w:type="dxa" w:w="237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Current: «Операция выполнена»; legacy может не иметь явного статуса</w:t>
            </w:r>
          </w:p>
        </w:tc>
        <w:tc>
          <w:tcPr>
            <w:tcW w:type="dxa" w:w="33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Сначала issuer routing: два Sber receipts в архиве не являются GPB; поддерживать оба generator paths.</w:t>
            </w:r>
          </w:p>
        </w:tc>
        <w:tc>
          <w:tcPr>
            <w:tcW w:type="dxa" w:w="237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Не требовать iText7 от legacy PDF/A; отсутствие явного статуса в legacy не fake.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ВБ Банк</w:t>
            </w:r>
          </w:p>
        </w:tc>
        <w:tc>
          <w:tcPr>
            <w:tcW w:type="dxa" w:w="237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Перевод по СБП</w:t>
            </w:r>
          </w:p>
        </w:tc>
        <w:tc>
          <w:tcPr>
            <w:tcW w:type="dxa" w:w="237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«Выполнено» + stamp «ИСПОЛНЕНО»</w:t>
            </w:r>
          </w:p>
        </w:tc>
        <w:tc>
          <w:tcPr>
            <w:tcW w:type="dxa" w:w="33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Добавить hard G-GRAPH-003: конфликтующие latent transaction streams; согласованность amount/date/status/stamp/SBP ID.</w:t>
            </w:r>
          </w:p>
        </w:tc>
        <w:tc>
          <w:tcPr>
            <w:tcW w:type="dxa" w:w="237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Один original слишком мал для вечного whitelist; новый SBP ID или object count не fake.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ОТП Банк</w:t>
            </w:r>
          </w:p>
        </w:tc>
        <w:tc>
          <w:tcPr>
            <w:tcW w:type="dxa" w:w="237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СБП; перевод на карту другого банка</w:t>
            </w:r>
          </w:p>
        </w:tc>
        <w:tc>
          <w:tcPr>
            <w:tcW w:type="dxa" w:w="237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СБП: «Исполнено/ИСПОЛНЕНО»; карта: «Обработано»</w:t>
            </w:r>
          </w:p>
        </w:tc>
        <w:tc>
          <w:tcPr>
            <w:tcW w:type="dxa" w:w="33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Разделять Quartz и mPDF paths; «Обработано» считать success только для card method.</w:t>
            </w:r>
          </w:p>
        </w:tc>
        <w:tc>
          <w:tcPr>
            <w:tcW w:type="dxa" w:w="237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Не переносить слово «Обработано» на другие банки/методы.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ПСБ</w:t>
            </w:r>
          </w:p>
        </w:tc>
        <w:tc>
          <w:tcPr>
            <w:tcW w:type="dxa" w:w="237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СБП</w:t>
            </w:r>
          </w:p>
        </w:tc>
        <w:tc>
          <w:tcPr>
            <w:tcW w:type="dxa" w:w="237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Явный статус в corpus отсутствует</w:t>
            </w:r>
          </w:p>
        </w:tc>
        <w:tc>
          <w:tcPr>
            <w:tcW w:type="dxa" w:w="33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Проверять «Чек по операции», сумма+комиссия=итого, карту/счёт списания, 32-char SBP ID, FastReport font/render parity.</w:t>
            </w:r>
          </w:p>
        </w:tc>
        <w:tc>
          <w:tcPr>
            <w:tcW w:type="dxa" w:w="237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Не требовать status label и не считать его отсутствие fake.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БСПБ</w:t>
            </w:r>
          </w:p>
        </w:tc>
        <w:tc>
          <w:tcPr>
            <w:tcW w:type="dxa" w:w="237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СБП</w:t>
            </w:r>
          </w:p>
        </w:tc>
        <w:tc>
          <w:tcPr>
            <w:tcW w:type="dxa" w:w="237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«Успешно» + «Перевод выполнен»</w:t>
            </w:r>
          </w:p>
        </w:tc>
        <w:tc>
          <w:tcPr>
            <w:tcW w:type="dxa" w:w="33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Проверять согласованность двух success-маркеров, сумму/комиссию, ID и счёт.</w:t>
            </w:r>
          </w:p>
        </w:tc>
        <w:tc>
          <w:tcPr>
            <w:tcW w:type="dxa" w:w="237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Новый producer/opaque metadata не fake.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Райффайзенбанк</w:t>
            </w:r>
          </w:p>
        </w:tc>
        <w:tc>
          <w:tcPr>
            <w:tcW w:type="dxa" w:w="237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Legacy «Справка по операции»; current квитанция СБП</w:t>
            </w:r>
          </w:p>
        </w:tc>
        <w:tc>
          <w:tcPr>
            <w:tcW w:type="dxa" w:w="237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Current: «Исполнено/ИСПОЛНЕНО»; legacy — текст подтверждения</w:t>
            </w:r>
          </w:p>
        </w:tc>
        <w:tc>
          <w:tcPr>
            <w:tcW w:type="dxa" w:w="33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Слово «Справка» здесь может быть поддерживаемым single-operation document; различать legacy/current.</w:t>
            </w:r>
          </w:p>
        </w:tc>
        <w:tc>
          <w:tcPr>
            <w:tcW w:type="dxa" w:w="237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Не применять глобальный запрет на «Справка».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Рокетбанк</w:t>
            </w:r>
          </w:p>
        </w:tc>
        <w:tc>
          <w:tcPr>
            <w:tcW w:type="dxa" w:w="237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Исходящий СБП</w:t>
            </w:r>
          </w:p>
        </w:tc>
        <w:tc>
          <w:tcPr>
            <w:tcW w:type="dxa" w:w="237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«Успешно»</w:t>
            </w:r>
          </w:p>
        </w:tc>
        <w:tc>
          <w:tcPr>
            <w:tcW w:type="dxa" w:w="33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Поддерживать iText Core 9.1.0 и большое число CFF subsets; проверить glyph/render, roles, arithmetic.</w:t>
            </w:r>
          </w:p>
        </w:tc>
        <w:tc>
          <w:tcPr>
            <w:tcW w:type="dxa" w:w="237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26 font subsets не anomaly.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Совкомбанк</w:t>
            </w:r>
          </w:p>
        </w:tc>
        <w:tc>
          <w:tcPr>
            <w:tcW w:type="dxa" w:w="237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Перевод по номеру карты</w:t>
            </w:r>
          </w:p>
        </w:tc>
        <w:tc>
          <w:tcPr>
            <w:tcW w:type="dxa" w:w="237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Явный status в corpus отсутствует</w:t>
            </w:r>
          </w:p>
        </w:tc>
        <w:tc>
          <w:tcPr>
            <w:tcW w:type="dxa" w:w="33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Проверять «ПЛАТЕЖНАЯ КВИТАНЦИЯ», сумму/комиссию/итог, карту/счёт, реквизиты банка.</w:t>
            </w:r>
          </w:p>
        </w:tc>
        <w:tc>
          <w:tcPr>
            <w:tcW w:type="dxa" w:w="237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Не требовать SBP ID или explicit status.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Уралсиб</w:t>
            </w:r>
          </w:p>
        </w:tc>
        <w:tc>
          <w:tcPr>
            <w:tcW w:type="dxa" w:w="237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СБП</w:t>
            </w:r>
          </w:p>
        </w:tc>
        <w:tc>
          <w:tcPr>
            <w:tcW w:type="dxa" w:w="237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Явный status в corpus отсутствует</w:t>
            </w:r>
          </w:p>
        </w:tc>
        <w:tc>
          <w:tcPr>
            <w:tcW w:type="dxa" w:w="33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Поддерживать rPDF 0.9 и full Arial; проверить квитанцию, amount/fee/total, SBP ID, parties.</w:t>
            </w:r>
          </w:p>
        </w:tc>
        <w:tc>
          <w:tcPr>
            <w:tcW w:type="dxa" w:w="237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Полное встраивание Arial не fake.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Яндекс Банк</w:t>
            </w:r>
          </w:p>
        </w:tc>
        <w:tc>
          <w:tcPr>
            <w:tcW w:type="dxa" w:w="237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Исходящий СБП</w:t>
            </w:r>
          </w:p>
        </w:tc>
        <w:tc>
          <w:tcPr>
            <w:tcW w:type="dxa" w:w="237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«Выполнено»</w:t>
            </w:r>
          </w:p>
        </w:tc>
        <w:tc>
          <w:tcPr>
            <w:tcW w:type="dxa" w:w="33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Проверять Исх. №, дату документа и операции, status, parties, SBP ID, Jasper/OpenPDF chain.</w:t>
            </w:r>
          </w:p>
        </w:tc>
        <w:tc>
          <w:tcPr>
            <w:tcW w:type="dxa" w:w="237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Exact duplicates допустимы; новый subset/object graph не fake.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Отдельные требования по каждому текущему валидатору</w:t>
      </w:r>
    </w:p>
    <w:p>
      <w:pPr>
        <w:pStyle w:val="Heading2"/>
        <w:keepNext/>
      </w:pPr>
      <w:r>
        <w:t>7.1. ВТБ</w:t>
      </w:r>
    </w:p>
    <w:p>
      <w:pPr>
        <w:pStyle w:val="ListBullet"/>
      </w:pPr>
      <w:r>
        <w:t>Сохранить 4 layout/AST-профиля и openhtmltopdf path; добавить document-type gate и status engine.</w:t>
      </w:r>
    </w:p>
    <w:p>
      <w:pPr>
        <w:pStyle w:val="ListBullet"/>
      </w:pPr>
      <w:r>
        <w:t>Требовать внутреннюю согласованность «Статус: Выполнено» ↔ footer «Операция выполнена» только для текущего профиля.</w:t>
      </w:r>
    </w:p>
    <w:p>
      <w:pPr>
        <w:pStyle w:val="ListBullet"/>
      </w:pPr>
      <w:r>
        <w:t>Добавить semantic orphan scan, used-empty-glyph, text↔render parity и strict font-metric geometry.</w:t>
      </w:r>
    </w:p>
    <w:p>
      <w:pPr>
        <w:pStyle w:val="ListBullet"/>
      </w:pPr>
      <w:r>
        <w:t>SBP timestamp сверять с displayed minute; секунды могут отсутствовать на странице.</w:t>
      </w:r>
    </w:p>
    <w:p>
      <w:pPr>
        <w:pStyle w:val="ListBullet"/>
      </w:pPr>
      <w:r>
        <w:t>Перевод в банк ВТБ по СБП не объявлять fake без документированного внутреннего противоречия.</w:t>
      </w:r>
    </w:p>
    <w:p>
      <w:pPr>
        <w:pStyle w:val="Heading2"/>
        <w:keepNext/>
      </w:pPr>
      <w:r>
        <w:t>7.2. СберБанк</w:t>
      </w:r>
    </w:p>
    <w:p>
      <w:pPr>
        <w:pStyle w:val="ListBullet"/>
      </w:pPr>
      <w:r>
        <w:t>Перед six-submethod classifier поставить document-type router: выписка не должна получать ОРИГИНАЛ.</w:t>
      </w:r>
    </w:p>
    <w:p>
      <w:pPr>
        <w:pStyle w:val="ListBullet"/>
      </w:pPr>
      <w:r>
        <w:t>Не требовать явный status label: в ряде оригинальных чеков успешность выражена формой чека, stamp, document/auth fields.</w:t>
      </w:r>
    </w:p>
    <w:p>
      <w:pPr>
        <w:pStyle w:val="ListBullet"/>
      </w:pPr>
      <w:r>
        <w:t>Раздельно поддерживать Jasper+iText, PDFium export и Quartz; не смешивать их font/object contracts.</w:t>
      </w:r>
    </w:p>
    <w:p>
      <w:pPr>
        <w:pStyle w:val="ListBullet"/>
      </w:pPr>
      <w:r>
        <w:t>Проверять document/auth/SBP identifiers только в соответствующих подметодах.</w:t>
      </w:r>
    </w:p>
    <w:p>
      <w:pPr>
        <w:pStyle w:val="ListBullet"/>
      </w:pPr>
      <w:r>
        <w:t>Добавить semantic orphan scan и text/glyph/render parity ко всем трём generator paths.</w:t>
      </w:r>
    </w:p>
    <w:p>
      <w:pPr>
        <w:pStyle w:val="Heading2"/>
        <w:keepNext/>
      </w:pPr>
      <w:r>
        <w:t>7.3. Ozon Банк</w:t>
      </w:r>
    </w:p>
    <w:p>
      <w:pPr>
        <w:pStyle w:val="ListBullet"/>
      </w:pPr>
      <w:r>
        <w:t>Сохранить 5 направлений операции и Chromium/Skia Tagged PDF parser.</w:t>
      </w:r>
    </w:p>
    <w:p>
      <w:pPr>
        <w:pStyle w:val="ListBullet"/>
      </w:pPr>
      <w:r>
        <w:t>Текущий status success — «Успешно»; новый status не auto-fake, но должен быть показан пользователю.</w:t>
      </w:r>
    </w:p>
    <w:p>
      <w:pPr>
        <w:pStyle w:val="ListBullet"/>
      </w:pPr>
      <w:r>
        <w:t>Проверять direction-aware fields: счёт списания/зачисления, отправитель/получатель, банк и телефон.</w:t>
      </w:r>
    </w:p>
    <w:p>
      <w:pPr>
        <w:pStyle w:val="ListBullet"/>
      </w:pPr>
      <w:r>
        <w:t>Для card path проверять po-UUID; для SBP paths — 32-char ID и timestamp только по подтверждённой грамматике.</w:t>
      </w:r>
    </w:p>
    <w:p>
      <w:pPr>
        <w:pStyle w:val="ListBullet"/>
      </w:pPr>
      <w:r>
        <w:t>Добавить structure-tree parity, semantic orphan scan и used glyph render check.</w:t>
      </w:r>
    </w:p>
    <w:p>
      <w:pPr>
        <w:pStyle w:val="Heading2"/>
        <w:keepNext/>
      </w:pPr>
      <w:r>
        <w:t>7.4. Газпромбанк</w:t>
      </w:r>
    </w:p>
    <w:p>
      <w:pPr>
        <w:pStyle w:val="ListBullet"/>
      </w:pPr>
      <w:r>
        <w:t>Перед GPB validator определять issuer; два Sber PDF из архива не должны обучать GPB.</w:t>
      </w:r>
    </w:p>
    <w:p>
      <w:pPr>
        <w:pStyle w:val="ListBullet"/>
      </w:pPr>
      <w:r>
        <w:t>Поддерживать current iText7 и legacy Jasper PDF/A как равноправные оригинальные paths.</w:t>
      </w:r>
    </w:p>
    <w:p>
      <w:pPr>
        <w:pStyle w:val="ListBullet"/>
      </w:pPr>
      <w:r>
        <w:t>Current success status — «Операция выполнена»; legacy отсутствие explicit status допустимо.</w:t>
      </w:r>
    </w:p>
    <w:p>
      <w:pPr>
        <w:pStyle w:val="ListBullet"/>
      </w:pPr>
      <w:r>
        <w:t>Проверять XMP/ICC/OutputIntent только для legacy path, не требовать их у current.</w:t>
      </w:r>
    </w:p>
    <w:p>
      <w:pPr>
        <w:pStyle w:val="ListBullet"/>
      </w:pPr>
      <w:r>
        <w:t>Добавить document-type router, semantic orphan scan и global font/render hardening.</w:t>
      </w:r>
    </w:p>
    <w:p>
      <w:pPr>
        <w:pStyle w:val="Heading2"/>
        <w:keepNext/>
      </w:pPr>
      <w:r>
        <w:t>7.5. Девять малых банков</w:t>
      </w:r>
    </w:p>
    <w:p>
      <w:pPr>
        <w:pStyle w:val="ListBullet"/>
      </w:pPr>
      <w:r>
        <w:t>Сохранить независимые contracts для ВБ, ОТП, ПСБ, БСПБ, Райффайзен, Рокет, Совком, Уралсиб и Яндекс.</w:t>
      </w:r>
    </w:p>
    <w:p>
      <w:pPr>
        <w:pStyle w:val="ListBullet"/>
      </w:pPr>
      <w:r>
        <w:t>Не применять статус одного банка к другому: «Обработано» подтверждено только для OTP card method.</w:t>
      </w:r>
    </w:p>
    <w:p>
      <w:pPr>
        <w:pStyle w:val="ListBullet"/>
      </w:pPr>
      <w:r>
        <w:t>Не запрещать «Справка» глобально: legacy Raiffeisen single-operation certificate поддерживается.</w:t>
      </w:r>
    </w:p>
    <w:p>
      <w:pPr>
        <w:pStyle w:val="ListBullet"/>
      </w:pPr>
      <w:r>
        <w:t>Для банков без explicit status не делать отсутствие статуса fake.</w:t>
      </w:r>
    </w:p>
    <w:p>
      <w:pPr>
        <w:pStyle w:val="ListBullet"/>
      </w:pPr>
      <w:r>
        <w:t>Добавить global 50-check pipeline и отдельный WB semantic orphan rule.</w:t>
      </w:r>
    </w:p>
    <w:p>
      <w:pPr>
        <w:pStyle w:val="Heading1"/>
        <w:keepNext/>
      </w:pPr>
      <w:r>
        <w:t>8. Regression, mutation CI и rollout</w:t>
      </w:r>
    </w:p>
    <w:p>
      <w:pPr>
        <w:pStyle w:val="ListNumber"/>
      </w:pPr>
      <w:r>
        <w:t>Собрать immutable manifest всех 97 corpus PDF и их SHA-256.</w:t>
      </w:r>
    </w:p>
    <w:p>
      <w:pPr>
        <w:pStyle w:val="ListNumber"/>
      </w:pPr>
      <w:r>
        <w:t>Перед merge прогонять каждый original через v1.0 и v2.0; ни один original не должен перейти в ФЕЙК.</w:t>
      </w:r>
    </w:p>
    <w:p>
      <w:pPr>
        <w:pStyle w:val="ListNumber"/>
      </w:pPr>
      <w:r>
        <w:t>Отдельно проверять document-type router на выписках: результат только НЕИЗВЕСТНЫЙ ДОКУМЕНТ.</w:t>
      </w:r>
    </w:p>
    <w:p>
      <w:pPr>
        <w:pStyle w:val="ListNumber"/>
      </w:pPr>
      <w:r>
        <w:t>Мутации: duplicate key/object, extra EOF payload, hidden overlay, used empty glyph, wrong /W, latent orphan transaction, conflicting status, amount arithmetic.</w:t>
      </w:r>
    </w:p>
    <w:p>
      <w:pPr>
        <w:pStyle w:val="ListNumber"/>
      </w:pPr>
      <w:r>
        <w:t>Каждое новое bank/profile правило минимум один релиз работает в shadow mode.</w:t>
      </w:r>
    </w:p>
    <w:p>
      <w:pPr>
        <w:pStyle w:val="ListNumber"/>
      </w:pPr>
      <w:r>
        <w:t>Нельзя автоматически обучать bad signatures на self-classified files.</w:t>
      </w:r>
    </w:p>
    <w:p>
      <w:pPr>
        <w:pStyle w:val="ListNumber"/>
      </w:pPr>
      <w:r>
        <w:t>Пороговые геометрические правила калибровать по font metrics и всему corpus, не по одному примеру.</w:t>
      </w:r>
    </w:p>
    <w:p>
      <w:pPr>
        <w:pStyle w:val="ListNumber"/>
      </w:pPr>
      <w:r>
        <w:t>Сохранять parser/renderer versions в evidence; обновление библиотек запускает полный regression.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3888"/>
            <w:shd w:fill="17365D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Набор</w:t>
            </w:r>
          </w:p>
        </w:tc>
        <w:tc>
          <w:tcPr>
            <w:tcW w:type="dxa" w:w="6768"/>
            <w:shd w:fill="17365D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type="dxa" w:w="388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Все подтверждённые originals</w:t>
            </w:r>
          </w:p>
        </w:tc>
        <w:tc>
          <w:tcPr>
            <w:tcW w:type="dxa" w:w="676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ОРИГИНАЛ; status/warning отдельно.</w:t>
            </w:r>
          </w:p>
        </w:tc>
      </w:tr>
      <w:tr>
        <w:trPr>
          <w:cantSplit/>
        </w:trPr>
        <w:tc>
          <w:tcPr>
            <w:tcW w:type="dxa" w:w="388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Выписка Альфа-Банка или другого банка</w:t>
            </w:r>
          </w:p>
        </w:tc>
        <w:tc>
          <w:tcPr>
            <w:tcW w:type="dxa" w:w="676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НЕИЗВЕСТНЫЙ ДОКУМЕНТ; receipt-validator не запускался.</w:t>
            </w:r>
          </w:p>
        </w:tc>
      </w:tr>
      <w:tr>
        <w:trPr>
          <w:cantSplit/>
        </w:trPr>
        <w:tc>
          <w:tcPr>
            <w:tcW w:type="dxa" w:w="388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Подлинный pending/failed receipt</w:t>
            </w:r>
          </w:p>
        </w:tc>
        <w:tc>
          <w:tcPr>
            <w:tcW w:type="dxa" w:w="676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ОРИГИНАЛ + предупреждение о статусе.</w:t>
            </w:r>
          </w:p>
        </w:tc>
      </w:tr>
      <w:tr>
        <w:trPr>
          <w:cantSplit/>
        </w:trPr>
        <w:tc>
          <w:tcPr>
            <w:tcW w:type="dxa" w:w="388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PDF с conflicting visible statuses</w:t>
            </w:r>
          </w:p>
        </w:tc>
        <w:tc>
          <w:tcPr>
            <w:tcW w:type="dxa" w:w="676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ФЕЙК.</w:t>
            </w:r>
          </w:p>
        </w:tc>
      </w:tr>
      <w:tr>
        <w:trPr>
          <w:cantSplit/>
        </w:trPr>
        <w:tc>
          <w:tcPr>
            <w:tcW w:type="dxa" w:w="388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PDF с latent conflicting transaction stream</w:t>
            </w:r>
          </w:p>
        </w:tc>
        <w:tc>
          <w:tcPr>
            <w:tcW w:type="dxa" w:w="676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ФЕЙК по G-GRAPH-003.</w:t>
            </w:r>
          </w:p>
        </w:tc>
      </w:tr>
      <w:tr>
        <w:trPr>
          <w:cantSplit/>
        </w:trPr>
        <w:tc>
          <w:tcPr>
            <w:tcW w:type="dxa" w:w="388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Новый согласованный official profile</w:t>
            </w:r>
          </w:p>
        </w:tc>
        <w:tc>
          <w:tcPr>
            <w:tcW w:type="dxa" w:w="676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ОРИГИНАЛ или shadow diagnostic, не auto-fake.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9. Формат подробного ответа</w:t>
      </w:r>
    </w:p>
    <w:p>
      <w:pPr>
        <w:pStyle w:val="CodeBlock"/>
        <w:shd w:fill="F4F7FA"/>
        <w:pBdr>
          <w:top w:val="single" w:sz="4" w:space="2" w:color="B4C6E7"/>
          <w:left w:val="single" w:sz="4" w:space="2" w:color="B4C6E7"/>
          <w:bottom w:val="single" w:sz="4" w:space="2" w:color="B4C6E7"/>
          <w:right w:val="single" w:sz="4" w:space="2" w:color="B4C6E7"/>
        </w:pBdr>
      </w:pPr>
      <w:r>
        <w:t>{</w:t>
        <w:br/>
        <w:t xml:space="preserve">  "verdict": "ОРИГИНАЛ | ФЕЙК | НЕИЗВЕСТНЫЙ ДОКУМЕНТ",</w:t>
        <w:br/>
        <w:t xml:space="preserve">  "issuer": "VTB | SBER | OZON | GPB | ...",</w:t>
        <w:br/>
        <w:t xml:space="preserve">  "document_type": "SUPPORTED_RECEIPT | UNSUPPORTED_STATEMENT | ...",</w:t>
        <w:br/>
        <w:t xml:space="preserve">  "submethod": "...",</w:t>
        <w:br/>
        <w:t xml:space="preserve">  "operation_status_raw": "...",</w:t>
        <w:br/>
        <w:t xml:space="preserve">  "operation_status_class": "SUCCESS_FINAL | PENDING_NONFINAL | FAILED_FINAL | UNKNOWN_STATUS",</w:t>
        <w:br/>
        <w:t xml:space="preserve">  "status_warning": "...",</w:t>
        <w:br/>
        <w:t xml:space="preserve">  "hard_rules": [</w:t>
        <w:br/>
        <w:t xml:space="preserve">    {</w:t>
        <w:br/>
        <w:t xml:space="preserve">      "rule_id": "...",</w:t>
        <w:br/>
        <w:t xml:space="preserve">      "page": 1,</w:t>
        <w:br/>
        <w:t xml:space="preserve">      "object": 21,</w:t>
        <w:br/>
        <w:t xml:space="preserve">      "stream": 21,</w:t>
        <w:br/>
        <w:t xml:space="preserve">      "operator_offset": 1234,</w:t>
        <w:br/>
        <w:t xml:space="preserve">      "expected": "...",</w:t>
        <w:br/>
        <w:t xml:space="preserve">      "actual": "...",</w:t>
        <w:br/>
        <w:t xml:space="preserve">      "raw_evidence": "...",</w:t>
        <w:br/>
        <w:t xml:space="preserve">      "parser_cross_check": "...",</w:t>
        <w:br/>
        <w:t xml:space="preserve">      "renderer_cross_check": "..."</w:t>
        <w:br/>
        <w:t xml:space="preserve">    }</w:t>
        <w:br/>
        <w:t xml:space="preserve">  ],</w:t>
        <w:br/>
        <w:t xml:space="preserve">  "diagnostics_ignored_for_verdict": []</w:t>
        <w:br/>
        <w:t>}</w:t>
      </w:r>
    </w:p>
    <w:p>
      <w:pPr>
        <w:pStyle w:val="Heading1"/>
        <w:keepNext/>
      </w:pPr>
      <w:r>
        <w:t>10. Готовая директива внедрения</w:t>
      </w:r>
    </w:p>
    <w:p>
      <w:pPr>
        <w:pStyle w:val="CodeBlock"/>
        <w:shd w:fill="F4F7FA"/>
        <w:pBdr>
          <w:top w:val="single" w:sz="4" w:space="2" w:color="B4C6E7"/>
          <w:left w:val="single" w:sz="4" w:space="2" w:color="B4C6E7"/>
          <w:bottom w:val="single" w:sz="4" w:space="2" w:color="B4C6E7"/>
          <w:right w:val="single" w:sz="4" w:space="2" w:color="B4C6E7"/>
        </w:pBdr>
      </w:pPr>
      <w:r>
        <w:t>ПРИМЕНИТЬ BANK_VALIDATORS_HARDENING_MASTER_v2_0 ПОВЕРХ ТЕКУЩИХ FUTURE-SAFE СПЕЦИФИКАЦИЙ.</w:t>
        <w:br/>
        <w:br/>
        <w:t>1. Т-БАНК НЕ ИЗМЕНЯТЬ.</w:t>
        <w:br/>
        <w:t>2. До проверки подлинности запускать document-type/issuer router.</w:t>
        <w:br/>
        <w:t>3. Выписка, неподдерживаемая справка или иной неизвестный документ:</w:t>
        <w:br/>
        <w:t xml:space="preserve">   вернуть НЕИЗВЕСТНЫЙ ДОКУМЕНТ; не присваивать ОРИГИНАЛ/ФЕЙК.</w:t>
        <w:br/>
        <w:t>4. Добавить все 50 global rules G-*.</w:t>
        <w:br/>
        <w:t>5. Добавить G-GRAPH-003: hard только при конфликтующей полноценной</w:t>
        <w:br/>
        <w:t xml:space="preserve">   версии операции в недостижимом content stream.</w:t>
        <w:br/>
        <w:t>6. Добавить global text→CID→GID→glyph→render parity.</w:t>
        <w:br/>
        <w:t>7. Добавить status engine. Статус операции не равен подлинности PDF.</w:t>
        <w:br/>
        <w:t>8. Pending/failed/unknown status выводить отдельным предупреждением.</w:t>
        <w:br/>
        <w:t>9. Противоречащие статусы внутри одного PDF считать hard.</w:t>
        <w:br/>
        <w:t>10. Применить bank-specific contracts из разделов 6–7.</w:t>
        <w:br/>
        <w:t>11. Не переносить правила между банками и generator paths.</w:t>
        <w:br/>
        <w:t>12. Не считать fake по неизвестному hash, Producer, font, object graph,</w:t>
        <w:br/>
        <w:t xml:space="preserve">    status, layout, ID family или отсутствию в corpus.</w:t>
        <w:br/>
        <w:t>13. Диагностики не суммировать автоматически в ФЕЙК.</w:t>
        <w:br/>
        <w:t>14. Прогнать regression на всех 97 originals и mutation CI.</w:t>
        <w:br/>
        <w:t>15. При конфликте с v1.0 этот addendum v2.0 имеет приоритет.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35" w:left="97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5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66666"/>
        <w:sz w:val="15"/>
      </w:rPr>
      <w:t>Bank Validators Hardening Master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7" w:lineRule="auto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6D42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rial" w:hAnsi="Arial" w:eastAsia="Arial"/>
      <w:b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60" w:after="80"/>
    </w:pPr>
    <w:rPr>
      <w:rFonts w:asciiTheme="majorHAnsi" w:eastAsiaTheme="majorEastAsia" w:hAnsiTheme="majorHAnsi" w:cstheme="majorBidi" w:ascii="Arial" w:hAnsi="Arial" w:eastAsia="Arial"/>
      <w:b/>
      <w:i/>
      <w:iCs/>
      <w:color w:val="2F75B5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30"/>
      <w:contextualSpacing/>
    </w:pPr>
    <w:rPr>
      <w:rFonts w:ascii="Arial" w:hAnsi="Arial" w:eastAsia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30"/>
      <w:contextualSpacing/>
    </w:pPr>
    <w:rPr>
      <w:rFonts w:ascii="Arial" w:hAnsi="Arial" w:eastAsia="Arial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30"/>
      <w:contextualSpacing/>
    </w:pPr>
    <w:rPr>
      <w:rFonts w:ascii="Arial" w:hAnsi="Arial" w:eastAsia="Arial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30"/>
      <w:contextualSpacing/>
    </w:pPr>
    <w:rPr>
      <w:rFonts w:ascii="Arial" w:hAnsi="Arial" w:eastAsia="Arial"/>
      <w:sz w:val="1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/>
      <w:ind w:left="202" w:right="202"/>
    </w:pPr>
    <w:rPr>
      <w:rFonts w:ascii="Consolas" w:hAnsi="Consolas" w:eastAsia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