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АУДИТ ДВУХ ПОДОЗРИТЕЛЬНЫХ PDF</w:t>
      </w:r>
    </w:p>
    <w:p>
      <w:pPr>
        <w:pStyle w:val="Subtitle"/>
        <w:jc w:val="center"/>
      </w:pPr>
      <w:r>
        <w:t>ВБ Банк и ВТБ: доказательства внутри PDF, без доверия к verdict конкурента</w:t>
      </w:r>
    </w:p>
    <w:p>
      <w:pPr>
        <w:jc w:val="center"/>
      </w:pPr>
      <w:r>
        <w:rPr>
          <w:b/>
          <w:color w:val="9C0006"/>
          <w:sz w:val="20"/>
        </w:rPr>
        <w:t>ФАКТЫ ОТДЕЛЕНЫ ОТ ГИПОТЕЗ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736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632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ВБ Банк</w:t>
            </w:r>
          </w:p>
        </w:tc>
        <w:tc>
          <w:tcPr>
            <w:tcW w:type="dxa" w:w="76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вайлдберриз сбп.pdf • SHA-256 72731fc616acef5e3268ecb112eac86cf0b4bf500ce9b4602de36bdea13afe3d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ВТБ</w:t>
            </w:r>
          </w:p>
        </w:tc>
        <w:tc>
          <w:tcPr>
            <w:tcW w:type="dxa" w:w="76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втб сбп.pdf • SHA-256 0f6562768c2c26d2bb3c568819cd7fdbe2e22083c3ff677d15f84b2cd3bf4db9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Метод</w:t>
            </w:r>
          </w:p>
        </w:tc>
        <w:tc>
          <w:tcPr>
            <w:tcW w:type="dxa" w:w="76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Raw objects/xref/streams, reachability, decoded content, fonts/glyphs, geometry, semantics, status, identifiers.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Критерий</w:t>
            </w:r>
          </w:p>
        </w:tc>
        <w:tc>
          <w:tcPr>
            <w:tcW w:type="dxa" w:w="76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ФЕЙК только при воспроизводимом внутреннем противоречии.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Итог в одной таблице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Файл</w:t>
            </w:r>
          </w:p>
        </w:tc>
        <w:tc>
          <w:tcPr>
            <w:tcW w:type="dxa" w:w="2232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Технический вывод</w:t>
            </w:r>
          </w:p>
        </w:tc>
        <w:tc>
          <w:tcPr>
            <w:tcW w:type="dxa" w:w="4392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Decisive evidence</w:t>
            </w:r>
          </w:p>
        </w:tc>
        <w:tc>
          <w:tcPr>
            <w:tcW w:type="dxa" w:w="2376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Рекомендация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вайлдберриз сбп.pdf</w:t>
            </w:r>
          </w:p>
        </w:tc>
        <w:tc>
          <w:tcPr>
            <w:tcW w:type="dxa" w:w="22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ФЕЙК подтверждён</w:t>
            </w:r>
          </w:p>
        </w:tc>
        <w:tc>
          <w:tcPr>
            <w:tcW w:type="dxa" w:w="43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В PDF сохранены несколько недостижимых версий той же операции; одна содержит конфликтующую сумму 9.90 ₽ и номер квитанции, другая промежуточную сборку, финальная — 9 900 ₽.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Добавить G-GRAPH-003 в global pipeline и WB validator.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втб сбп.pdf</w:t>
            </w:r>
          </w:p>
        </w:tc>
        <w:tc>
          <w:tcPr>
            <w:tcW w:type="dxa" w:w="22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ФЕЙК по PDF не доказан</w:t>
            </w:r>
          </w:p>
        </w:tc>
        <w:tc>
          <w:tcPr>
            <w:tcW w:type="dxa" w:w="43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Container, openhtmltopdf graph, logo Form, font/glyph, geometry, status/footer, SBP timestamp и metadata внутренне согласованы и соответствуют corpus.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Не добавлять выдуманное hard-правило. Возможна внешняя/backend информация либо false positive конкурента.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ВБ Банк: почему это действительно фейк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9C0006"/>
              </w:rPr>
              <w:t>Доказанная многостадийная пересборка</w:t>
            </w:r>
          </w:p>
          <w:p>
            <w:pPr>
              <w:spacing w:after="0"/>
            </w:pPr>
            <w:r>
              <w:t>Видимая страница использует content object 21. При этом в файле остаются недостижимые content objects 6 и 18, которые содержат полноценные более ранние версии той же операции. Это не просто лишний font или технический orphan: внутри сохранены банковские labels и значения.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008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Объект</w:t>
            </w:r>
          </w:p>
        </w:tc>
        <w:tc>
          <w:tcPr>
            <w:tcW w:type="dxa" w:w="1440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Достижимость</w:t>
            </w:r>
          </w:p>
        </w:tc>
        <w:tc>
          <w:tcPr>
            <w:tcW w:type="dxa" w:w="5040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Содержание</w:t>
            </w:r>
          </w:p>
        </w:tc>
        <w:tc>
          <w:tcPr>
            <w:tcW w:type="dxa" w:w="3456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Конфликт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14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Недостижим</w:t>
            </w:r>
          </w:p>
        </w:tc>
        <w:tc>
          <w:tcPr>
            <w:tcW w:type="dxa" w:w="50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Дата/время, получатель, телефон, банк, SBP ID, сумма 9.90 ₽, «Квитанция № 1007486559», footer.</w:t>
            </w:r>
          </w:p>
        </w:tc>
        <w:tc>
          <w:tcPr>
            <w:tcW w:type="dxa" w:w="345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Сумма и состав полей не совпадают с финальной страницей.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14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Недостижим</w:t>
            </w:r>
          </w:p>
        </w:tc>
        <w:tc>
          <w:tcPr>
            <w:tcW w:type="dxa" w:w="50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Промежуточная версия операции: 9 900 ₽ плюс номер квитанции/footer; использует дополнительный font path.</w:t>
            </w:r>
          </w:p>
        </w:tc>
        <w:tc>
          <w:tcPr>
            <w:tcW w:type="dxa" w:w="345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Показывает второй этап ручной пересборки.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21</w:t>
            </w:r>
          </w:p>
        </w:tc>
        <w:tc>
          <w:tcPr>
            <w:tcW w:type="dxa" w:w="14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Активный /Contents</w:t>
            </w:r>
          </w:p>
        </w:tc>
        <w:tc>
          <w:tcPr>
            <w:tcW w:type="dxa" w:w="50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Финальный видимый документ: 9 900 ₽; номер квитанции и прежний footer удалены.</w:t>
            </w:r>
          </w:p>
        </w:tc>
        <w:tc>
          <w:tcPr>
            <w:tcW w:type="dxa" w:w="345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Это третье состояние одной операции.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19–20</w:t>
            </w:r>
          </w:p>
        </w:tc>
        <w:tc>
          <w:tcPr>
            <w:tcW w:type="dxa" w:w="14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Недостижимые resources</w:t>
            </w:r>
          </w:p>
        </w:tc>
        <w:tc>
          <w:tcPr>
            <w:tcW w:type="dxa" w:w="50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Roboto font/descriptor, связанные с промежуточной сборкой.</w:t>
            </w:r>
          </w:p>
        </w:tc>
        <w:tc>
          <w:tcPr>
            <w:tcW w:type="dxa" w:w="345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Supporting evidence; отдельно не hard.</w:t>
            </w:r>
          </w:p>
        </w:tc>
      </w:tr>
    </w:tbl>
    <w:p>
      <w:pPr>
        <w:spacing w:after="0"/>
      </w:pPr>
    </w:p>
    <w:p>
      <w:pPr>
        <w:pStyle w:val="ListBullet"/>
      </w:pPr>
      <w:r>
        <w:t>Статус «Выполнено» и stamp «ИСПОЛНЕНО» между собой согласованы; это не причина fake.</w:t>
      </w:r>
    </w:p>
    <w:p>
      <w:pPr>
        <w:pStyle w:val="ListBullet"/>
      </w:pPr>
      <w:r>
        <w:t>Новый SBP ID по сравнению с одним corpus-original не является hard-признаком.</w:t>
      </w:r>
    </w:p>
    <w:p>
      <w:pPr>
        <w:pStyle w:val="ListBullet"/>
      </w:pPr>
      <w:r>
        <w:t>Решающее доказательство — конфликтующие semantic versions внутри одного PDF.</w:t>
      </w:r>
    </w:p>
    <w:p>
      <w:pPr>
        <w:pStyle w:val="CodeBlock"/>
        <w:shd w:fill="F4F7FA"/>
        <w:pBdr>
          <w:top w:val="single" w:sz="4" w:space="2" w:color="B4C6E7"/>
          <w:left w:val="single" w:sz="4" w:space="2" w:color="B4C6E7"/>
          <w:bottom w:val="single" w:sz="4" w:space="2" w:color="B4C6E7"/>
          <w:right w:val="single" w:sz="4" w:space="2" w:color="B4C6E7"/>
        </w:pBdr>
      </w:pPr>
      <w:r>
        <w:t>RULE: G-GRAPH-003 / WB-LATENT-TRANSACTION-001</w:t>
        <w:br/>
        <w:br/>
        <w:t>IF unreachable_stream contains a complete bank-operation record</w:t>
        <w:br/>
        <w:t>AND it shares operation identity/context with the visible receipt</w:t>
        <w:br/>
        <w:t>AND one or more critical fields differ</w:t>
        <w:br/>
        <w:t>THEN verdict = ФЕЙК</w:t>
        <w:br/>
        <w:br/>
        <w:t>Required evidence:</w:t>
        <w:br/>
        <w:t>object IDs, reachability path, decoded operators, latent fields,</w:t>
        <w:br/>
        <w:t>visible fields, exact contradictions, second parser confirmation.</w:t>
      </w:r>
    </w:p>
    <w:p>
      <w:pPr>
        <w:pStyle w:val="Heading1"/>
        <w:keepNext/>
      </w:pPr>
      <w:r>
        <w:t>3. ВТБ: что проверено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Слой</w:t>
            </w:r>
          </w:p>
        </w:tc>
        <w:tc>
          <w:tcPr>
            <w:tcW w:type="dxa" w:w="8568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Наблюдение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Container</w:t>
            </w:r>
          </w:p>
        </w:tc>
        <w:tc>
          <w:tcPr>
            <w:tcW w:type="dxa" w:w="85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PDF 1.7; classic xref; 18 objects; 6 streams; один EOF; однозначная структура.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Generator profile</w:t>
            </w:r>
          </w:p>
        </w:tc>
        <w:tc>
          <w:tcPr>
            <w:tcW w:type="dxa" w:w="85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Producer openhtmltopdf.com; object graph совпадает с текущим VTB family.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Brand resources</w:t>
            </w:r>
          </w:p>
        </w:tc>
        <w:tc>
          <w:tcPr>
            <w:tcW w:type="dxa" w:w="85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Векторный logo Form XObject совпадает с corpus-profile.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Fonts</w:t>
            </w:r>
          </w:p>
        </w:tc>
        <w:tc>
          <w:tcPr>
            <w:tcW w:type="dxa" w:w="85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SFProDisplay subset; used glyphs имеют корректные outlines и mapping; пустых used glyph нет.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Geometry</w:t>
            </w:r>
          </w:p>
        </w:tc>
        <w:tc>
          <w:tcPr>
            <w:tcW w:type="dxa" w:w="85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Page 281.2125×437.25; labels/values и правая граница соответствуют исходящему СБП без сообщения.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85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«Выполнено» согласовано с footer «Операция выполнена».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SBP ID</w:t>
            </w:r>
          </w:p>
        </w:tc>
        <w:tc>
          <w:tcPr>
            <w:tcW w:type="dxa" w:w="85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32 символа; timestamp соответствует 20.06.2026 14:10 на странице; metadata создана через секунду.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Semantics</w:t>
            </w:r>
          </w:p>
        </w:tc>
        <w:tc>
          <w:tcPr>
            <w:tcW w:type="dxa" w:w="85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Сумма 3 900 ₽; роли и поля внутренне согласованы.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7F6000"/>
              </w:rPr>
              <w:t>Честный вывод</w:t>
            </w:r>
          </w:p>
          <w:p>
            <w:pPr>
              <w:spacing w:after="0"/>
            </w:pPr>
            <w:r>
              <w:t>Этот файл может быть фейком на уровне реальной банковской операции, но из предоставленного PDF не найдено доказательство пересборки или внутреннего противоречия. Конкурент мог использовать backend/provenance, частную базу либо ошибиться. Нельзя превращать его общий verdict в новое hard-правило.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Что всё же оставить в shadow для ВТБ</w:t>
      </w:r>
    </w:p>
    <w:p>
      <w:pPr>
        <w:pStyle w:val="ListBullet"/>
      </w:pPr>
      <w:r>
        <w:t>Same-bank recipient при заголовке «Исходящий перевод СБП» — только diagnostic: это может быть новый официальный маршрут.</w:t>
      </w:r>
    </w:p>
    <w:p>
      <w:pPr>
        <w:pStyle w:val="ListBullet"/>
      </w:pPr>
      <w:r>
        <w:t>CreationDate через 1 секунду после SBP timestamp — diagnostic: corpus недостаточен для минимального hard-delay.</w:t>
      </w:r>
    </w:p>
    <w:p>
      <w:pPr>
        <w:pStyle w:val="ListBullet"/>
      </w:pPr>
      <w:r>
        <w:t>Новый glyph «З» — допустим: его outline валиден, отсутствие в corpus ничего не доказывает.</w:t>
      </w:r>
    </w:p>
    <w:p>
      <w:pPr>
        <w:pStyle w:val="ListBullet"/>
      </w:pPr>
      <w:r>
        <w:t>Любая будущая найденная причина должна воспроизводиться внутри PDF и иметь нулевые collisions на originals.</w:t>
      </w:r>
    </w:p>
    <w:p>
      <w:pPr>
        <w:pStyle w:val="Heading1"/>
        <w:keepNext/>
      </w:pPr>
      <w:r>
        <w:t>5. Почему нельзя просто повторить verdict конкурента</w:t>
      </w:r>
    </w:p>
    <w:p>
      <w:pPr>
        <w:pStyle w:val="ListNumber"/>
      </w:pPr>
      <w:r>
        <w:t>Конкурент может проверять источник файла, email, backend или ID database, а не только PDF.</w:t>
      </w:r>
    </w:p>
    <w:p>
      <w:pPr>
        <w:pStyle w:val="ListNumber"/>
      </w:pPr>
      <w:r>
        <w:t>Сообщение «нарушена структура PDF» может быть общей пользовательской формулировкой без точного evidence.</w:t>
      </w:r>
    </w:p>
    <w:p>
      <w:pPr>
        <w:pStyle w:val="ListNumber"/>
      </w:pPr>
      <w:r>
        <w:t>False positive конкурента реален: технически согласованный новый профиль нельзя банить по неизвестности.</w:t>
      </w:r>
    </w:p>
    <w:p>
      <w:pPr>
        <w:pStyle w:val="ListNumber"/>
      </w:pPr>
      <w:r>
        <w:t>Новый hard-rule допускается только после получения object/stream/operator-level доказательства.</w:t>
      </w:r>
    </w:p>
    <w:p>
      <w:pPr>
        <w:pStyle w:val="Heading1"/>
        <w:keepNext/>
      </w:pPr>
      <w:r>
        <w:t>6. Команда валидатору по этим двум файлам</w:t>
      </w:r>
    </w:p>
    <w:p>
      <w:pPr>
        <w:pStyle w:val="CodeBlock"/>
        <w:shd w:fill="F4F7FA"/>
        <w:pBdr>
          <w:top w:val="single" w:sz="4" w:space="2" w:color="B4C6E7"/>
          <w:left w:val="single" w:sz="4" w:space="2" w:color="B4C6E7"/>
          <w:bottom w:val="single" w:sz="4" w:space="2" w:color="B4C6E7"/>
          <w:right w:val="single" w:sz="4" w:space="2" w:color="B4C6E7"/>
        </w:pBdr>
      </w:pPr>
      <w:r>
        <w:t>1. Для ВБ Банка добавить semantic orphan/latent transaction scan.</w:t>
        <w:br/>
        <w:t>2. ваилдберриз сбп.pdf должен получить ФЕЙК по конфликтующим</w:t>
        <w:br/>
        <w:t xml:space="preserve">   недостижимым content streams.</w:t>
        <w:br/>
        <w:t>3. Для ВТБ не добавлять правило, основанное только на verdict конкурента.</w:t>
        <w:br/>
        <w:t>4. втб сбп.pdf оставить ОРИГИНАЛ по standalone PDF-проверке,</w:t>
        <w:br/>
        <w:t xml:space="preserve">   пока не найдено воспроизводимое внутреннее hard evidence.</w:t>
        <w:br/>
        <w:t>5. Техническую подлинность PDF не выдавать за подтверждение</w:t>
        <w:br/>
        <w:t xml:space="preserve">   существования операции в backend.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49" w:right="922" w:bottom="691" w:left="92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5"/>
      </w:rPr>
      <w:t>Suspect Receipts Audit • WB + VTB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7" w:lineRule="auto"/>
    </w:pPr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6D4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</w:pPr>
    <w:rPr>
      <w:rFonts w:asciiTheme="majorHAnsi" w:eastAsiaTheme="majorEastAsia" w:hAnsiTheme="majorHAnsi" w:cstheme="majorBidi" w:ascii="Arial" w:hAnsi="Arial" w:eastAsia="Arial"/>
      <w:b/>
      <w:i/>
      <w:iCs/>
      <w:color w:val="2F75B5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Arial" w:hAnsi="Arial" w:eastAsia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  <w:rPr>
      <w:rFonts w:ascii="Arial" w:hAnsi="Arial" w:eastAsia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  <w:rPr>
      <w:rFonts w:ascii="Arial" w:hAnsi="Arial" w:eastAsia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"/>
      <w:contextualSpacing/>
    </w:pPr>
    <w:rPr>
      <w:rFonts w:ascii="Arial" w:hAnsi="Arial" w:eastAsia="Arial"/>
      <w:sz w:val="17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02" w:right="202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