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E0F46" w14:textId="77777777" w:rsidR="008F1522" w:rsidRDefault="008F1522" w:rsidP="008F1522">
      <w:pPr>
        <w:rPr>
          <w:rFonts w:eastAsia="Times New Roman"/>
        </w:rPr>
      </w:pPr>
      <w:r>
        <w:rPr>
          <w:rFonts w:eastAsia="Times New Roman"/>
        </w:rPr>
        <w:t xml:space="preserve">EDITOR'S SPECIFIC COMMENTS: </w:t>
      </w:r>
      <w:r>
        <w:rPr>
          <w:rFonts w:eastAsia="Times New Roman"/>
        </w:rPr>
        <w:br/>
      </w:r>
      <w:r>
        <w:rPr>
          <w:rFonts w:eastAsia="Times New Roman"/>
        </w:rPr>
        <w:br/>
        <w:t xml:space="preserve">The reviewers have provided comprehensive and thoughtful reviews. Please respond thoroughly to them. This will likely necessitate additional analyses. </w:t>
      </w:r>
      <w:r>
        <w:rPr>
          <w:rFonts w:eastAsia="Times New Roman"/>
        </w:rPr>
        <w:br/>
      </w:r>
      <w:r>
        <w:rPr>
          <w:rFonts w:eastAsia="Times New Roman"/>
        </w:rPr>
        <w:br/>
      </w:r>
      <w:r>
        <w:rPr>
          <w:rFonts w:eastAsia="Times New Roman"/>
        </w:rPr>
        <w:br/>
        <w:t xml:space="preserve">ADDITIONAL COMMENTS: </w:t>
      </w:r>
      <w:r>
        <w:rPr>
          <w:rFonts w:eastAsia="Times New Roman"/>
        </w:rPr>
        <w:br/>
      </w:r>
      <w:r>
        <w:rPr>
          <w:rFonts w:eastAsia="Times New Roman"/>
        </w:rPr>
        <w:br/>
        <w:t xml:space="preserve">Key Points: Limit to 100 words </w:t>
      </w:r>
      <w:r>
        <w:rPr>
          <w:rFonts w:eastAsia="Times New Roman"/>
        </w:rPr>
        <w:br/>
        <w:t xml:space="preserve">Key Points, Findings: Begin with study type (“In this cross-sectional study,”) </w:t>
      </w:r>
      <w:r>
        <w:rPr>
          <w:rFonts w:eastAsia="Times New Roman"/>
        </w:rPr>
        <w:br/>
        <w:t xml:space="preserve">Key Points, Meaning: Limit to 1 sentence </w:t>
      </w:r>
      <w:r>
        <w:rPr>
          <w:rFonts w:eastAsia="Times New Roman"/>
        </w:rPr>
        <w:br/>
      </w:r>
      <w:r>
        <w:rPr>
          <w:rFonts w:eastAsia="Times New Roman"/>
        </w:rPr>
        <w:br/>
        <w:t xml:space="preserve">For studies with data ending &gt;3 years ago, add the date(s) the analysis was performed to the Statistical Analysis section of the Methods (Abstract and main text). </w:t>
      </w:r>
      <w:r>
        <w:rPr>
          <w:rFonts w:eastAsia="Times New Roman"/>
        </w:rPr>
        <w:br/>
      </w:r>
      <w:r>
        <w:rPr>
          <w:rFonts w:eastAsia="Times New Roman"/>
        </w:rPr>
        <w:br/>
        <w:t xml:space="preserve">Results: The number of participants and summary demographic information (eg, baseline characteristics of study participants such as age and sex) should be reported in the first line of the Results section. (Abstract and main text) </w:t>
      </w:r>
      <w:r>
        <w:rPr>
          <w:rFonts w:eastAsia="Times New Roman"/>
        </w:rPr>
        <w:br/>
      </w:r>
      <w:r>
        <w:rPr>
          <w:rFonts w:eastAsia="Times New Roman"/>
        </w:rPr>
        <w:br/>
        <w:t xml:space="preserve">Abstract, Results: Report the basic number or rates being compared before reporting the associations found. For the associations, provide the differences with effect sizes and measures of error/variance. </w:t>
      </w:r>
      <w:r>
        <w:rPr>
          <w:rFonts w:eastAsia="Times New Roman"/>
        </w:rPr>
        <w:br/>
      </w:r>
      <w:r>
        <w:rPr>
          <w:rFonts w:eastAsia="Times New Roman"/>
        </w:rPr>
        <w:br/>
        <w:t xml:space="preserve">Abstract, Conclusions: Begin with “In this cross-sectional study of…” and summarize findings in past tense. </w:t>
      </w:r>
      <w:r>
        <w:rPr>
          <w:rFonts w:eastAsia="Times New Roman"/>
        </w:rPr>
        <w:br/>
      </w:r>
      <w:r>
        <w:rPr>
          <w:rFonts w:eastAsia="Times New Roman"/>
        </w:rPr>
        <w:br/>
        <w:t xml:space="preserve">Indicate in the study Methods how this report follows the STROBE reporting guideline for cross-sectional studies. See </w:t>
      </w:r>
      <w:hyperlink r:id="rId6" w:history="1">
        <w:r>
          <w:rPr>
            <w:rStyle w:val="Hyperlink"/>
            <w:rFonts w:eastAsia="Times New Roman"/>
          </w:rPr>
          <w:t>http://www.equator-network.org/reporting-guidelines/strobe</w:t>
        </w:r>
      </w:hyperlink>
      <w:r>
        <w:rPr>
          <w:rFonts w:eastAsia="Times New Roman"/>
        </w:rPr>
        <w:t xml:space="preserve">/ </w:t>
      </w:r>
      <w:r>
        <w:rPr>
          <w:rFonts w:eastAsia="Times New Roman"/>
        </w:rPr>
        <w:br/>
      </w:r>
      <w:r>
        <w:rPr>
          <w:rFonts w:eastAsia="Times New Roman"/>
        </w:rPr>
        <w:br/>
        <w:t xml:space="preserve">Ethical Review of Study - Add a statement to the Methods section on review and approval of the study by an IRB or ethics committee, or institutional-determined waiver or exemption of such review. </w:t>
      </w:r>
      <w:r>
        <w:rPr>
          <w:rFonts w:eastAsia="Times New Roman"/>
        </w:rPr>
        <w:br/>
      </w:r>
      <w:r>
        <w:rPr>
          <w:rFonts w:eastAsia="Times New Roman"/>
        </w:rPr>
        <w:br/>
        <w:t xml:space="preserve">If race and ethnicity is reported - Include an explanation of who identified participant race and ethnicity and the source of the classifications used (eg, self-report, investigator observed, database, electronic health record, survey instrument). </w:t>
      </w:r>
      <w:r>
        <w:rPr>
          <w:rFonts w:eastAsia="Times New Roman"/>
        </w:rPr>
        <w:br/>
        <w:t xml:space="preserve">List racial and ethnic categories in alphabetical order with “other” last and define any categories included in “other.” </w:t>
      </w:r>
      <w:r>
        <w:rPr>
          <w:rFonts w:eastAsia="Times New Roman"/>
        </w:rPr>
        <w:br/>
        <w:t xml:space="preserve">Indicate the racial and ethnic subcategories included in “other” in the legend of the table. </w:t>
      </w:r>
      <w:r>
        <w:rPr>
          <w:rFonts w:eastAsia="Times New Roman"/>
        </w:rPr>
        <w:br/>
      </w:r>
      <w:r>
        <w:rPr>
          <w:rFonts w:eastAsia="Times New Roman"/>
        </w:rPr>
        <w:br/>
        <w:t xml:space="preserve">Statistical Analysis: Provide a brief description of all statistical tests used in the study and levels of statistical significance whether it was 1 or 2 sided. Include the statistical software used to perform the analysis, including the version and manufacturer, along with any extension packages (eg, the svy suite of commands in Stata or the survival package in R). </w:t>
      </w:r>
      <w:r>
        <w:rPr>
          <w:rFonts w:eastAsia="Times New Roman"/>
        </w:rPr>
        <w:lastRenderedPageBreak/>
        <w:t xml:space="preserve">Do not describe software commands (eg, SAS proc mixed was used to fit a linear mixed-effects model). If analysis code is included, it should be placed in the supplemental content. </w:t>
      </w:r>
      <w:r>
        <w:rPr>
          <w:rFonts w:eastAsia="Times New Roman"/>
        </w:rPr>
        <w:br/>
      </w:r>
      <w:r>
        <w:rPr>
          <w:rFonts w:eastAsia="Times New Roman"/>
        </w:rPr>
        <w:br/>
        <w:t xml:space="preserve">If P values are reported, they should be exact and expressed to 2 digits to the right of the decimal point, or to 3 digits if &lt;.01. Follow standard conventions for decimal places: for P values less than .001, report as "P&lt;.001"; for P values between .001 and .01, report the value to the nearest thousandth; for P values greater than or equal to .10, report the value to the nearest hundredth; and for P values greater than .99, report as "P&gt;.99." </w:t>
      </w:r>
      <w:r>
        <w:rPr>
          <w:rFonts w:eastAsia="Times New Roman"/>
        </w:rPr>
        <w:br/>
      </w:r>
      <w:r>
        <w:rPr>
          <w:rFonts w:eastAsia="Times New Roman"/>
        </w:rPr>
        <w:br/>
        <w:t xml:space="preserve">Figure </w:t>
      </w:r>
      <w:r>
        <w:rPr>
          <w:rFonts w:eastAsia="Times New Roman"/>
        </w:rPr>
        <w:br/>
        <w:t xml:space="preserve">The numerical data in Figure 2 will be omitted per style. If you would like to include the numerical data elsewhere, please make an eTable for the Supplement. ‘ </w:t>
      </w:r>
      <w:r>
        <w:rPr>
          <w:rFonts w:eastAsia="Times New Roman"/>
        </w:rPr>
        <w:br/>
      </w:r>
      <w:r>
        <w:rPr>
          <w:rFonts w:eastAsia="Times New Roman"/>
        </w:rPr>
        <w:br/>
        <w:t xml:space="preserve">Statistical graphs in the main manuscript, technical: </w:t>
      </w:r>
      <w:r>
        <w:rPr>
          <w:rFonts w:eastAsia="Times New Roman"/>
        </w:rPr>
        <w:br/>
        <w:t xml:space="preserve">All statistical graphs in accepted manuscripts are re-created in-house using Adobe Illustrator. To facilitate preparation for publication if this manuscript is accepted, please provide graphs output directly from the software used to create them in an editable vector file format, such as .wmf or .eps, or as Excel graphs (including the linked data file), if created in Excel. Raster (picture) files, such as .jpg or .tif, output directly or embedded in vector files, are not acceptable. Figures inserted in PowerPoint or Word are not acceptable. </w:t>
      </w:r>
      <w:r>
        <w:rPr>
          <w:rFonts w:eastAsia="Times New Roman"/>
        </w:rPr>
        <w:br/>
      </w:r>
      <w:r>
        <w:rPr>
          <w:rFonts w:eastAsia="Times New Roman"/>
        </w:rPr>
        <w:br/>
        <w:t xml:space="preserve">Supplement </w:t>
      </w:r>
      <w:r>
        <w:rPr>
          <w:rFonts w:eastAsia="Times New Roman"/>
        </w:rPr>
        <w:br/>
        <w:t xml:space="preserve">Supplemental content is published online without editing and formatting by JAMA Network staff, so please be sure all elements are readable and fit on the page. These materials should be self-explanatory (able to stand on their own) and carefully prepared for accuracy, clarity (including expansion of all abbreviations), and legibility. </w:t>
      </w:r>
      <w:r>
        <w:rPr>
          <w:rFonts w:eastAsia="Times New Roman"/>
        </w:rPr>
        <w:br/>
      </w:r>
      <w:r>
        <w:rPr>
          <w:rFonts w:eastAsia="Times New Roman"/>
        </w:rPr>
        <w:br/>
        <w:t xml:space="preserve">Each element (eg, each eTable) must be cited in the main paper. </w:t>
      </w:r>
      <w:r>
        <w:rPr>
          <w:rFonts w:eastAsia="Times New Roman"/>
        </w:rPr>
        <w:br/>
      </w:r>
      <w:r>
        <w:rPr>
          <w:rFonts w:eastAsia="Times New Roman"/>
        </w:rPr>
        <w:br/>
        <w:t xml:space="preserve">Please put all online-only elements into a separate combined file. </w:t>
      </w:r>
      <w:r>
        <w:rPr>
          <w:rFonts w:eastAsia="Times New Roman"/>
        </w:rPr>
        <w:br/>
      </w:r>
      <w:r>
        <w:rPr>
          <w:rFonts w:eastAsia="Times New Roman"/>
        </w:rPr>
        <w:br/>
      </w:r>
      <w:r>
        <w:rPr>
          <w:rFonts w:eastAsia="Times New Roman"/>
        </w:rPr>
        <w:br/>
      </w:r>
      <w:r>
        <w:rPr>
          <w:rFonts w:eastAsia="Times New Roman"/>
        </w:rPr>
        <w:br/>
      </w:r>
      <w:r>
        <w:rPr>
          <w:rFonts w:eastAsia="Times New Roman"/>
        </w:rPr>
        <w:br/>
        <w:t xml:space="preserve">REVIEWER COMMENTS: </w:t>
      </w:r>
      <w:r>
        <w:rPr>
          <w:rFonts w:eastAsia="Times New Roman"/>
        </w:rPr>
        <w:br/>
      </w:r>
      <w:r>
        <w:rPr>
          <w:rFonts w:eastAsia="Times New Roman"/>
        </w:rPr>
        <w:br/>
        <w:t xml:space="preserve">Reviewer #1: </w:t>
      </w:r>
      <w:r>
        <w:rPr>
          <w:rFonts w:eastAsia="Times New Roman"/>
        </w:rPr>
        <w:br/>
      </w:r>
      <w:r>
        <w:rPr>
          <w:rFonts w:eastAsia="Times New Roman"/>
        </w:rPr>
        <w:br/>
        <w:t xml:space="preserve">This is an interesting paper looking at the impact of adding ADRD back into the Medicare Advantage (MA) risk adjustment model on changes in self-reported access to, affordability of, and quality of care among MA enrollees with ADRD relative to those with other neurological diagnoses. Several studies have now shown increases in ADRD diagnoses in </w:t>
      </w:r>
      <w:r>
        <w:rPr>
          <w:rFonts w:eastAsia="Times New Roman"/>
        </w:rPr>
        <w:lastRenderedPageBreak/>
        <w:t xml:space="preserve">the year prior to the (re)introduction of these diagnoses in the risk adjustment model, when diagnoses were first “counted” towards the update. Important questions remain about whether the increased diagnoses are accompanied by changes in care or are just another example of upcoding. To my knowledge, this is the first study to try to shed light on this issue. I am overall quite enthusiastic about the paper, which includes many convincing sensitivity analyses and placebo checks. I do have some suggestions for further improvement both in terms of the analysis and interpretation. </w:t>
      </w:r>
      <w:r>
        <w:rPr>
          <w:rFonts w:eastAsia="Times New Roman"/>
        </w:rPr>
        <w:br/>
      </w:r>
      <w:r>
        <w:rPr>
          <w:rFonts w:eastAsia="Times New Roman"/>
        </w:rPr>
        <w:br/>
        <w:t xml:space="preserve">1. Potential change in composition of the ADRD sample – as noted in the limitations section, a central challenge of this analysis is separating out true effects of the payment change on care vs. compositional changes in the patients identified as having ADRD as a result of the payment change. While the paper notes this critical issue it really doesn’t do anything to even assess the issue no less to address it to the extent it is a problem. One simple thing to do is to use the event study and DiD models to assess whether the average characteristics of beneficiaries with ADRD relative to other neurological conditions changed after the payment model went into effect. I think the event studies are important here because of the fact that the sharp change in diagnosis came the year before the payment model took effect. The timing discrepancy occurs because the payment change is based on retrospective diagnoses and the update was made public in advance. If the characteristics of ADRD patients is stable than this is a non-issue. If it’s not stable, then at least the paper can discuss the expected direction of bias. </w:t>
      </w:r>
      <w:r>
        <w:rPr>
          <w:rFonts w:eastAsia="Times New Roman"/>
        </w:rPr>
        <w:br/>
      </w:r>
      <w:r>
        <w:rPr>
          <w:rFonts w:eastAsia="Times New Roman"/>
        </w:rPr>
        <w:br/>
        <w:t xml:space="preserve">2. Control group – based on Table 1, the control group of MA beneficiaries with other neurological conditions differs in some important ways from the ADRD sample. The most notable differences relate to age composition and race, with the control group being younger and less Hispanic. In terms of confounding, this is only an issue if the composition changes differentially across groups at the time of the policy change (and the composition is correlated with assessments of access, affordability, or quality. Showing how these characteristics change over time, as suggested in 1, might help address this concern. </w:t>
      </w:r>
      <w:r>
        <w:rPr>
          <w:rFonts w:eastAsia="Times New Roman"/>
        </w:rPr>
        <w:br/>
      </w:r>
      <w:r>
        <w:rPr>
          <w:rFonts w:eastAsia="Times New Roman"/>
        </w:rPr>
        <w:br/>
        <w:t xml:space="preserve">3. More on the control group – the paper is light on detail of the controls group. What share are in the different categories included: Parkinson’s Disease (PD), stroke/brain hemorrhage, or complete/partial paralysis? I would guess that the PD group is the one that brings down the age composition, and it could be that using just the other two groups would better match the age composition in levels. That said, the nature of the care needed for PD may be more similar to ADRD than stroke/brain hemorrhage, or complete/partial paralysis. Some discussion of these issues and sensitivity of the results to use of these different control groups would be useful. </w:t>
      </w:r>
      <w:r>
        <w:rPr>
          <w:rFonts w:eastAsia="Times New Roman"/>
        </w:rPr>
        <w:br/>
      </w:r>
      <w:r>
        <w:rPr>
          <w:rFonts w:eastAsia="Times New Roman"/>
        </w:rPr>
        <w:br/>
        <w:t xml:space="preserve">4. Perceptions of access and actual access – it is reassuring that the study finds improvements in self-reported access. I think it would unequivocally bad if self-reported access declined. I’m less sure about improvements in perceived access without any detail on changes in the amount and/or type of care received. That is, the study does not report whether the perceived improvement in access corresponds to actual increased use and/or </w:t>
      </w:r>
      <w:r>
        <w:rPr>
          <w:rFonts w:eastAsia="Times New Roman"/>
        </w:rPr>
        <w:lastRenderedPageBreak/>
        <w:t xml:space="preserve">the type of care received. I think this merits some discussion in the limitations section. This is not an issue of response bias, which is already discussed, but rather of perceived versus actual changes in access that may be clinically important. </w:t>
      </w:r>
      <w:r>
        <w:rPr>
          <w:rFonts w:eastAsia="Times New Roman"/>
        </w:rPr>
        <w:br/>
      </w:r>
      <w:r>
        <w:rPr>
          <w:rFonts w:eastAsia="Times New Roman"/>
        </w:rPr>
        <w:br/>
        <w:t xml:space="preserve">More minor comments: </w:t>
      </w:r>
      <w:r>
        <w:rPr>
          <w:rFonts w:eastAsia="Times New Roman"/>
        </w:rPr>
        <w:br/>
      </w:r>
      <w:r>
        <w:rPr>
          <w:rFonts w:eastAsia="Times New Roman"/>
        </w:rPr>
        <w:br/>
        <w:t xml:space="preserve">1. Dual eligible – I did not see a control for dual eligible status. I believe that should be captured in the data. Is it included? If not, I think it should be, particularly given concerns about changing composition. </w:t>
      </w:r>
      <w:r>
        <w:rPr>
          <w:rFonts w:eastAsia="Times New Roman"/>
        </w:rPr>
        <w:br/>
      </w:r>
      <w:r>
        <w:rPr>
          <w:rFonts w:eastAsia="Times New Roman"/>
        </w:rPr>
        <w:br/>
        <w:t xml:space="preserve">2. Additional reference – you are missing a reference to one of the early papers, published in JAMA NO, on changes in ADRD diagnosis and the payment reform: </w:t>
      </w:r>
      <w:hyperlink r:id="rId7" w:history="1">
        <w:r>
          <w:rPr>
            <w:rStyle w:val="Hyperlink"/>
            <w:rFonts w:eastAsia="Times New Roman"/>
          </w:rPr>
          <w:t>https://jamanetwork.com/journals/jamanetworkopen/fullarticle/2812968</w:t>
        </w:r>
      </w:hyperlink>
      <w:r>
        <w:rPr>
          <w:rFonts w:eastAsia="Times New Roman"/>
        </w:rPr>
        <w:t xml:space="preserve"> </w:t>
      </w:r>
      <w:r>
        <w:rPr>
          <w:rFonts w:eastAsia="Times New Roman"/>
        </w:rPr>
        <w:br/>
      </w:r>
      <w:r>
        <w:rPr>
          <w:rFonts w:eastAsia="Times New Roman"/>
        </w:rPr>
        <w:br/>
      </w:r>
      <w:r>
        <w:rPr>
          <w:rFonts w:eastAsia="Times New Roman"/>
        </w:rPr>
        <w:br/>
        <w:t xml:space="preserve">Reviewer #1 (Explain how the online-only supplemental files are inappropriate.): </w:t>
      </w:r>
      <w:r>
        <w:rPr>
          <w:rFonts w:eastAsia="Times New Roman"/>
        </w:rPr>
        <w:br/>
      </w:r>
      <w:r>
        <w:rPr>
          <w:rFonts w:eastAsia="Times New Roman"/>
        </w:rPr>
        <w:br/>
        <w:t xml:space="preserve">A few more appendix tables/figures seem warranted as noted in my comments to the authors. </w:t>
      </w:r>
      <w:r>
        <w:rPr>
          <w:rFonts w:eastAsia="Times New Roman"/>
        </w:rPr>
        <w:br/>
      </w:r>
      <w:r>
        <w:rPr>
          <w:rFonts w:eastAsia="Times New Roman"/>
        </w:rPr>
        <w:br/>
      </w:r>
      <w:r>
        <w:rPr>
          <w:rFonts w:eastAsia="Times New Roman"/>
        </w:rPr>
        <w:br/>
      </w:r>
      <w:r>
        <w:rPr>
          <w:rFonts w:eastAsia="Times New Roman"/>
        </w:rPr>
        <w:br/>
      </w:r>
      <w:r>
        <w:rPr>
          <w:rFonts w:eastAsia="Times New Roman"/>
        </w:rPr>
        <w:br/>
        <w:t xml:space="preserve">Reviewer #2: </w:t>
      </w:r>
      <w:r>
        <w:rPr>
          <w:rFonts w:eastAsia="Times New Roman"/>
        </w:rPr>
        <w:br/>
      </w:r>
      <w:r>
        <w:rPr>
          <w:rFonts w:eastAsia="Times New Roman"/>
        </w:rPr>
        <w:br/>
        <w:t xml:space="preserve">This is a great idea and the authors are to be congratulated on a very sophisticated analysis designed to estimate the impact of reintroducing the an ADRD diagnosis into the calculation of the HCC for MA payment. However, using the MCBS presents certain advantages but also disadvantages and the latter undermine the validity of their analyses. These are presented and discussed below, followed by several smaller, more technical issues that may need clarification. </w:t>
      </w:r>
      <w:r>
        <w:rPr>
          <w:rFonts w:eastAsia="Times New Roman"/>
        </w:rPr>
        <w:br/>
      </w:r>
      <w:r>
        <w:rPr>
          <w:rFonts w:eastAsia="Times New Roman"/>
        </w:rPr>
        <w:br/>
        <w:t xml:space="preserve">First, the MCBS obtains a maximum of 4 years of data per person while in the survey. This means that the study duration from 2015 to 2022 will have a bunch of survey respondents whose survey data did NOT overlap during the pre-post period. At the individual patient level, it is not reasonable (even though there is a random sampling of beneficiaries) to assume that beneficiary A's response for 2015 is a substitute for another individual's response in 2022. Thus, the event based analysis presented as a sensitivity analysis, presumably focuses only on individuals who have multiple surveys, should be the primary analysis since it is these individuals who have an opportunity to experience a change in MA approach due to including the ADRD dx in the HCC. Otherwise, the patient survey should be the unit of analysis averaged per period prior to and following the policy change. However, that does require that these surveys before and after are substitutable. None of this background to the survey or the methods is presented in the paper or supplement. </w:t>
      </w:r>
      <w:r>
        <w:rPr>
          <w:rFonts w:eastAsia="Times New Roman"/>
        </w:rPr>
        <w:br/>
      </w:r>
      <w:r>
        <w:rPr>
          <w:rFonts w:eastAsia="Times New Roman"/>
        </w:rPr>
        <w:lastRenderedPageBreak/>
        <w:br/>
        <w:t xml:space="preserve">Second, the use of self-reported dementia status seems a bit strange since the MCBS has data sets linked to Medicare claims and encounter records. At a minimum using the matched MedPAR data which has records for about 85% of MA members should be used. While one might argue that the use of self-report for dementia is similar to the use of self-report for the "control" diagnoses, but the policy change is introduced via the INDIVIDUAL's diagnosis. So, if the individual is the unit of analysis, it should be the individual exposure and the system's response to that individual that should be studied. So, the use of self-report is connected to the unit of analysis issue alluded to above. </w:t>
      </w:r>
      <w:r>
        <w:rPr>
          <w:rFonts w:eastAsia="Times New Roman"/>
        </w:rPr>
        <w:br/>
      </w:r>
      <w:r>
        <w:rPr>
          <w:rFonts w:eastAsia="Times New Roman"/>
        </w:rPr>
        <w:br/>
        <w:t xml:space="preserve">Third, the investigators excluded MA members who did not have complete years under MA. The problem with this exclusion is that there is lots of evidence that sicker patients who've had hospital, SNF, Home Health and other high need or cancer diagnoses are much more likely to disenroll from MA. Thus, dropping partial time members could be excluding those who would complain about MA so much they "vote with their feet" regardless of whether the MA plan is more sensitive to the ADRD diagnosis after the policy change. </w:t>
      </w:r>
      <w:r>
        <w:rPr>
          <w:rFonts w:eastAsia="Times New Roman"/>
        </w:rPr>
        <w:br/>
      </w:r>
      <w:r>
        <w:rPr>
          <w:rFonts w:eastAsia="Times New Roman"/>
        </w:rPr>
        <w:br/>
        <w:t xml:space="preserve">the use of other conditions as "placebo" analyses is appropriate, but the problem is that often patients have more than one condition at a time, so treating each disease one at a time may miss disease severity even though from the perspective of the HCC, it is the individual disease that might alter provider or MA plan behavior. </w:t>
      </w:r>
      <w:r>
        <w:rPr>
          <w:rFonts w:eastAsia="Times New Roman"/>
        </w:rPr>
        <w:br/>
      </w:r>
      <w:r>
        <w:rPr>
          <w:rFonts w:eastAsia="Times New Roman"/>
        </w:rPr>
        <w:br/>
      </w:r>
      <w:r>
        <w:rPr>
          <w:rFonts w:eastAsia="Times New Roman"/>
        </w:rPr>
        <w:br/>
        <w:t xml:space="preserve">Reviewer #2 (Explain how the online-only supplemental files are inappropriate.): </w:t>
      </w:r>
      <w:r>
        <w:rPr>
          <w:rFonts w:eastAsia="Times New Roman"/>
        </w:rPr>
        <w:br/>
      </w:r>
      <w:r>
        <w:rPr>
          <w:rFonts w:eastAsia="Times New Roman"/>
        </w:rPr>
        <w:br/>
        <w:t xml:space="preserve">needs to offer more detail about the MCBS sampling and study duration information. </w:t>
      </w:r>
      <w:r>
        <w:rPr>
          <w:rFonts w:eastAsia="Times New Roman"/>
        </w:rPr>
        <w:br/>
      </w:r>
      <w:r>
        <w:rPr>
          <w:rFonts w:eastAsia="Times New Roman"/>
        </w:rPr>
        <w:br/>
      </w:r>
      <w:r>
        <w:rPr>
          <w:rFonts w:eastAsia="Times New Roman"/>
        </w:rPr>
        <w:br/>
      </w:r>
      <w:r>
        <w:rPr>
          <w:rFonts w:eastAsia="Times New Roman"/>
        </w:rPr>
        <w:br/>
      </w:r>
      <w:r>
        <w:rPr>
          <w:rFonts w:eastAsia="Times New Roman"/>
        </w:rPr>
        <w:br/>
        <w:t xml:space="preserve">Reviewer #3: </w:t>
      </w:r>
      <w:r>
        <w:rPr>
          <w:rFonts w:eastAsia="Times New Roman"/>
        </w:rPr>
        <w:br/>
      </w:r>
      <w:r>
        <w:rPr>
          <w:rFonts w:eastAsia="Times New Roman"/>
        </w:rPr>
        <w:br/>
        <w:t xml:space="preserve">The authors leveraged the Medicare Current Beneficiary Survey to examine how a change in risk adjustment models (i.e., inclusion of ADRD in the model starting in 2020) change healthcare utilization and satisfaction of care for ADRD. This is an important research question and strategy to evaluate the effects of the policy change. However, interpretation of the findings is difficult owing to incomplete information reporting of results. Below are specific suggestions to clarify the methods and results to help improve the paper. </w:t>
      </w:r>
      <w:r>
        <w:rPr>
          <w:rFonts w:eastAsia="Times New Roman"/>
        </w:rPr>
        <w:br/>
      </w:r>
      <w:r>
        <w:rPr>
          <w:rFonts w:eastAsia="Times New Roman"/>
        </w:rPr>
        <w:br/>
        <w:t xml:space="preserve">1. Key points: please write abbreviations upon first use. </w:t>
      </w:r>
      <w:r>
        <w:rPr>
          <w:rFonts w:eastAsia="Times New Roman"/>
        </w:rPr>
        <w:br/>
      </w:r>
      <w:r>
        <w:rPr>
          <w:rFonts w:eastAsia="Times New Roman"/>
        </w:rPr>
        <w:br/>
        <w:t xml:space="preserve">2. Abstract: was the exposure the Medicare Advantage risk adjustment model pre versus post inclusion of ADRD HCC into the model? Ie, pre 2020 versus 2020+? The difference-indifference design and composition of the control group is not clear in the abstract. </w:t>
      </w:r>
      <w:r>
        <w:rPr>
          <w:rFonts w:eastAsia="Times New Roman"/>
        </w:rPr>
        <w:br/>
      </w:r>
      <w:r>
        <w:rPr>
          <w:rFonts w:eastAsia="Times New Roman"/>
        </w:rPr>
        <w:lastRenderedPageBreak/>
        <w:br/>
        <w:t xml:space="preserve">3. Abstract: please state the number of beneficiares included in analysis who had a diagnosis of ADRD </w:t>
      </w:r>
      <w:r>
        <w:rPr>
          <w:rFonts w:eastAsia="Times New Roman"/>
        </w:rPr>
        <w:br/>
      </w:r>
      <w:r>
        <w:rPr>
          <w:rFonts w:eastAsia="Times New Roman"/>
        </w:rPr>
        <w:br/>
        <w:t xml:space="preserve">4. Introduction: is it more accurate to describe traditional Medicare as Medicare fee for service? </w:t>
      </w:r>
      <w:r>
        <w:rPr>
          <w:rFonts w:eastAsia="Times New Roman"/>
        </w:rPr>
        <w:br/>
      </w:r>
      <w:r>
        <w:rPr>
          <w:rFonts w:eastAsia="Times New Roman"/>
        </w:rPr>
        <w:br/>
        <w:t xml:space="preserve">5. Is your data resource from a random sample of Medicare beneficiaries? </w:t>
      </w:r>
      <w:r>
        <w:rPr>
          <w:rFonts w:eastAsia="Times New Roman"/>
        </w:rPr>
        <w:br/>
      </w:r>
      <w:r>
        <w:rPr>
          <w:rFonts w:eastAsia="Times New Roman"/>
        </w:rPr>
        <w:br/>
        <w:t xml:space="preserve">6. Methods: why not perform the primary analysis using an interrupted time series analysis and plot the covariate-adjusted mean outcomes over time for the ADRD and non-ADRD control group (analogous to figure 2)? This is similar to the event study model but allows year main effects, which appear to be missing from equation B.3. Please clarify. </w:t>
      </w:r>
      <w:r>
        <w:rPr>
          <w:rFonts w:eastAsia="Times New Roman"/>
        </w:rPr>
        <w:br/>
      </w:r>
      <w:r>
        <w:rPr>
          <w:rFonts w:eastAsia="Times New Roman"/>
        </w:rPr>
        <w:br/>
        <w:t xml:space="preserve">7. Methods: Although the various sensitivity analyses are helpful for demonstrating robustness, they involve inclusion of participants not characterized in Table 1 (e.g., traditional Medicare, alternative control or “placebo” groups, etc.). Participants who contribute data to the study should be fully characterized (e.g., in a supplementary table). </w:t>
      </w:r>
      <w:r>
        <w:rPr>
          <w:rFonts w:eastAsia="Times New Roman"/>
        </w:rPr>
        <w:br/>
      </w:r>
      <w:r>
        <w:rPr>
          <w:rFonts w:eastAsia="Times New Roman"/>
        </w:rPr>
        <w:br/>
        <w:t xml:space="preserve">8. Methods/Results: The methods describe alternative “placebo” groups; these sound more like negative control groups. </w:t>
      </w:r>
      <w:r>
        <w:rPr>
          <w:rFonts w:eastAsia="Times New Roman"/>
        </w:rPr>
        <w:br/>
      </w:r>
      <w:r>
        <w:rPr>
          <w:rFonts w:eastAsia="Times New Roman"/>
        </w:rPr>
        <w:br/>
        <w:t xml:space="preserve">9. Results: The findings in figure 3 (and analogous efigures) are difficult to interpret without knowing the four values that resulted in the differences in difference: 1) pre-2020 among control, 2) pre-2020 among ADRD, 3) 2020+ among control, and 4) 2020+ among ADRD. For example, a negative post*treatment interaction coefficient can result from many things 1) greater decrease among ADRD, 2) decrease among ADRD and increase among non-ADRD controls, or 3) smaller increase among ADRD. Without knowing the four components, readers cannot tell how the coefficient came about. </w:t>
      </w:r>
      <w:r>
        <w:rPr>
          <w:rFonts w:eastAsia="Times New Roman"/>
        </w:rPr>
        <w:br/>
      </w:r>
      <w:r>
        <w:rPr>
          <w:rFonts w:eastAsia="Times New Roman"/>
        </w:rPr>
        <w:br/>
      </w:r>
      <w:r>
        <w:rPr>
          <w:rFonts w:eastAsia="Times New Roman"/>
        </w:rPr>
        <w:br/>
        <w:t xml:space="preserve">Reviewer #3 (Explain how the tables/figures are inappropriate.): </w:t>
      </w:r>
      <w:r>
        <w:rPr>
          <w:rFonts w:eastAsia="Times New Roman"/>
        </w:rPr>
        <w:br/>
      </w:r>
      <w:r>
        <w:rPr>
          <w:rFonts w:eastAsia="Times New Roman"/>
        </w:rPr>
        <w:br/>
        <w:t xml:space="preserve">Not inappropriate per se, but additional information is needed to accurately interpret the coefficients in the figures. </w:t>
      </w:r>
      <w:r>
        <w:rPr>
          <w:rFonts w:eastAsia="Times New Roman"/>
        </w:rPr>
        <w:br/>
      </w:r>
      <w:r>
        <w:rPr>
          <w:rFonts w:eastAsia="Times New Roman"/>
        </w:rPr>
        <w:br/>
      </w:r>
      <w:r>
        <w:rPr>
          <w:rFonts w:eastAsia="Times New Roman"/>
        </w:rPr>
        <w:br/>
        <w:t xml:space="preserve">Reviewer #3 (Explain how the online-only supplemental files are inappropriate.): </w:t>
      </w:r>
      <w:r>
        <w:rPr>
          <w:rFonts w:eastAsia="Times New Roman"/>
        </w:rPr>
        <w:br/>
      </w:r>
      <w:r>
        <w:rPr>
          <w:rFonts w:eastAsia="Times New Roman"/>
        </w:rPr>
        <w:br/>
        <w:t>Not inappropriate per se, but additional information is needed to accurately interpret the coefficients in the supplemental figures.</w:t>
      </w:r>
    </w:p>
    <w:p w14:paraId="0AD5D935" w14:textId="77777777" w:rsidR="0022114C" w:rsidRDefault="0022114C"/>
    <w:sectPr w:rsidR="0022114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A63CE" w14:textId="77777777" w:rsidR="00712484" w:rsidRDefault="00712484" w:rsidP="008F1522">
      <w:r>
        <w:separator/>
      </w:r>
    </w:p>
  </w:endnote>
  <w:endnote w:type="continuationSeparator" w:id="0">
    <w:p w14:paraId="125C5AB9" w14:textId="77777777" w:rsidR="00712484" w:rsidRDefault="00712484" w:rsidP="008F1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827109"/>
      <w:docPartObj>
        <w:docPartGallery w:val="Page Numbers (Bottom of Page)"/>
        <w:docPartUnique/>
      </w:docPartObj>
    </w:sdtPr>
    <w:sdtEndPr>
      <w:rPr>
        <w:noProof/>
      </w:rPr>
    </w:sdtEndPr>
    <w:sdtContent>
      <w:p w14:paraId="425DE975" w14:textId="3E7957C3" w:rsidR="008F1522" w:rsidRDefault="008F15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1DC973" w14:textId="77777777" w:rsidR="008F1522" w:rsidRDefault="008F15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79D41" w14:textId="77777777" w:rsidR="00712484" w:rsidRDefault="00712484" w:rsidP="008F1522">
      <w:r>
        <w:separator/>
      </w:r>
    </w:p>
  </w:footnote>
  <w:footnote w:type="continuationSeparator" w:id="0">
    <w:p w14:paraId="2B0DE1AB" w14:textId="77777777" w:rsidR="00712484" w:rsidRDefault="00712484" w:rsidP="008F15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22"/>
    <w:rsid w:val="0022114C"/>
    <w:rsid w:val="002A6B58"/>
    <w:rsid w:val="002B1140"/>
    <w:rsid w:val="00712484"/>
    <w:rsid w:val="008F1522"/>
    <w:rsid w:val="00D47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94F00"/>
  <w15:chartTrackingRefBased/>
  <w15:docId w15:val="{AF5A1A53-4676-4816-BB49-997928E0A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522"/>
    <w:pPr>
      <w:spacing w:after="0" w:line="240" w:lineRule="auto"/>
    </w:pPr>
    <w:rPr>
      <w:rFonts w:ascii="Aptos" w:hAnsi="Aptos" w:cs="Aptos"/>
      <w:color w:val="000000"/>
      <w:kern w:val="0"/>
      <w14:ligatures w14:val="none"/>
    </w:rPr>
  </w:style>
  <w:style w:type="paragraph" w:styleId="Heading1">
    <w:name w:val="heading 1"/>
    <w:basedOn w:val="Normal"/>
    <w:next w:val="Normal"/>
    <w:link w:val="Heading1Char"/>
    <w:uiPriority w:val="9"/>
    <w:qFormat/>
    <w:rsid w:val="008F152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F152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F152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F152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F152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F152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F152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F152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F152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522"/>
    <w:rPr>
      <w:rFonts w:eastAsiaTheme="majorEastAsia" w:cstheme="majorBidi"/>
      <w:color w:val="272727" w:themeColor="text1" w:themeTint="D8"/>
    </w:rPr>
  </w:style>
  <w:style w:type="paragraph" w:styleId="Title">
    <w:name w:val="Title"/>
    <w:basedOn w:val="Normal"/>
    <w:next w:val="Normal"/>
    <w:link w:val="TitleChar"/>
    <w:uiPriority w:val="10"/>
    <w:qFormat/>
    <w:rsid w:val="008F1522"/>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8F1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52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F1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522"/>
    <w:pPr>
      <w:spacing w:before="160" w:after="160" w:line="278" w:lineRule="auto"/>
      <w:jc w:val="center"/>
    </w:pPr>
    <w:rPr>
      <w:rFonts w:ascii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F1522"/>
    <w:rPr>
      <w:i/>
      <w:iCs/>
      <w:color w:val="404040" w:themeColor="text1" w:themeTint="BF"/>
    </w:rPr>
  </w:style>
  <w:style w:type="paragraph" w:styleId="ListParagraph">
    <w:name w:val="List Paragraph"/>
    <w:basedOn w:val="Normal"/>
    <w:uiPriority w:val="34"/>
    <w:qFormat/>
    <w:rsid w:val="008F1522"/>
    <w:pPr>
      <w:spacing w:after="160" w:line="278" w:lineRule="auto"/>
      <w:ind w:left="720"/>
      <w:contextualSpacing/>
    </w:pPr>
    <w:rPr>
      <w:rFonts w:ascii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8F1522"/>
    <w:rPr>
      <w:i/>
      <w:iCs/>
      <w:color w:val="0F4761" w:themeColor="accent1" w:themeShade="BF"/>
    </w:rPr>
  </w:style>
  <w:style w:type="paragraph" w:styleId="IntenseQuote">
    <w:name w:val="Intense Quote"/>
    <w:basedOn w:val="Normal"/>
    <w:next w:val="Normal"/>
    <w:link w:val="IntenseQuoteChar"/>
    <w:uiPriority w:val="30"/>
    <w:qFormat/>
    <w:rsid w:val="008F152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F1522"/>
    <w:rPr>
      <w:i/>
      <w:iCs/>
      <w:color w:val="0F4761" w:themeColor="accent1" w:themeShade="BF"/>
    </w:rPr>
  </w:style>
  <w:style w:type="character" w:styleId="IntenseReference">
    <w:name w:val="Intense Reference"/>
    <w:basedOn w:val="DefaultParagraphFont"/>
    <w:uiPriority w:val="32"/>
    <w:qFormat/>
    <w:rsid w:val="008F1522"/>
    <w:rPr>
      <w:b/>
      <w:bCs/>
      <w:smallCaps/>
      <w:color w:val="0F4761" w:themeColor="accent1" w:themeShade="BF"/>
      <w:spacing w:val="5"/>
    </w:rPr>
  </w:style>
  <w:style w:type="character" w:styleId="Hyperlink">
    <w:name w:val="Hyperlink"/>
    <w:basedOn w:val="DefaultParagraphFont"/>
    <w:uiPriority w:val="99"/>
    <w:semiHidden/>
    <w:unhideWhenUsed/>
    <w:rsid w:val="008F1522"/>
    <w:rPr>
      <w:color w:val="EE0000"/>
      <w:u w:val="single"/>
    </w:rPr>
  </w:style>
  <w:style w:type="paragraph" w:styleId="Header">
    <w:name w:val="header"/>
    <w:basedOn w:val="Normal"/>
    <w:link w:val="HeaderChar"/>
    <w:uiPriority w:val="99"/>
    <w:unhideWhenUsed/>
    <w:rsid w:val="008F1522"/>
    <w:pPr>
      <w:tabs>
        <w:tab w:val="center" w:pos="4680"/>
        <w:tab w:val="right" w:pos="9360"/>
      </w:tabs>
    </w:pPr>
  </w:style>
  <w:style w:type="character" w:customStyle="1" w:styleId="HeaderChar">
    <w:name w:val="Header Char"/>
    <w:basedOn w:val="DefaultParagraphFont"/>
    <w:link w:val="Header"/>
    <w:uiPriority w:val="99"/>
    <w:rsid w:val="008F1522"/>
    <w:rPr>
      <w:rFonts w:ascii="Aptos" w:hAnsi="Aptos" w:cs="Aptos"/>
      <w:color w:val="000000"/>
      <w:kern w:val="0"/>
      <w14:ligatures w14:val="none"/>
    </w:rPr>
  </w:style>
  <w:style w:type="paragraph" w:styleId="Footer">
    <w:name w:val="footer"/>
    <w:basedOn w:val="Normal"/>
    <w:link w:val="FooterChar"/>
    <w:uiPriority w:val="99"/>
    <w:unhideWhenUsed/>
    <w:rsid w:val="008F1522"/>
    <w:pPr>
      <w:tabs>
        <w:tab w:val="center" w:pos="4680"/>
        <w:tab w:val="right" w:pos="9360"/>
      </w:tabs>
    </w:pPr>
  </w:style>
  <w:style w:type="character" w:customStyle="1" w:styleId="FooterChar">
    <w:name w:val="Footer Char"/>
    <w:basedOn w:val="DefaultParagraphFont"/>
    <w:link w:val="Footer"/>
    <w:uiPriority w:val="99"/>
    <w:rsid w:val="008F1522"/>
    <w:rPr>
      <w:rFonts w:ascii="Aptos" w:hAnsi="Aptos" w:cs="Aptos"/>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nam12.safelinks.protection.outlook.com/?url=https%3A%2F%2Fjamanetwork.com%2Fjournals%2Fjamanetworkopen%2Ffullarticle%2F2812968&amp;data=05%7C02%7Cxi.chen%40yale.edu%7C2264a3681a7f43fd976508de39020316%7Cdd8cbebb21394df8b4114e3e87abeb5c%7C0%7C0%7C639010877976630447%7CUnknown%7CTWFpbGZsb3d8eyJFbXB0eU1hcGkiOnRydWUsIlYiOiIwLjAuMDAwMCIsIlAiOiJXaW4zMiIsIkFOIjoiTWFpbCIsIldUIjoyfQ%3D%3D%7C0%7C%7C%7C&amp;sdata=LfvriVV2cKWl3DNR1Gz3oxnyzzVtHmZtyMrcaAyTRd4%3D&amp;reserved=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am12.safelinks.protection.outlook.com/?url=http%3A%2F%2Fwww.equator-network.org%2Freporting-guidelines%2Fstrobe&amp;data=05%7C02%7Cxi.chen%40yale.edu%7C2264a3681a7f43fd976508de39020316%7Cdd8cbebb21394df8b4114e3e87abeb5c%7C0%7C0%7C639010877976608346%7CUnknown%7CTWFpbGZsb3d8eyJFbXB0eU1hcGkiOnRydWUsIlYiOiIwLjAuMDAwMCIsIlAiOiJXaW4zMiIsIkFOIjoiTWFpbCIsIldUIjoyfQ%3D%3D%7C0%7C%7C%7C&amp;sdata=hpYIKROvO0R6%2F6olj86xSxymv09Mbum8tI3CMy9Wu2k%3D&amp;reserved=0"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2363</Words>
  <Characters>12618</Characters>
  <Application>Microsoft Office Word</Application>
  <DocSecurity>0</DocSecurity>
  <Lines>261</Lines>
  <Paragraphs>1</Paragraphs>
  <ScaleCrop>false</ScaleCrop>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Xi</dc:creator>
  <cp:keywords/>
  <dc:description/>
  <cp:lastModifiedBy>Chen, Xi</cp:lastModifiedBy>
  <cp:revision>1</cp:revision>
  <dcterms:created xsi:type="dcterms:W3CDTF">2025-12-15T19:10:00Z</dcterms:created>
  <dcterms:modified xsi:type="dcterms:W3CDTF">2025-12-15T19:11:00Z</dcterms:modified>
</cp:coreProperties>
</file>