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3CB51" w14:textId="77777777" w:rsidR="00834C90" w:rsidRPr="0077129A" w:rsidRDefault="00752F2D">
      <w:pPr>
        <w:pStyle w:val="1"/>
        <w:rPr>
          <w:rFonts w:cs="Times New Roman"/>
          <w:b/>
          <w:bCs/>
          <w:color w:val="000000" w:themeColor="text1"/>
          <w:sz w:val="32"/>
          <w:szCs w:val="32"/>
        </w:rPr>
      </w:pPr>
      <w:bookmarkStart w:id="0" w:name="supplementary-data"/>
      <w:r w:rsidRPr="0077129A">
        <w:rPr>
          <w:rFonts w:cs="Times New Roman"/>
          <w:b/>
          <w:bCs/>
          <w:color w:val="000000" w:themeColor="text1"/>
          <w:sz w:val="32"/>
          <w:szCs w:val="32"/>
        </w:rPr>
        <w:t>Supplementary Data</w:t>
      </w:r>
    </w:p>
    <w:p w14:paraId="041BA9D6" w14:textId="77777777" w:rsidR="00834C90" w:rsidRPr="00F66333" w:rsidRDefault="00752F2D" w:rsidP="002A0D56">
      <w:pPr>
        <w:pStyle w:val="FirstParagraph"/>
        <w:rPr>
          <w:rFonts w:cs="Times New Roman"/>
          <w:color w:val="000000" w:themeColor="text1"/>
          <w:sz w:val="28"/>
          <w:szCs w:val="28"/>
        </w:rPr>
      </w:pPr>
      <w:r w:rsidRPr="00F66333">
        <w:rPr>
          <w:rFonts w:cs="Times New Roman"/>
          <w:color w:val="000000" w:themeColor="text1"/>
          <w:sz w:val="28"/>
          <w:szCs w:val="28"/>
        </w:rPr>
        <w:t>Sex-Specific Handgrip Strength Trajectories and Cognitive Performance in Older Chinese Adults</w:t>
      </w:r>
    </w:p>
    <w:p w14:paraId="344F2E31" w14:textId="77777777" w:rsidR="00834C90" w:rsidRPr="00F66333" w:rsidRDefault="00752F2D" w:rsidP="00F66333">
      <w:pPr>
        <w:pStyle w:val="11"/>
      </w:pPr>
      <w:bookmarkStart w:id="1" w:name="supplementary-methods"/>
      <w:r w:rsidRPr="00F66333">
        <w:t>Supplementary Methods</w:t>
      </w:r>
    </w:p>
    <w:p w14:paraId="5CABD129" w14:textId="77777777" w:rsidR="00834C90" w:rsidRPr="002A0D56" w:rsidRDefault="00752F2D">
      <w:pPr>
        <w:pStyle w:val="3"/>
        <w:rPr>
          <w:rFonts w:cs="Times New Roman"/>
          <w:b/>
          <w:bCs/>
          <w:color w:val="000000" w:themeColor="text1"/>
          <w:sz w:val="24"/>
          <w:szCs w:val="24"/>
        </w:rPr>
      </w:pPr>
      <w:bookmarkStart w:id="2" w:name="gbtm-model-selection"/>
      <w:r w:rsidRPr="002A0D56">
        <w:rPr>
          <w:rFonts w:cs="Times New Roman"/>
          <w:b/>
          <w:bCs/>
          <w:color w:val="000000" w:themeColor="text1"/>
          <w:sz w:val="24"/>
          <w:szCs w:val="24"/>
        </w:rPr>
        <w:t>GBTM Model Selection</w:t>
      </w:r>
    </w:p>
    <w:p w14:paraId="4683F70C" w14:textId="77777777" w:rsidR="00834C90" w:rsidRPr="002A0D56" w:rsidRDefault="00752F2D">
      <w:pPr>
        <w:pStyle w:val="FirstParagraph"/>
        <w:rPr>
          <w:rFonts w:cs="Times New Roman"/>
          <w:color w:val="000000" w:themeColor="text1"/>
        </w:rPr>
      </w:pPr>
      <w:r w:rsidRPr="002A0D56">
        <w:rPr>
          <w:rFonts w:cs="Times New Roman"/>
          <w:color w:val="000000" w:themeColor="text1"/>
        </w:rPr>
        <w:t>To determine the optimal number of trajectory groups, we tested one- to six-group models, estimated separately for women and men. The Bayesian Information Criterion (BIC) guided model selection. The plot of BIC values demonstrated a clear “elbow” pattern: a substantial decrease was observed when moving to a two-group solution, after which improvements in BIC diminished markedly with additional groups. We subsequently evaluated models with higher-order polynomial terms (quadratic and cubic). These models showed negligible changes in fit indices and captured trajectory structures nearly identical to the linear specification. We therefore selected the two-group linear model for parsimony.</w:t>
      </w:r>
    </w:p>
    <w:p w14:paraId="4FA96971" w14:textId="77777777" w:rsidR="00834C90" w:rsidRPr="002A0D56" w:rsidRDefault="00752F2D">
      <w:pPr>
        <w:pStyle w:val="a0"/>
        <w:rPr>
          <w:rFonts w:cs="Times New Roman"/>
          <w:color w:val="000000" w:themeColor="text1"/>
        </w:rPr>
      </w:pPr>
      <w:r w:rsidRPr="002A0D56">
        <w:rPr>
          <w:rFonts w:cs="Times New Roman"/>
          <w:color w:val="000000" w:themeColor="text1"/>
        </w:rPr>
        <w:t>Classification diagnostics indicated robust assignment quality. Average posterior probabilities (AvePP) exceeded 0.7, and the odds of correct classification (OCC) exceeded 5, both surpassing the general recommendations for group-based trajectory modelling [25]. The estimated group proportions aligned closely with the observed assignment proportions, indicating good classification consistency.</w:t>
      </w:r>
      <w:proofErr w:type="spellStart"/>
      <w:r w:rsidRPr="002A0D56">
        <w:rPr>
          <w:rFonts w:cs="Times New Roman"/>
          <w:color w:val="000000" w:themeColor="text1"/>
        </w:rPr>
      </w:r>
      <w:proofErr w:type="spellEnd"/>
      <w:r w:rsidRPr="002A0D56">
        <w:rPr>
          <w:rFonts w:cs="Times New Roman"/>
          <w:color w:val="000000" w:themeColor="text1"/>
        </w:rPr>
      </w:r>
    </w:p>
    <w:p w14:paraId="313EE4F9" w14:textId="77777777" w:rsidR="00834C90" w:rsidRPr="002A0D56" w:rsidRDefault="00752F2D">
      <w:pPr>
        <w:pStyle w:val="3"/>
        <w:rPr>
          <w:rFonts w:cs="Times New Roman"/>
          <w:b/>
          <w:bCs/>
          <w:color w:val="000000" w:themeColor="text1"/>
          <w:sz w:val="24"/>
          <w:szCs w:val="24"/>
        </w:rPr>
      </w:pPr>
      <w:bookmarkStart w:id="3" w:name="alternative-clustering-methods"/>
      <w:bookmarkEnd w:id="2"/>
      <w:r w:rsidRPr="002A0D56">
        <w:rPr>
          <w:rFonts w:cs="Times New Roman"/>
          <w:b/>
          <w:bCs/>
          <w:color w:val="000000" w:themeColor="text1"/>
          <w:sz w:val="24"/>
          <w:szCs w:val="24"/>
        </w:rPr>
        <w:lastRenderedPageBreak/>
        <w:t>Alternative Clustering Methods</w:t>
      </w:r>
    </w:p>
    <w:p w14:paraId="54E304E4" w14:textId="77777777" w:rsidR="00834C90" w:rsidRPr="002A0D56" w:rsidRDefault="00752F2D">
      <w:pPr>
        <w:pStyle w:val="FirstParagraph"/>
        <w:rPr>
          <w:rFonts w:cs="Times New Roman"/>
          <w:color w:val="000000" w:themeColor="text1"/>
        </w:rPr>
      </w:pPr>
      <w:r w:rsidRPr="002A0D56">
        <w:rPr>
          <w:rFonts w:cs="Times New Roman"/>
          <w:b/>
          <w:bCs/>
          <w:color w:val="000000" w:themeColor="text1"/>
        </w:rPr>
        <w:t>Longitudinal K-means clustering was implemented using the kml package in R [27]. This approach partitions longitudinal sequences based on Euclidean distance between individual trajectories and cluster centroids, without imposing parametric distributional assumptions.</w:t>
      </w:r>
      <w:r w:rsidRPr="002A0D56">
        <w:rPr>
          <w:rFonts w:cs="Times New Roman"/>
          <w:color w:val="000000" w:themeColor="text1"/>
        </w:rPr>
      </w:r>
      <w:proofErr w:type="spellStart"/>
      <w:r w:rsidRPr="002A0D56">
        <w:rPr>
          <w:rFonts w:cs="Times New Roman"/>
          <w:i/>
          <w:iCs/>
          <w:color w:val="000000" w:themeColor="text1"/>
        </w:rPr>
      </w:r>
      <w:proofErr w:type="spellEnd"/>
      <w:r w:rsidRPr="002A0D56">
        <w:rPr>
          <w:rFonts w:cs="Times New Roman"/>
          <w:color w:val="000000" w:themeColor="text1"/>
        </w:rPr>
      </w:r>
    </w:p>
    <w:p w14:paraId="243F6FE7" w14:textId="77777777" w:rsidR="00834C90" w:rsidRPr="002A0D56" w:rsidRDefault="00752F2D">
      <w:pPr>
        <w:pStyle w:val="a0"/>
        <w:rPr>
          <w:rFonts w:cs="Times New Roman"/>
          <w:color w:val="000000" w:themeColor="text1"/>
        </w:rPr>
      </w:pPr>
      <w:r w:rsidRPr="002A0D56">
        <w:rPr>
          <w:rFonts w:cs="Times New Roman"/>
          <w:b/>
          <w:bCs/>
          <w:color w:val="000000" w:themeColor="text1"/>
        </w:rPr>
        <w:t>Hierarchical clustering for multivariate longitudinal data was implemented using the clusterMLD package in R [28]. This method uses a dissimilarity matrix derived from the multivariate longitudinal structure and applies agglomerative hierarchical clustering.</w:t>
      </w:r>
      <w:r w:rsidRPr="002A0D56">
        <w:rPr>
          <w:rFonts w:cs="Times New Roman"/>
          <w:color w:val="000000" w:themeColor="text1"/>
        </w:rPr>
      </w:r>
      <w:proofErr w:type="spellStart"/>
      <w:r w:rsidRPr="002A0D56">
        <w:rPr>
          <w:rFonts w:cs="Times New Roman"/>
          <w:i/>
          <w:iCs/>
          <w:color w:val="000000" w:themeColor="text1"/>
        </w:rPr>
      </w:r>
      <w:proofErr w:type="spellEnd"/>
      <w:r w:rsidRPr="002A0D56">
        <w:rPr>
          <w:rFonts w:cs="Times New Roman"/>
          <w:color w:val="000000" w:themeColor="text1"/>
        </w:rPr>
      </w:r>
    </w:p>
    <w:p w14:paraId="30B4B8ED" w14:textId="77777777" w:rsidR="00F66333" w:rsidRDefault="00752F2D">
      <w:pPr>
        <w:pStyle w:val="a0"/>
        <w:rPr>
          <w:rFonts w:cs="Times New Roman"/>
          <w:color w:val="000000" w:themeColor="text1"/>
        </w:rPr>
      </w:pPr>
      <w:r w:rsidRPr="002A0D56">
        <w:rPr>
          <w:rFonts w:cs="Times New Roman"/>
          <w:color w:val="000000" w:themeColor="text1"/>
        </w:rPr>
        <w:t>Cross-method agreement was evaluated using Kendall’s W (coefficient of concordance) and polychoric correlations.</w:t>
      </w:r>
      <w:r w:rsidR="00F66333">
        <w:rPr>
          <w:rFonts w:cs="Times New Roman"/>
          <w:color w:val="000000" w:themeColor="text1"/>
        </w:rPr>
      </w:r>
      <w:r w:rsidRPr="002A0D56">
        <w:rPr>
          <w:rFonts w:cs="Times New Roman"/>
          <w:color w:val="000000" w:themeColor="text1"/>
        </w:rPr>
      </w:r>
      <w:proofErr w:type="spellStart"/>
      <w:r w:rsidRPr="002A0D56">
        <w:rPr>
          <w:rFonts w:cs="Times New Roman"/>
          <w:color w:val="000000" w:themeColor="text1"/>
        </w:rPr>
      </w:r>
      <w:proofErr w:type="spellEnd"/>
      <w:r w:rsidRPr="002A0D56">
        <w:rPr>
          <w:rFonts w:cs="Times New Roman"/>
          <w:color w:val="000000" w:themeColor="text1"/>
        </w:rPr>
      </w:r>
    </w:p>
    <w:p w14:paraId="202724EE" w14:textId="77777777" w:rsidR="00F66333" w:rsidRDefault="00F66333">
      <w:pPr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br w:type="page"/>
      </w:r>
    </w:p>
    <w:bookmarkEnd w:id="1"/>
    <w:bookmarkEnd w:id="3"/>
    <w:p w14:paraId="18C08738" w14:textId="77777777" w:rsidR="00834C90" w:rsidRPr="002A0D56" w:rsidRDefault="00752F2D" w:rsidP="00F66333">
      <w:pPr>
        <w:pStyle w:val="11"/>
      </w:pPr>
      <w:r w:rsidRPr="002A0D56">
        <w:t>Supplementary Table S1. Baseline Characteristics of HGS Groups, Stratified by Sex</w:t>
      </w:r>
    </w:p>
    <w:tbl>
      <w:tblPr>
        <w:tblW w:w="11216" w:type="dxa"/>
        <w:jc w:val="center"/>
        <w:tblBorders>
          <w:top w:val="double" w:sz="8" w:space="0" w:color="000000"/>
          <w:left w:val="nil"/>
          <w:bottom w:val="doub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248"/>
        <w:gridCol w:w="1701"/>
        <w:gridCol w:w="1701"/>
        <w:gridCol w:w="964"/>
        <w:gridCol w:w="236"/>
        <w:gridCol w:w="1701"/>
        <w:gridCol w:w="1701"/>
        <w:gridCol w:w="964"/>
      </w:tblGrid>
      <w:tr w:rsidR="005D6776" w:rsidRPr="002A0D56" w14:paraId="4DC3E9B2" w14:textId="77777777" w:rsidTr="001A2BC2">
        <w:trPr>
          <w:jc w:val="center"/>
        </w:trPr>
        <w:tc>
          <w:tcPr>
            <w:tcW w:w="2248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2D103122" w14:textId="77777777" w:rsidR="005D6776" w:rsidRPr="002A0D56" w:rsidRDefault="005D6776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4366" w:type="dxa"/>
            <w:gridSpan w:val="3"/>
            <w:tcBorders>
              <w:top w:val="double" w:sz="6" w:space="0" w:color="auto"/>
              <w:left w:val="nil"/>
              <w:bottom w:val="single" w:sz="6" w:space="0" w:color="000000"/>
              <w:right w:val="nil"/>
            </w:tcBorders>
            <w:vAlign w:val="center"/>
          </w:tcPr>
          <w:p w14:paraId="6139AB42" w14:textId="77777777" w:rsidR="005D6776" w:rsidRPr="002A0D56" w:rsidRDefault="005D6776">
            <w:pPr>
              <w:spacing w:after="0" w:line="280" w:lineRule="auto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sz w:val="16"/>
                <w:szCs w:val="16"/>
              </w:rPr>
              <w:t>W</w:t>
            </w:r>
            <w:r>
              <w:rPr>
                <w:rFonts w:cs="Times New Roman"/>
                <w:b/>
                <w:bCs/>
                <w:sz w:val="16"/>
                <w:szCs w:val="16"/>
              </w:rPr>
              <w:t>omen</w:t>
            </w:r>
          </w:p>
        </w:tc>
        <w:tc>
          <w:tcPr>
            <w:tcW w:w="236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</w:tcPr>
          <w:p w14:paraId="7C6BEEDF" w14:textId="77777777" w:rsidR="005D6776" w:rsidRPr="002A0D56" w:rsidRDefault="005D6776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4366" w:type="dxa"/>
            <w:gridSpan w:val="3"/>
            <w:tcBorders>
              <w:top w:val="double" w:sz="6" w:space="0" w:color="auto"/>
              <w:left w:val="nil"/>
              <w:bottom w:val="single" w:sz="6" w:space="0" w:color="000000"/>
              <w:right w:val="nil"/>
            </w:tcBorders>
            <w:vAlign w:val="center"/>
          </w:tcPr>
          <w:p w14:paraId="53B7D06E" w14:textId="77777777" w:rsidR="005D6776" w:rsidRPr="002A0D56" w:rsidRDefault="005D6776">
            <w:pPr>
              <w:spacing w:after="0" w:line="280" w:lineRule="auto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  <w:r>
              <w:rPr>
                <w:rFonts w:cs="Times New Roman" w:hint="eastAsia"/>
                <w:b/>
                <w:bCs/>
                <w:sz w:val="16"/>
                <w:szCs w:val="16"/>
              </w:rPr>
              <w:t>M</w:t>
            </w:r>
            <w:r>
              <w:rPr>
                <w:rFonts w:cs="Times New Roman"/>
                <w:b/>
                <w:bCs/>
                <w:sz w:val="16"/>
                <w:szCs w:val="16"/>
              </w:rPr>
              <w:t>en</w:t>
            </w:r>
          </w:p>
        </w:tc>
      </w:tr>
      <w:tr w:rsidR="00E34D58" w:rsidRPr="002A0D56" w14:paraId="19808AA7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FE9346B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608CD62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6"/>
                <w:szCs w:val="16"/>
              </w:rPr>
              <w:t>Low HGS Group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6002B3A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6"/>
                <w:szCs w:val="16"/>
              </w:rPr>
              <w:t>High HGS Group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F87051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6"/>
                <w:szCs w:val="16"/>
              </w:rPr>
              <w:t>Diff.</w:t>
            </w:r>
          </w:p>
        </w:tc>
        <w:tc>
          <w:tcPr>
            <w:tcW w:w="23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9DC40D1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1AF618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6"/>
                <w:szCs w:val="16"/>
              </w:rPr>
              <w:t>Low HGS Group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03C419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6"/>
                <w:szCs w:val="16"/>
              </w:rPr>
              <w:t>High HGS Group</w:t>
            </w:r>
          </w:p>
        </w:tc>
        <w:tc>
          <w:tcPr>
            <w:tcW w:w="96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2AD32B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6"/>
                <w:szCs w:val="16"/>
              </w:rPr>
              <w:t>Diff.</w:t>
            </w:r>
          </w:p>
        </w:tc>
      </w:tr>
      <w:tr w:rsidR="00E34D58" w:rsidRPr="002A0D56" w14:paraId="2DB93EDD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3E42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Global cognitive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4DB4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11.62 [11.34, 11.90]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CF94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15.00 [14.66, 15.34]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34D5F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3.38***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13A26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0A05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12.93 [12.44, 13.41]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B40FF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15.64 [15.32, 15.97]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508A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2.72***</w:t>
            </w:r>
          </w:p>
        </w:tc>
      </w:tr>
      <w:tr w:rsidR="00E34D58" w:rsidRPr="002A0D56" w14:paraId="71BE26D2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D827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Orientation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31BCC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3.22 [3.15, 3.29]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E31A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3.85 [3.79, 3.92]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3DDF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0.63***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7F239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4613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3.54 [3.42, 3.66]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1E25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4.07 [4.01, 4.13]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A4939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0.53***</w:t>
            </w:r>
          </w:p>
        </w:tc>
      </w:tr>
      <w:tr w:rsidR="00E34D58" w:rsidRPr="002A0D56" w14:paraId="5B15567D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43DE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Memory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6905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5.56 [5.38, 5.73]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B5A6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7.34 [7.10, 7.58]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704B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1.78***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DCE35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C915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5.44 [5.14, 5.74]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D1428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6.94 [6.71, 7.18]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2E3A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1.50***</w:t>
            </w:r>
          </w:p>
        </w:tc>
      </w:tr>
      <w:tr w:rsidR="00E34D58" w:rsidRPr="002A0D56" w14:paraId="3F51CD59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3CFC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Calculation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7D5E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2.39 [2.30, 2.48]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4A32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3.16 [3.07, 3.24]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3F28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0.77***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2BD2FA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9818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3.33 [3.18, 3.47]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C226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3.85 [3.77, 3.94]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0463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0.53***</w:t>
            </w:r>
          </w:p>
        </w:tc>
      </w:tr>
      <w:tr w:rsidR="00E34D58" w:rsidRPr="002A0D56" w14:paraId="232CB920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F995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Visuospatial skill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B49F1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0.45 [0.43, 0.48]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0957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0.65 [0.63, 0.67]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3CEA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0.20***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C9CD7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99D5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0.62 [0.58, 0.66]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656D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0.78 [0.76, 0.80]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E6B7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0.16***</w:t>
            </w:r>
          </w:p>
        </w:tc>
      </w:tr>
      <w:tr w:rsidR="00E34D58" w:rsidRPr="002A0D56" w14:paraId="02823BB9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6C9C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HGS (kg)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6D5B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22.15 [21.90, 22.41]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2B1B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30.99 [30.73, 31.25]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79AB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8.84***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6EFA4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430E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28.93 [28.44, 29.43]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5155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38.96 [38.62, 39.30]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F808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10.03***</w:t>
            </w:r>
          </w:p>
        </w:tc>
      </w:tr>
      <w:tr w:rsidR="00E34D58" w:rsidRPr="002A0D56" w14:paraId="3BA728B5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9CDAC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Age (years)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4126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62.61 [62.21, 63.01]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3F9B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52.33 [52.00, 52.65]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0206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-10.28***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7BC00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428C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67.35 [66.78, 67.92]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C95B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59.01 [58.62, 59.41]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91F6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-8.34***</w:t>
            </w:r>
          </w:p>
        </w:tc>
      </w:tr>
      <w:tr w:rsidR="00E34D58" w:rsidRPr="002A0D56" w14:paraId="03102B74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1839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ADL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B3126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0.38 [0.34, 0.42]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5B04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0.15 [0.13, 0.18]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7F90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-0.23***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9FAC0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59D3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0.41 [0.32, 0.49]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C745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0.14 [0.12, 0.17]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7D3A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-0.26***</w:t>
            </w:r>
          </w:p>
        </w:tc>
      </w:tr>
      <w:tr w:rsidR="00E34D58" w:rsidRPr="002A0D56" w14:paraId="0202CC24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FBD0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IADL score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2D49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0.55 [0.50, 0.60]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26DA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0.25 [0.21, 0.28]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6C1B1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-0.30***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18B87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286F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0.49 [0.41, 0.57]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1AD0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0.21 [0.18, 0.24]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75E21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-0.28***</w:t>
            </w:r>
          </w:p>
        </w:tc>
      </w:tr>
      <w:tr w:rsidR="00E34D58" w:rsidRPr="002A0D56" w14:paraId="0F36DCCB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E44B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Log per capita expenditure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FE15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8.40 [8.36, 8.44]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415C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8.63 [8.58, 8.67]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3567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0.23***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90CD8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7E667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8.39 [8.32, 8.45]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2D3B8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8.56 [8.51, 8.60]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12CF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0.17***</w:t>
            </w:r>
          </w:p>
        </w:tc>
      </w:tr>
      <w:tr w:rsidR="00E34D58" w:rsidRPr="002A0D56" w14:paraId="042CDC51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1222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Chronic conditions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7F3C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1.61 [1.54, 1.68]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1042C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1.18 [1.12, 1.24]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9D9D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-0.43***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6B604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1980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1.55 [1.42, 1.67]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2704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1.26 [1.20, 1.33]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A39EC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-0.28***</w:t>
            </w:r>
          </w:p>
        </w:tc>
      </w:tr>
      <w:tr w:rsidR="00E34D58" w:rsidRPr="002A0D56" w14:paraId="52C5CD4A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CD12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Currently married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0110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75.7% [73.4%, 78.0%]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9B67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91.5% [90.1%, 92.9%]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A08A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15.8%***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EA3665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35B11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81.1% [77.3%, 84.8%]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75E2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90.6% [89.0%, 92.1%]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3CAB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9.5%***</w:t>
            </w:r>
          </w:p>
        </w:tc>
      </w:tr>
      <w:tr w:rsidR="00E34D58" w:rsidRPr="002A0D56" w14:paraId="4BDBCFAE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169C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Rural residence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48FB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65.2% [62.9%, 67.6%]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B8E0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59.5% [56.9%, 62.0%]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4249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-5.8%**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BA4D7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FC81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81.1% [77.3%, 84.8%]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CBB1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90.6% [89.0%, 92.1%]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EFFE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9.5%***</w:t>
            </w:r>
          </w:p>
        </w:tc>
      </w:tr>
      <w:tr w:rsidR="00E34D58" w:rsidRPr="002A0D56" w14:paraId="7802410A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B17BC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Education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8A52C1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956639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F3D5A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1525A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12A6D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5685F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1D702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</w:tr>
      <w:tr w:rsidR="00E34D58" w:rsidRPr="002A0D56" w14:paraId="45FB0BE2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860A4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---Primary education or below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42F8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69.0% [66.8%, 71.2%]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179E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46.6% [44.2%, 49.0%]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DB38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-22.4%***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D5FD8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2A97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44.4% [40.4%, 48.5%]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C762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28.6% [26.4%, 30.9%]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D7EE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-15.8%***</w:t>
            </w:r>
          </w:p>
        </w:tc>
      </w:tr>
      <w:tr w:rsidR="00E34D58" w:rsidRPr="002A0D56" w14:paraId="3EC8DF92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3C95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---Secondary education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12D6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18.2% [16.4%, 20.0%]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7DE3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19.0% [17.3%, 20.8%]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4284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0.90%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97519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E032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33.9% [30.0%, 37.8%]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B6BB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30.8% [28.2%, 33.4%]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0646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-3.1%***</w:t>
            </w:r>
          </w:p>
        </w:tc>
      </w:tr>
      <w:tr w:rsidR="00E34D58" w:rsidRPr="002A0D56" w14:paraId="52EE7ED8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5AC3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---Tertiary education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BD0E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12.8% [11.2%, 14.4%]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B2156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34.3% [31.8%, 36.9%]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AC923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21.5%***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34F4F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64C7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21.6% [18.3%, 24.9%]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201EA4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40.6% [37.8%, 43.3%]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42FE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18.9%***</w:t>
            </w:r>
          </w:p>
        </w:tc>
      </w:tr>
      <w:tr w:rsidR="00E34D58" w:rsidRPr="002A0D56" w14:paraId="0F0EF70D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4FAB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Currently drink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302F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12.3% [10.8%, 13.8%]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5985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11.6% [10.2%, 13.0%]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14C6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-0.70%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D7B69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4637B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46.9% [42.9%, 50.9%]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93495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57.3% [54.7%, 59.9%]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31C3C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10.4%***</w:t>
            </w:r>
          </w:p>
        </w:tc>
      </w:tr>
      <w:tr w:rsidR="00E34D58" w:rsidRPr="002A0D56" w14:paraId="179EB366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86B9D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Currently smoke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5413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7.9% [6.6%, 9.2%]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403B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4.0% [3.2%, 4.8%]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F85C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-3.9%***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C1EA0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FB93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55.3% [51.3%, 59.3%]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14BB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57.0% [54.3%, 59.8%]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1C7E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1.7%</w:t>
            </w:r>
          </w:p>
        </w:tc>
      </w:tr>
      <w:tr w:rsidR="00E34D58" w:rsidRPr="002A0D56" w14:paraId="6519DFF1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518A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BMI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FE59B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85FD2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0E66F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5526C8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DCD87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828C16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4EBE0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</w:tr>
      <w:tr w:rsidR="00E34D58" w:rsidRPr="002A0D56" w14:paraId="2BBE4133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10C3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---Underweight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EC139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7.2% [5.9%, 8.6%]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76B5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1.7% [1.1%, 2.2%]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ECFD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-5.6%***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73028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F6752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10.0% [7.8%, 12.2%]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CB60C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3.4% [2.6%, 4.2%]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C574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-6.6%***</w:t>
            </w:r>
          </w:p>
        </w:tc>
      </w:tr>
      <w:tr w:rsidR="00E34D58" w:rsidRPr="002A0D56" w14:paraId="411E3737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810A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---Normal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3A95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52.7% [50.4%, 55.1%]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83495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43.8% [41.4%, 46.2%]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A06770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-9.0%***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D2AAC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AF36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67.8% [64.0%, 71.6%]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8BE6A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63.5% [60.8%, 66.1%]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DB60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-4.3%***</w:t>
            </w:r>
          </w:p>
        </w:tc>
      </w:tr>
      <w:tr w:rsidR="00E34D58" w:rsidRPr="002A0D56" w14:paraId="18857756" w14:textId="77777777" w:rsidTr="001A2BC2">
        <w:trPr>
          <w:jc w:val="center"/>
        </w:trPr>
        <w:tc>
          <w:tcPr>
            <w:tcW w:w="2248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3F3903AF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---Overweight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094F2E17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40.0% [37.7%, 42.3%]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3DA7CFD8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54.5% [52.1%, 56.9%]</w:t>
            </w:r>
          </w:p>
        </w:tc>
        <w:tc>
          <w:tcPr>
            <w:tcW w:w="964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69DD60B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14.5%***</w:t>
            </w:r>
          </w:p>
        </w:tc>
        <w:tc>
          <w:tcPr>
            <w:tcW w:w="236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6CD5399B" w14:textId="77777777" w:rsidR="00E34D58" w:rsidRPr="002A0D56" w:rsidRDefault="00E34D58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4B0FCE51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22.4% [18.9%, 26.0%]</w:t>
            </w:r>
          </w:p>
        </w:tc>
        <w:tc>
          <w:tcPr>
            <w:tcW w:w="1701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386ADF8E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33.2% [30.6%, 35.8%]</w:t>
            </w:r>
          </w:p>
        </w:tc>
        <w:tc>
          <w:tcPr>
            <w:tcW w:w="964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770F142A" w14:textId="77777777" w:rsidR="00E34D58" w:rsidRPr="002A0D56" w:rsidRDefault="00881090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6"/>
                <w:szCs w:val="16"/>
              </w:rPr>
              <w:t>10.8%***</w:t>
            </w:r>
          </w:p>
        </w:tc>
      </w:tr>
    </w:tbl>
    <w:p w14:paraId="533FDD42" w14:textId="77777777" w:rsidR="000B3C04" w:rsidRPr="000B3C04" w:rsidRDefault="00752F2D" w:rsidP="000B3C04">
      <w:pPr>
        <w:pStyle w:val="a0"/>
        <w:rPr>
          <w:rFonts w:cs="Times New Roman"/>
          <w:color w:val="000000" w:themeColor="text1"/>
          <w:sz w:val="20"/>
          <w:szCs w:val="20"/>
        </w:rPr>
      </w:pPr>
      <w:r w:rsidRPr="00F66333">
        <w:rPr>
          <w:rFonts w:cs="Times New Roman"/>
          <w:i/>
          <w:iCs/>
          <w:color w:val="000000" w:themeColor="text1"/>
          <w:sz w:val="20"/>
          <w:szCs w:val="20"/>
        </w:rPr>
        <w:t>Notes:</w:t>
      </w:r>
      <w:r w:rsidRPr="00F66333">
        <w:rPr>
          <w:rFonts w:cs="Times New Roman"/>
          <w:color w:val="000000" w:themeColor="text1"/>
          <w:sz w:val="20"/>
          <w:szCs w:val="20"/>
        </w:rPr>
        <w:t xml:space="preserve"> Data are presented as weighted means [95% confidence interval] or weighted percentages [95% confidence interval]. The “Diff.” column displays the differences between the High HGS group and the Low HGS group (Reference), assessed using survey-weighted Wald tests. </w:t>
      </w:r>
      <w:r w:rsidR="000B3C04" w:rsidRPr="000B3C04">
        <w:rPr>
          <w:rFonts w:cs="Times New Roman"/>
          <w:i/>
          <w:iCs/>
          <w:color w:val="000000" w:themeColor="text1"/>
          <w:sz w:val="20"/>
          <w:szCs w:val="20"/>
        </w:rPr>
        <w:t>*** P &lt; 0.001, ** P &lt; 0.01, * P &lt; 0.05.</w:t>
      </w:r>
    </w:p>
    <w:p w14:paraId="5417FD99" w14:textId="77777777" w:rsidR="00834C90" w:rsidRPr="0077129A" w:rsidRDefault="00834C90" w:rsidP="0077129A">
      <w:pPr>
        <w:pStyle w:val="a0"/>
        <w:rPr>
          <w:rFonts w:cs="Times New Roman"/>
          <w:color w:val="000000" w:themeColor="text1"/>
          <w:sz w:val="20"/>
          <w:szCs w:val="20"/>
        </w:rPr>
      </w:pPr>
    </w:p>
    <w:p w14:paraId="3768C181" w14:textId="77777777" w:rsidR="00474ECC" w:rsidRPr="002A0D56" w:rsidRDefault="00474ECC">
      <w:pPr>
        <w:rPr>
          <w:rFonts w:cs="Times New Roman"/>
          <w:color w:val="000000" w:themeColor="text1"/>
        </w:rPr>
      </w:pPr>
      <w:r w:rsidRPr="002A0D56">
        <w:rPr>
          <w:rFonts w:cs="Times New Roman"/>
          <w:color w:val="000000" w:themeColor="text1"/>
        </w:rPr>
        <w:br w:type="page"/>
      </w:r>
    </w:p>
    <w:tbl>
      <w:tblPr>
        <w:tblpPr w:leftFromText="180" w:rightFromText="180" w:vertAnchor="page" w:horzAnchor="margin" w:tblpY="3695"/>
        <w:tblW w:w="8320" w:type="dxa"/>
        <w:tblBorders>
          <w:top w:val="double" w:sz="8" w:space="0" w:color="000000"/>
          <w:left w:val="nil"/>
          <w:bottom w:val="double" w:sz="8" w:space="0" w:color="000000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14"/>
        <w:gridCol w:w="1498"/>
        <w:gridCol w:w="1497"/>
        <w:gridCol w:w="267"/>
        <w:gridCol w:w="1247"/>
        <w:gridCol w:w="1480"/>
        <w:gridCol w:w="17"/>
      </w:tblGrid>
      <w:tr w:rsidR="00F66333" w:rsidRPr="002A0D56" w14:paraId="5B522FA8" w14:textId="77777777" w:rsidTr="0077129A">
        <w:trPr>
          <w:gridAfter w:val="1"/>
          <w:wAfter w:w="17" w:type="dxa"/>
        </w:trPr>
        <w:tc>
          <w:tcPr>
            <w:tcW w:w="2314" w:type="dxa"/>
            <w:tcBorders>
              <w:top w:val="double" w:sz="8" w:space="0" w:color="000000"/>
              <w:left w:val="nil"/>
              <w:bottom w:val="nil"/>
              <w:right w:val="nil"/>
            </w:tcBorders>
            <w:vAlign w:val="center"/>
          </w:tcPr>
          <w:p w14:paraId="48D4536B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2995" w:type="dxa"/>
            <w:gridSpan w:val="2"/>
            <w:tcBorders>
              <w:top w:val="doub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4911CB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8"/>
                <w:szCs w:val="18"/>
              </w:rPr>
              <w:t>Women (60+)</w:t>
            </w:r>
          </w:p>
        </w:tc>
        <w:tc>
          <w:tcPr>
            <w:tcW w:w="267" w:type="dxa"/>
            <w:tcBorders>
              <w:top w:val="double" w:sz="8" w:space="0" w:color="000000"/>
              <w:left w:val="nil"/>
              <w:bottom w:val="nil"/>
              <w:right w:val="nil"/>
            </w:tcBorders>
            <w:vAlign w:val="center"/>
          </w:tcPr>
          <w:p w14:paraId="1E087BF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2727" w:type="dxa"/>
            <w:gridSpan w:val="2"/>
            <w:tcBorders>
              <w:top w:val="double" w:sz="8" w:space="0" w:color="000000"/>
              <w:left w:val="nil"/>
              <w:bottom w:val="nil"/>
              <w:right w:val="nil"/>
            </w:tcBorders>
            <w:vAlign w:val="center"/>
          </w:tcPr>
          <w:p w14:paraId="46879B00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8"/>
                <w:szCs w:val="18"/>
              </w:rPr>
              <w:t>Men (60+)</w:t>
            </w:r>
          </w:p>
        </w:tc>
      </w:tr>
      <w:tr w:rsidR="00F66333" w:rsidRPr="002A0D56" w14:paraId="3B5A580C" w14:textId="77777777" w:rsidTr="0077129A">
        <w:tc>
          <w:tcPr>
            <w:tcW w:w="2314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7AFB260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4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FEDFCBC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8"/>
                <w:szCs w:val="18"/>
              </w:rPr>
              <w:t>Model 1</w:t>
            </w:r>
          </w:p>
        </w:tc>
        <w:tc>
          <w:tcPr>
            <w:tcW w:w="149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8058240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8"/>
                <w:szCs w:val="18"/>
              </w:rPr>
              <w:t>Model 2</w:t>
            </w:r>
          </w:p>
        </w:tc>
        <w:tc>
          <w:tcPr>
            <w:tcW w:w="267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662B5CE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3E57088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8"/>
                <w:szCs w:val="18"/>
              </w:rPr>
              <w:t>Model 1</w:t>
            </w:r>
          </w:p>
        </w:tc>
        <w:tc>
          <w:tcPr>
            <w:tcW w:w="1497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41B034D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b/>
                <w:bCs/>
                <w:sz w:val="18"/>
                <w:szCs w:val="18"/>
              </w:rPr>
              <w:t>Model 2</w:t>
            </w:r>
          </w:p>
        </w:tc>
      </w:tr>
      <w:tr w:rsidR="00F66333" w:rsidRPr="002A0D56" w14:paraId="4FD90426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08B3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Global score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1A9CEC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0.571***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2C395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0.176**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5E74C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5722FA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0.530***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BEE3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0.114*</w:t>
            </w:r>
          </w:p>
        </w:tc>
      </w:tr>
      <w:tr w:rsidR="00F66333" w:rsidRPr="002A0D56" w14:paraId="17350E20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0FF0B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52FA7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[0.422, 0.719]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1C74D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[0.060, 0.293]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7A034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99AC74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[0.417, 0.642]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79B582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[0.018, 0.210]</w:t>
            </w:r>
          </w:p>
        </w:tc>
      </w:tr>
      <w:tr w:rsidR="00F66333" w:rsidRPr="002A0D56" w14:paraId="501CA1F3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BA98E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Orientation score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494C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0.404***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DBC70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0.066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2FC77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C2AA9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0.325***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D6F89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0.022</w:t>
            </w:r>
          </w:p>
        </w:tc>
      </w:tr>
      <w:tr w:rsidR="00F66333" w:rsidRPr="002A0D56" w14:paraId="1314408E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DD68B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C8894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[0.260, 0.548]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30A028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[-0.053, 0.186]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7D0B4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58599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[0.212, 0.438]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2EEEA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[-0.083, 0.127]</w:t>
            </w:r>
          </w:p>
        </w:tc>
      </w:tr>
      <w:tr w:rsidR="00F66333" w:rsidRPr="002A0D56" w14:paraId="029AF45A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FD4E3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Memory score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AF856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0.523***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CA073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0.220***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416D3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C553A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0.457***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E4ADE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0.104</w:t>
            </w:r>
          </w:p>
        </w:tc>
      </w:tr>
      <w:tr w:rsidR="00F66333" w:rsidRPr="002A0D56" w14:paraId="1C478346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CE209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835BB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[0.380, 0.667]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23C33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[0.092, 0.349]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C2E44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7DA52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[0.336, 0.578]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F39C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[-0.010, 0.217]</w:t>
            </w:r>
          </w:p>
        </w:tc>
      </w:tr>
      <w:tr w:rsidR="00F66333" w:rsidRPr="002A0D56" w14:paraId="31175DD1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3C5F4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Calculation score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E245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0.416***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D408D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0.068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53DDD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2FBA8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0.446***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7D5AF6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0.112</w:t>
            </w:r>
          </w:p>
        </w:tc>
      </w:tr>
      <w:tr w:rsidR="00F66333" w:rsidRPr="002A0D56" w14:paraId="20847D85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6FB95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E691B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[0.280, 0.551]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312D0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[-0.047, 0.184]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65A5E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98D4A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[0.339, 0.553]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E46F2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[-0.007, 0.230]</w:t>
            </w:r>
          </w:p>
        </w:tc>
      </w:tr>
      <w:tr w:rsidR="00F66333" w:rsidRPr="002A0D56" w14:paraId="06667C42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0155C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Visuospatial skill score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02D2E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0.256***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237D8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0.024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5364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012A34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0.393***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CB486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0.129*</w:t>
            </w:r>
          </w:p>
        </w:tc>
      </w:tr>
      <w:tr w:rsidR="00F66333" w:rsidRPr="002A0D56" w14:paraId="3C7C84C2" w14:textId="77777777" w:rsidTr="00F66333"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9A1F5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6ED67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[0.123, 0.389]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E4123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[-0.089, 0.138]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25C8CF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5A47C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[0.268, 0.519]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4097B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[0.005, 0.253]</w:t>
            </w:r>
          </w:p>
        </w:tc>
      </w:tr>
      <w:tr w:rsidR="00F66333" w:rsidRPr="002A0D56" w14:paraId="74F0CE01" w14:textId="77777777" w:rsidTr="00F66333">
        <w:trPr>
          <w:gridAfter w:val="1"/>
          <w:wAfter w:w="17" w:type="dxa"/>
        </w:trPr>
        <w:tc>
          <w:tcPr>
            <w:tcW w:w="2314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0FFDCE7C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Observations</w:t>
            </w:r>
          </w:p>
        </w:tc>
        <w:tc>
          <w:tcPr>
            <w:tcW w:w="2995" w:type="dxa"/>
            <w:gridSpan w:val="2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16E733E1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1,664</w:t>
            </w:r>
          </w:p>
        </w:tc>
        <w:tc>
          <w:tcPr>
            <w:tcW w:w="267" w:type="dxa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3EBE077E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</w:p>
        </w:tc>
        <w:tc>
          <w:tcPr>
            <w:tcW w:w="2727" w:type="dxa"/>
            <w:gridSpan w:val="2"/>
            <w:tcBorders>
              <w:top w:val="nil"/>
              <w:left w:val="nil"/>
              <w:bottom w:val="double" w:sz="8" w:space="0" w:color="000000"/>
              <w:right w:val="nil"/>
            </w:tcBorders>
            <w:vAlign w:val="center"/>
          </w:tcPr>
          <w:p w14:paraId="1B3254ED" w14:textId="77777777" w:rsidR="00F66333" w:rsidRPr="002A0D56" w:rsidRDefault="00F66333" w:rsidP="00F66333">
            <w:pPr>
              <w:spacing w:after="0" w:line="280" w:lineRule="auto"/>
              <w:jc w:val="center"/>
              <w:rPr>
                <w:rFonts w:cs="Times New Roman"/>
              </w:rPr>
            </w:pPr>
            <w:r w:rsidRPr="002A0D56">
              <w:rPr>
                <w:rFonts w:cs="Times New Roman"/>
                <w:sz w:val="18"/>
                <w:szCs w:val="18"/>
              </w:rPr>
              <w:t>1,653</w:t>
            </w:r>
          </w:p>
        </w:tc>
      </w:tr>
    </w:tbl>
    <w:p w14:paraId="551BE842" w14:textId="77777777" w:rsidR="00834C90" w:rsidRPr="002A0D56" w:rsidRDefault="00752F2D" w:rsidP="00F66333">
      <w:pPr>
        <w:pStyle w:val="11"/>
      </w:pPr>
      <w:r w:rsidRPr="002A0D56">
        <w:t>Supplementary Table S2. Association between HGS Groups and Cognitive Performance among Older Adults (aged ≥60 years), Stratified by Sex</w:t>
      </w:r>
    </w:p>
    <w:p w14:paraId="2AAA1B66" w14:textId="77777777" w:rsidR="000B3C04" w:rsidRPr="000B3C04" w:rsidRDefault="00752F2D" w:rsidP="000B3C04">
      <w:pPr>
        <w:spacing w:after="0"/>
        <w:rPr>
          <w:rFonts w:eastAsia="宋体" w:cs="Times New Roman"/>
          <w:kern w:val="2"/>
          <w:sz w:val="32"/>
          <w:szCs w:val="28"/>
        </w:rPr>
      </w:pPr>
      <w:r w:rsidRPr="00F66333">
        <w:rPr>
          <w:rFonts w:cs="Times New Roman"/>
          <w:i/>
          <w:iCs/>
          <w:color w:val="000000" w:themeColor="text1"/>
          <w:sz w:val="20"/>
          <w:szCs w:val="20"/>
        </w:rPr>
        <w:t>Notes: Data are presented as regression coefficients [95% confidence interval] from weighted linear regression models restricted to participants aged ≥60 years. Outcome variables are standardised Z-scores; the predictor is the HGS trajectory group (reference: Low HGS group). Model 1 is unadjusted. Model 2 adjusted for baseline age, marital status, rural residence, log per capita household expenditure, education, functional status (ADL, IADL), health behaviours (smoking, drinking), BMI, 13 physician-diagnosed chronic conditions, and baseline global cognition. *** P &lt; 0.001, ** P &lt; 0.01, * P &lt; 0.05.</w:t>
      </w:r>
      <w:r w:rsidRPr="00F66333">
        <w:rPr>
          <w:rFonts w:cs="Times New Roman"/>
          <w:color w:val="000000" w:themeColor="text1"/>
          <w:sz w:val="20"/>
          <w:szCs w:val="20"/>
        </w:rPr>
      </w:r>
      <w:proofErr w:type="spellStart"/>
      <w:r w:rsidRPr="00F66333">
        <w:rPr>
          <w:rFonts w:cs="Times New Roman"/>
          <w:color w:val="000000" w:themeColor="text1"/>
          <w:sz w:val="20"/>
          <w:szCs w:val="20"/>
        </w:rPr>
      </w:r>
      <w:proofErr w:type="spellEnd"/>
      <w:r w:rsidRPr="00F66333">
        <w:rPr>
          <w:rFonts w:cs="Times New Roman"/>
          <w:color w:val="000000" w:themeColor="text1"/>
          <w:sz w:val="20"/>
          <w:szCs w:val="20"/>
        </w:rPr>
      </w:r>
      <w:proofErr w:type="spellStart"/>
      <w:r w:rsidRPr="00F66333">
        <w:rPr>
          <w:rFonts w:cs="Times New Roman"/>
          <w:color w:val="000000" w:themeColor="text1"/>
          <w:sz w:val="20"/>
          <w:szCs w:val="20"/>
        </w:rPr>
      </w:r>
      <w:proofErr w:type="spellEnd"/>
      <w:r w:rsidRPr="00F66333">
        <w:rPr>
          <w:rFonts w:cs="Times New Roman"/>
          <w:color w:val="000000" w:themeColor="text1"/>
          <w:sz w:val="20"/>
          <w:szCs w:val="20"/>
        </w:rPr>
      </w:r>
      <w:r w:rsidR="000B3C04" w:rsidRPr="000B3C04">
        <w:rPr>
          <w:rFonts w:eastAsia="宋体" w:cs="Times New Roman"/>
          <w:i/>
          <w:iCs/>
          <w:kern w:val="2"/>
          <w:sz w:val="20"/>
          <w:szCs w:val="20"/>
        </w:rPr>
      </w:r>
    </w:p>
    <w:p w14:paraId="5AE9CF5A" w14:textId="77777777" w:rsidR="001A2BC2" w:rsidRPr="001A2BC2" w:rsidRDefault="001A2BC2" w:rsidP="001A2BC2">
      <w:pPr>
        <w:pStyle w:val="a0"/>
        <w:rPr>
          <w:rFonts w:cs="Times New Roman"/>
          <w:i/>
          <w:iCs/>
          <w:color w:val="000000" w:themeColor="text1"/>
          <w:sz w:val="20"/>
          <w:szCs w:val="20"/>
        </w:rPr>
      </w:pPr>
    </w:p>
    <w:p w14:paraId="56C48B7B" w14:textId="77777777" w:rsidR="00474ECC" w:rsidRPr="002A0D56" w:rsidRDefault="00474ECC" w:rsidP="001A2BC2">
      <w:pPr>
        <w:pStyle w:val="a0"/>
        <w:rPr>
          <w:rFonts w:cs="Times New Roman"/>
          <w:color w:val="000000" w:themeColor="text1"/>
        </w:rPr>
      </w:pPr>
      <w:r w:rsidRPr="002A0D56">
        <w:rPr>
          <w:rFonts w:cs="Times New Roman"/>
          <w:color w:val="000000" w:themeColor="text1"/>
        </w:rPr>
        <w:br w:type="page"/>
      </w:r>
    </w:p>
    <w:p w14:paraId="4D27DB14" w14:textId="77777777" w:rsidR="00834C90" w:rsidRPr="002A0D56" w:rsidRDefault="00752F2D" w:rsidP="0077129A">
      <w:pPr>
        <w:pStyle w:val="11"/>
      </w:pPr>
      <w:bookmarkStart w:id="4" w:name="X3a48db906f87ea1f2645bd6bff34434d4168c47"/>
      <w:r w:rsidRPr="002A0D56">
        <w:rPr>
          <w:noProof/>
        </w:rPr>
        <w:drawing>
          <wp:anchor distT="0" distB="0" distL="114300" distR="114300" simplePos="0" relativeHeight="251658240" behindDoc="0" locked="0" layoutInCell="1" allowOverlap="1" wp14:anchorId="73984CA4" wp14:editId="34C1327B">
            <wp:simplePos x="0" y="0"/>
            <wp:positionH relativeFrom="column">
              <wp:posOffset>884598</wp:posOffset>
            </wp:positionH>
            <wp:positionV relativeFrom="paragraph">
              <wp:posOffset>1369633</wp:posOffset>
            </wp:positionV>
            <wp:extent cx="3494055" cy="3405190"/>
            <wp:effectExtent l="0" t="0" r="0" b="5080"/>
            <wp:wrapTopAndBottom/>
            <wp:docPr id="9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84ADFC62-F771-467E-9199-E30747B53B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84ADFC62-F771-467E-9199-E30747B53B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055" cy="340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0D56">
        <w:t xml:space="preserve">Supplementary Figure S1. </w:t>
      </w:r>
      <w:proofErr w:type="spellStart"/>
      <w:r w:rsidRPr="002A0D56">
        <w:t>Polychoric</w:t>
      </w:r>
      <w:proofErr w:type="spellEnd"/>
      <w:r w:rsidRPr="002A0D56">
        <w:t xml:space="preserve"> Correlation Matrix of HGS Trajectory Group Assignments across Three Longitudinal Clustering Algorithms</w:t>
      </w:r>
    </w:p>
    <w:p w14:paraId="0D0C6F9A" w14:textId="77777777" w:rsidR="00834C90" w:rsidRPr="0077129A" w:rsidRDefault="00752F2D" w:rsidP="0077129A">
      <w:pPr>
        <w:pStyle w:val="a0"/>
        <w:rPr>
          <w:rFonts w:cs="Times New Roman"/>
          <w:color w:val="000000" w:themeColor="text1"/>
          <w:sz w:val="20"/>
          <w:szCs w:val="20"/>
        </w:rPr>
      </w:pPr>
      <w:r w:rsidRPr="0077129A">
        <w:rPr>
          <w:rFonts w:cs="Times New Roman"/>
          <w:i/>
          <w:iCs/>
          <w:color w:val="000000" w:themeColor="text1"/>
          <w:sz w:val="20"/>
          <w:szCs w:val="20"/>
        </w:rPr>
        <w:t>Notes:</w:t>
      </w:r>
      <w:r w:rsidRPr="0077129A">
        <w:rPr>
          <w:rFonts w:cs="Times New Roman"/>
          <w:color w:val="000000" w:themeColor="text1"/>
          <w:sz w:val="20"/>
          <w:szCs w:val="20"/>
        </w:rPr>
        <w:t xml:space="preserve"> Values in the upper triangle represent correlations for women, and values in the lower triangle represent correlations for men. All pairwise </w:t>
      </w:r>
      <w:proofErr w:type="spellStart"/>
      <w:r w:rsidRPr="0077129A">
        <w:rPr>
          <w:rFonts w:cs="Times New Roman"/>
          <w:color w:val="000000" w:themeColor="text1"/>
          <w:sz w:val="20"/>
          <w:szCs w:val="20"/>
        </w:rPr>
        <w:t>polychoric</w:t>
      </w:r>
      <w:proofErr w:type="spellEnd"/>
      <w:r w:rsidRPr="0077129A">
        <w:rPr>
          <w:rFonts w:cs="Times New Roman"/>
          <w:color w:val="000000" w:themeColor="text1"/>
          <w:sz w:val="20"/>
          <w:szCs w:val="20"/>
        </w:rPr>
        <w:t xml:space="preserve"> correlations exceeded 0.85, indicating exceptional concordance in trajectory group assignment across methods.</w:t>
      </w:r>
      <w:bookmarkEnd w:id="0"/>
      <w:bookmarkEnd w:id="4"/>
    </w:p>
    <w:p w14:paraId="3122188D" w14:textId="77777777" w:rsidR="00F87987" w:rsidRDefault="00F87987"/>
    <w:p w14:paraId="04149625" w14:textId="77777777" w:rsidR="00F87987" w:rsidRDefault="00505E17">
      <w:pPr>
        <w:pStyle w:val="11"/>
      </w:pPr>
      <w:r>
        <w:t>Supplementary Figure S2. Associations between HGS Trajectory Groups and Cognitive Sub-domains across Three Clustering Algorithms, Stratified by Sex</w:t>
      </w:r>
    </w:p>
    <w:p w14:paraId="24D0B068" w14:textId="77777777" w:rsidR="00F87987" w:rsidRDefault="00505E17">
      <w:r>
        <w:rPr>
          <w:noProof/>
        </w:rPr>
        <w:drawing>
          <wp:inline distT="0" distB="0" distL="0" distR="0" wp14:anchorId="72BA58BF" wp14:editId="71EB7CD6">
            <wp:extent cx="5486400" cy="4114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 S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4AA3" w14:textId="77777777" w:rsidR="00F87987" w:rsidRPr="007B2313" w:rsidRDefault="00505E17">
      <w:pPr>
        <w:rPr>
          <w:sz w:val="20"/>
          <w:szCs w:val="20"/>
        </w:rPr>
      </w:pPr>
      <w:r w:rsidRPr="007B2313">
        <w:rPr>
          <w:i/>
          <w:sz w:val="20"/>
          <w:szCs w:val="20"/>
        </w:rPr>
        <w:t>Notes: Four-panel forest plot showing fully adjusted standardised regression coefficients (β) and 95% confidence intervals for the association between High HGS group membership (reference: Low HGS group) and four cognitive sub-domains: orientation, episodic memory, calculation, and visuospatial function. Estimates are from inverse-probability-of-inclusion-weighted linear regression models adjusted for baseline age, marital status, rural residence, log per capita household expenditure, education, functional status (ADL, IADL), health behaviours (smoking, drinking), BMI, 13 physician-diagnosed chronic conditions, and baseline global cognition. Blue markers represent estimates for men; red markers represent estimates for women. The dashed vertical line marks β = 0 (no association). GBTM = group-based trajectory modelling; Hierarchical = hierarchical clustering for multivariate longitudinal data; K-means = longitudinal K-means clustering. The companion figure for global cognition is shown in main-text Figure 3.</w:t>
      </w:r>
      <w:proofErr w:type="gramStart"/>
      <w:r w:rsidRPr="007B2313">
        <w:rPr>
          <w:sz w:val="20"/>
          <w:szCs w:val="20"/>
        </w:rPr>
      </w:r>
      <w:r w:rsidRPr="007B2313">
        <w:rPr>
          <w:sz w:val="20"/>
          <w:szCs w:val="20"/>
        </w:rPr>
      </w:r>
      <w:proofErr w:type="gramEnd"/>
      <w:r w:rsidRPr="007B2313">
        <w:rPr>
          <w:sz w:val="20"/>
          <w:szCs w:val="20"/>
        </w:rPr>
      </w:r>
      <w:r w:rsidRPr="007B2313">
        <w:rPr>
          <w:sz w:val="20"/>
          <w:szCs w:val="20"/>
        </w:rPr>
      </w:r>
      <w:r w:rsidRPr="007B2313">
        <w:rPr>
          <w:sz w:val="20"/>
          <w:szCs w:val="20"/>
        </w:rPr>
      </w:r>
      <w:proofErr w:type="spellStart"/>
      <w:r w:rsidRPr="007B2313">
        <w:rPr>
          <w:sz w:val="20"/>
          <w:szCs w:val="20"/>
        </w:rPr>
      </w:r>
      <w:proofErr w:type="spellEnd"/>
      <w:r w:rsidRPr="007B2313">
        <w:rPr>
          <w:sz w:val="20"/>
          <w:szCs w:val="20"/>
        </w:rPr>
      </w:r>
      <w:r w:rsidRPr="007B2313">
        <w:rPr>
          <w:sz w:val="20"/>
          <w:szCs w:val="20"/>
        </w:rPr>
      </w:r>
    </w:p>
    <w:sectPr w:rsidR="00F87987" w:rsidRPr="007B2313">
      <w:footnotePr>
        <w:numRestart w:val="eachSect"/>
      </w:footnotePr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C0C8B" w14:textId="77777777" w:rsidR="00505E17" w:rsidRDefault="00505E17" w:rsidP="002A0D56">
      <w:pPr>
        <w:spacing w:after="0" w:line="240" w:lineRule="auto"/>
      </w:pPr>
      <w:r>
        <w:separator/>
      </w:r>
    </w:p>
  </w:endnote>
  <w:endnote w:type="continuationSeparator" w:id="0">
    <w:p w14:paraId="5A832947" w14:textId="77777777" w:rsidR="00505E17" w:rsidRDefault="00505E17" w:rsidP="002A0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A75A9" w14:textId="77777777" w:rsidR="00505E17" w:rsidRDefault="00505E17" w:rsidP="002A0D56">
      <w:pPr>
        <w:spacing w:after="0" w:line="240" w:lineRule="auto"/>
      </w:pPr>
      <w:r>
        <w:separator/>
      </w:r>
    </w:p>
  </w:footnote>
  <w:footnote w:type="continuationSeparator" w:id="0">
    <w:p w14:paraId="10F92AD5" w14:textId="77777777" w:rsidR="00505E17" w:rsidRDefault="00505E17" w:rsidP="002A0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66F7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C90"/>
    <w:rsid w:val="000B3C04"/>
    <w:rsid w:val="001A2BC2"/>
    <w:rsid w:val="00272731"/>
    <w:rsid w:val="002A0D56"/>
    <w:rsid w:val="00474ECC"/>
    <w:rsid w:val="00505E17"/>
    <w:rsid w:val="00506795"/>
    <w:rsid w:val="005D6776"/>
    <w:rsid w:val="0067312E"/>
    <w:rsid w:val="006766D5"/>
    <w:rsid w:val="00752F2D"/>
    <w:rsid w:val="0077129A"/>
    <w:rsid w:val="007B2313"/>
    <w:rsid w:val="007D25CA"/>
    <w:rsid w:val="00834C90"/>
    <w:rsid w:val="00881090"/>
    <w:rsid w:val="00CE247E"/>
    <w:rsid w:val="00E34D58"/>
    <w:rsid w:val="00F036E8"/>
    <w:rsid w:val="00F66333"/>
    <w:rsid w:val="00F8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465603"/>
  <w15:docId w15:val="{CEFE62A2-AEB5-4F06-A9AE-6737E341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4"/>
        <w:szCs w:val="24"/>
        <w:lang w:val="en-US" w:eastAsia="zh-CN" w:bidi="ar-SA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2A0D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A0D56"/>
    <w:rPr>
      <w:sz w:val="18"/>
      <w:szCs w:val="18"/>
    </w:rPr>
  </w:style>
  <w:style w:type="paragraph" w:styleId="af2">
    <w:name w:val="footer"/>
    <w:basedOn w:val="a"/>
    <w:link w:val="af3"/>
    <w:unhideWhenUsed/>
    <w:rsid w:val="002A0D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2A0D56"/>
    <w:rPr>
      <w:sz w:val="18"/>
      <w:szCs w:val="18"/>
    </w:rPr>
  </w:style>
  <w:style w:type="paragraph" w:customStyle="1" w:styleId="11">
    <w:name w:val="样式1"/>
    <w:basedOn w:val="2"/>
    <w:link w:val="12"/>
    <w:qFormat/>
    <w:rsid w:val="00F66333"/>
    <w:rPr>
      <w:rFonts w:asciiTheme="minorHAnsi" w:hAnsiTheme="minorHAnsi" w:cs="Times New Roman"/>
      <w:b/>
      <w:bCs/>
      <w:color w:val="000000" w:themeColor="text1"/>
      <w:sz w:val="28"/>
      <w:szCs w:val="28"/>
    </w:rPr>
  </w:style>
  <w:style w:type="character" w:customStyle="1" w:styleId="12">
    <w:name w:val="样式1 字符"/>
    <w:basedOn w:val="20"/>
    <w:link w:val="11"/>
    <w:rsid w:val="00F66333"/>
    <w:rPr>
      <w:rFonts w:asciiTheme="minorHAnsi" w:eastAsiaTheme="majorEastAsia" w:hAnsiTheme="minorHAnsi" w:cs="Times New Roman"/>
      <w:b/>
      <w:bCs/>
      <w:color w:val="000000" w:themeColor="text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1178</Words>
  <Characters>6721</Characters>
  <Application>Microsoft Office Word</Application>
  <DocSecurity>0</DocSecurity>
  <Lines>56</Lines>
  <Paragraphs>15</Paragraphs>
  <ScaleCrop>false</ScaleCrop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来泽</cp:lastModifiedBy>
  <cp:revision>6</cp:revision>
  <dcterms:created xsi:type="dcterms:W3CDTF">2026-04-14T04:37:00Z</dcterms:created>
  <dcterms:modified xsi:type="dcterms:W3CDTF">2026-04-16T23:15:00Z</dcterms:modified>
</cp:coreProperties>
</file>