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Pr>
        <w:t>REFEREE REPORT</w:t>
      </w:r>
    </w:p>
    <w:p>
      <w:pPr>
        <w:spacing w:after="40"/>
        <w:jc w:val="center"/>
      </w:pPr>
      <w:r>
        <w:rPr>
          <w:rFonts w:ascii="Times New Roman" w:hAnsi="Times New Roman"/>
          <w:b w:val="0"/>
          <w:i/>
          <w:sz w:val="22"/>
        </w:rPr>
        <w:t>Age and Ageing</w:t>
      </w:r>
    </w:p>
    <w:p>
      <w:pPr>
        <w:spacing w:after="200"/>
        <w:jc w:val="center"/>
      </w:pPr>
      <w:r>
        <w:rPr>
          <w:rFonts w:ascii="Times New Roman" w:hAnsi="Times New Roman"/>
          <w:b w:val="0"/>
          <w:i w:val="0"/>
          <w:sz w:val="22"/>
        </w:rPr>
        <w:t>“Sex-Specific Handgrip Strength Trajectories and Cognitive Performance in Older Chinese Adults: A Longitudinal Cohort Study”</w:t>
      </w:r>
    </w:p>
    <w:p>
      <w:pPr>
        <w:spacing w:before="80" w:after="80"/>
        <w:pBdr>
          <w:bottom w:val="single" w:sz="4" w:space="1" w:color="888888"/>
        </w:pBdr>
      </w:pPr>
    </w:p>
    <w:p>
      <w:pPr>
        <w:spacing w:before="120" w:after="120"/>
      </w:pPr>
      <w:r>
        <w:rPr>
          <w:rFonts w:ascii="Times New Roman" w:hAnsi="Times New Roman"/>
          <w:b/>
          <w:i w:val="0"/>
          <w:sz w:val="22"/>
        </w:rPr>
        <w:t xml:space="preserve">Recommendation:  </w:t>
      </w:r>
      <w:r>
        <w:rPr>
          <w:rFonts w:ascii="Times New Roman" w:hAnsi="Times New Roman"/>
          <w:b/>
          <w:i w:val="0"/>
          <w:color w:val="A00000"/>
          <w:sz w:val="22"/>
        </w:rPr>
        <w:t>Major Revision</w:t>
      </w:r>
    </w:p>
    <w:p>
      <w:pPr>
        <w:spacing w:before="80" w:after="80"/>
        <w:pBdr>
          <w:bottom w:val="single" w:sz="4" w:space="1" w:color="888888"/>
        </w:pBdr>
      </w:pPr>
    </w:p>
    <w:p>
      <w:pPr>
        <w:spacing w:before="280" w:after="80"/>
      </w:pPr>
      <w:r>
        <w:rPr>
          <w:rFonts w:ascii="Times New Roman" w:hAnsi="Times New Roman"/>
          <w:b/>
          <w:i w:val="0"/>
          <w:sz w:val="24"/>
        </w:rPr>
        <w:t>SUMMARY</w:t>
      </w:r>
    </w:p>
    <w:p>
      <w:pPr>
        <w:spacing w:after="120" w:before="0"/>
      </w:pPr>
      <w:r>
        <w:rPr>
          <w:rFonts w:ascii="Times New Roman" w:hAnsi="Times New Roman"/>
          <w:b w:val="0"/>
          <w:i w:val="0"/>
          <w:sz w:val="22"/>
        </w:rPr>
        <w:t>This paper uses group-based trajectory modelling (GBTM) on three waves of handgrip strength (HGS) data from CHARLS (2011–2015) to classify 8,714 middle-aged and older Chinese adults into High and Low HGS trajectory groups, then estimates the association of group membership with cognitive performance assessed in 2018. Analyses are conducted separately by sex, and trajectory classification is validated against two non-parametric clustering algorithms. The authors report that higher HGS trajectories are associated with better global cognition, episodic memory, and orientation in women, and with better visuospatial performance in men, with more pronounced effects in adults aged ≥60 years.</w:t>
      </w:r>
    </w:p>
    <w:p>
      <w:pPr>
        <w:spacing w:after="120" w:before="0"/>
      </w:pPr>
      <w:r>
        <w:rPr>
          <w:rFonts w:ascii="Times New Roman" w:hAnsi="Times New Roman"/>
          <w:b w:val="0"/>
          <w:i w:val="0"/>
          <w:sz w:val="22"/>
        </w:rPr>
        <w:t>The research question is timely and the dataset is well suited to address it. The sex-stratified, multi-method design represents a meaningful advance over prior cross-sectional or single-wave studies. However, several methodological concerns limit the strength of the conclusions that can currently be drawn. Two issues in particular—the absence of a formal sex-moderation test and the failure to establish that trajectory information adds value beyond baseline HGS level—are important enough to require new analyses before the paper can be recommended for publication.</w:t>
      </w:r>
    </w:p>
    <w:p>
      <w:pPr>
        <w:spacing w:before="280" w:after="80"/>
      </w:pPr>
      <w:r>
        <w:rPr>
          <w:rFonts w:ascii="Times New Roman" w:hAnsi="Times New Roman"/>
          <w:b/>
          <w:i w:val="0"/>
          <w:sz w:val="24"/>
        </w:rPr>
        <w:t>MAJOR COMMENTS</w:t>
      </w:r>
    </w:p>
    <w:p>
      <w:pPr>
        <w:spacing w:after="160" w:before="60"/>
        <w:ind w:left="576" w:hanging="576"/>
      </w:pPr>
      <w:r>
        <w:rPr>
          <w:rFonts w:ascii="Times New Roman" w:hAnsi="Times New Roman"/>
          <w:b/>
          <w:i w:val="0"/>
          <w:sz w:val="22"/>
        </w:rPr>
        <w:t xml:space="preserve">1.  </w:t>
      </w:r>
      <w:r>
        <w:rPr>
          <w:rFonts w:ascii="Times New Roman" w:hAnsi="Times New Roman"/>
          <w:b/>
          <w:i w:val="0"/>
          <w:sz w:val="22"/>
        </w:rPr>
        <w:t xml:space="preserve">Trajectory information versus baseline level.  </w:t>
      </w:r>
      <w:r>
        <w:rPr>
          <w:rFonts w:ascii="Times New Roman" w:hAnsi="Times New Roman"/>
          <w:b w:val="0"/>
          <w:i w:val="0"/>
          <w:sz w:val="22"/>
        </w:rPr>
        <w:t>The paper’s central motivation is that longitudinal HGS trajectories capture information that cross-sectional or single-measurement approaches cannot. Yet Figure 2 shows that both the High and Low groups decline roughly in parallel across the three waves, with the primary distinction being initial level rather than rate of change. If trajectory group membership is essentially a restatement of average baseline HGS, the added value of repeated measurement is unclear. The authors should formally test whether HGS trajectory group membership predicts Wave 4 cognition beyond what a single baseline HGS value predicts—for example, by adding Model 3 specifications in which observed baseline HGS (continuous) replaces trajectory group membership, and comparing standardised effect sizes. Without this test, the rationale for the trajectory-modelling framework, as opposed to a simpler baseline-measurement approach, is not established.</w:t>
      </w:r>
    </w:p>
    <w:p>
      <w:pPr>
        <w:spacing w:after="160" w:before="60"/>
        <w:ind w:left="576" w:hanging="576"/>
      </w:pPr>
      <w:r>
        <w:rPr>
          <w:rFonts w:ascii="Times New Roman" w:hAnsi="Times New Roman"/>
          <w:b/>
          <w:i w:val="0"/>
          <w:sz w:val="22"/>
        </w:rPr>
        <w:t xml:space="preserve">2.  </w:t>
      </w:r>
      <w:r>
        <w:rPr>
          <w:rFonts w:ascii="Times New Roman" w:hAnsi="Times New Roman"/>
          <w:b/>
          <w:i w:val="0"/>
          <w:sz w:val="22"/>
        </w:rPr>
        <w:t xml:space="preserve">Absence of a formal sex-moderation test.  </w:t>
      </w:r>
      <w:r>
        <w:rPr>
          <w:rFonts w:ascii="Times New Roman" w:hAnsi="Times New Roman"/>
          <w:b w:val="0"/>
          <w:i w:val="0"/>
          <w:sz w:val="22"/>
        </w:rPr>
        <w:t>The paper compares sex-stratified results and concludes that associations are ‘sex-specific’ and reflect ‘distinct sex-specific cognitive phenotypes.’ However, this conclusion rests on an informal comparison of two separate models, not a formal interaction test. A pooled model including a sex × HGS-group interaction term is needed to determine whether the between-sex differences in effect pattern are statistically distinguishable from chance variation across subgroups. This is particularly important given that the visuospatial finding in men and the orientation finding in women both have confidence intervals that include zero or near-zero at conventional thresholds. The interaction analysis should be added, at minimum as a supplementary table.</w:t>
      </w:r>
    </w:p>
    <w:p>
      <w:pPr>
        <w:spacing w:after="160" w:before="60"/>
        <w:ind w:left="576" w:hanging="576"/>
      </w:pPr>
      <w:r>
        <w:rPr>
          <w:rFonts w:ascii="Times New Roman" w:hAnsi="Times New Roman"/>
          <w:b/>
          <w:i w:val="0"/>
          <w:sz w:val="22"/>
        </w:rPr>
        <w:t xml:space="preserve">3.  </w:t>
      </w:r>
      <w:r>
        <w:rPr>
          <w:rFonts w:ascii="Times New Roman" w:hAnsi="Times New Roman"/>
          <w:b/>
          <w:i w:val="0"/>
          <w:sz w:val="22"/>
        </w:rPr>
        <w:t xml:space="preserve">Multiple comparisons and the prominence of the exploratory caveat.  </w:t>
      </w:r>
      <w:r>
        <w:rPr>
          <w:rFonts w:ascii="Times New Roman" w:hAnsi="Times New Roman"/>
          <w:b w:val="0"/>
          <w:i w:val="0"/>
          <w:sz w:val="22"/>
        </w:rPr>
        <w:t>The paper tests five cognitive outcomes in two sex strata, yielding ten primary comparisons per model. Under a Bonferroni-corrected threshold of P &lt; 0.005, several domain-specific associations—notably orientation in women (P ≈0.045) and visuospatial function in women (P ≈0.053, not significant)—would not survive correction. The paper acknowledges exploratory status in a single sentence, but this caveat must be more prominent. Specifically: (a) the Abstract should not present the orientation finding as a confirmed result without qualification; (b) the Key Points bullets should be softened accordingly; and (c) the Discussion should state explicitly that domain-specific findings require independent replication before conclusions about distinct cognitive phenotypes can be drawn.</w:t>
      </w:r>
    </w:p>
    <w:p>
      <w:pPr>
        <w:spacing w:after="160" w:before="60"/>
        <w:ind w:left="576" w:hanging="576"/>
      </w:pPr>
      <w:r>
        <w:rPr>
          <w:rFonts w:ascii="Times New Roman" w:hAnsi="Times New Roman"/>
          <w:b/>
          <w:i w:val="0"/>
          <w:sz w:val="22"/>
        </w:rPr>
        <w:t xml:space="preserve">4.  </w:t>
      </w:r>
      <w:r>
        <w:rPr>
          <w:rFonts w:ascii="Times New Roman" w:hAnsi="Times New Roman"/>
          <w:b/>
          <w:i w:val="0"/>
          <w:sz w:val="22"/>
        </w:rPr>
        <w:t xml:space="preserve">Justification and visualisation of the two-group solution.  </w:t>
      </w:r>
      <w:r>
        <w:rPr>
          <w:rFonts w:ascii="Times New Roman" w:hAnsi="Times New Roman"/>
          <w:b w:val="0"/>
          <w:i w:val="0"/>
          <w:sz w:val="22"/>
        </w:rPr>
        <w:t>The BIC-based selection of a two-group model is described narratively but the BIC values are never shown. A figure plotting BIC (or ΔBIC) against the number of groups (one to six) is standard practice in GBTM studies and is required by the GRoLTS reporting guidelines (reference 18 in the manuscript). This figure should be added to the Supplementary Data. Additionally, for a sample of approximately 4,760 women and 3,954 men, a two-group solution may be overly parsimonious. The authors should report whether three- or four-group models revealed clinically distinct subgroups (e.g., a ‘rapidly declining’ group) that were ultimately collapsed, and provide fuller justification for retaining only two groups beyond the BIC elbow.</w:t>
      </w:r>
    </w:p>
    <w:p>
      <w:pPr>
        <w:spacing w:after="160" w:before="60"/>
        <w:ind w:left="576" w:hanging="576"/>
      </w:pPr>
      <w:r>
        <w:rPr>
          <w:rFonts w:ascii="Times New Roman" w:hAnsi="Times New Roman"/>
          <w:b/>
          <w:i w:val="0"/>
          <w:sz w:val="22"/>
        </w:rPr>
        <w:t xml:space="preserve">5.  </w:t>
      </w:r>
      <w:r>
        <w:rPr>
          <w:rFonts w:ascii="Times New Roman" w:hAnsi="Times New Roman"/>
          <w:b/>
          <w:i w:val="0"/>
          <w:sz w:val="22"/>
        </w:rPr>
        <w:t xml:space="preserve">Missing data and the plausibility of the MAR assumption.  </w:t>
      </w:r>
      <w:r>
        <w:rPr>
          <w:rFonts w:ascii="Times New Roman" w:hAnsi="Times New Roman"/>
          <w:b w:val="0"/>
          <w:i w:val="0"/>
          <w:sz w:val="22"/>
        </w:rPr>
        <w:t>Approximately 27% of eligible respondents were excluded (11,988 → 8,714), predominantly for missing HGS or cognitive data. Inverse-probability weighting under missing at random (MAR) is applied, but no attrition-bias diagnostics are presented. The following should be added: (a) a comparison of baseline characteristics between included and excluded participants; (b) the range and distribution of IPW weights, including whether extreme weights were trimmed or stabilised; and (c) an explicit acknowledgement that MAR is unlikely to hold if individuals with concurrent physical and cognitive impairment are preferentially lost—in which case IPW would underestimate the true association. If feasible, a sensitivity analysis using pattern mixture modelling or Rosenbaum-style bounds would strengthen the paper.</w:t>
      </w:r>
    </w:p>
    <w:p>
      <w:pPr>
        <w:spacing w:after="160" w:before="60"/>
        <w:ind w:left="576" w:hanging="576"/>
      </w:pPr>
      <w:r>
        <w:rPr>
          <w:rFonts w:ascii="Times New Roman" w:hAnsi="Times New Roman"/>
          <w:b/>
          <w:i w:val="0"/>
          <w:sz w:val="22"/>
        </w:rPr>
        <w:t xml:space="preserve">6.  </w:t>
      </w:r>
      <w:r>
        <w:rPr>
          <w:rFonts w:ascii="Times New Roman" w:hAnsi="Times New Roman"/>
          <w:b/>
          <w:i w:val="0"/>
          <w:sz w:val="22"/>
        </w:rPr>
        <w:t xml:space="preserve">Cognitive Z-score standardisation.  </w:t>
      </w:r>
      <w:r>
        <w:rPr>
          <w:rFonts w:ascii="Times New Roman" w:hAnsi="Times New Roman"/>
          <w:b w:val="0"/>
          <w:i w:val="0"/>
          <w:sz w:val="22"/>
        </w:rPr>
        <w:t>The paper states that domain-specific Z-scores were the outcomes but does not specify whether standardisation used the mean and SD of the full analytic sample, within-sex distributions, or an external reference. Given the large sex gap in raw cognitive scores (global score 13.3 versus 15.5), a one-SD shift in a pooled distribution represents a different absolute change for women and men, complicating cross-sex comparisons of effect sizes. The standardisation approach must be stated explicitly, and if pooled Z-scores were used, the authors should confirm that this does not distort the sex comparisons.</w:t>
      </w:r>
    </w:p>
    <w:p>
      <w:pPr>
        <w:spacing w:after="160" w:before="60"/>
        <w:ind w:left="576" w:hanging="576"/>
      </w:pPr>
      <w:r>
        <w:rPr>
          <w:rFonts w:ascii="Times New Roman" w:hAnsi="Times New Roman"/>
          <w:b/>
          <w:i w:val="0"/>
          <w:sz w:val="22"/>
        </w:rPr>
        <w:t xml:space="preserve">7.  </w:t>
      </w:r>
      <w:r>
        <w:rPr>
          <w:rFonts w:ascii="Times New Roman" w:hAnsi="Times New Roman"/>
          <w:b/>
          <w:i w:val="0"/>
          <w:sz w:val="22"/>
        </w:rPr>
        <w:t xml:space="preserve">The 22 kg and 33 kg reference values and their clinical framing.  </w:t>
      </w:r>
      <w:r>
        <w:rPr>
          <w:rFonts w:ascii="Times New Roman" w:hAnsi="Times New Roman"/>
          <w:b w:val="0"/>
          <w:i w:val="0"/>
          <w:sz w:val="22"/>
        </w:rPr>
        <w:t>A Key Points bullet states that ‘a model-estimated intercept of approximately 22 kg in women may serve as an empirical reference point for research benchmarking.’ The Asian Working Group for Sarcopenia (AWGS 2019) already defines possible sarcopenia thresholds at &lt;20 kg (women) and &lt;28 kg (men) for Asian populations. The Low-group mean of 22 kg in women sits between the AWGS possible and probable sarcopenia cut-offs, and the 33 kg mean in men falls above the AWGS criteria entirely. Presenting model-estimated group means as reference points for screening—even with caveats—without contextualising them against AWGS 2019 risks misrepresenting their clinical standing. The Key Points bullet should be removed or rewritten to make clear that these are descriptive group means in this particular sample; and the Discussion should include explicit comparison with AWGS 2019 thresholds.</w:t>
      </w:r>
    </w:p>
    <w:p>
      <w:pPr>
        <w:spacing w:before="280" w:after="80"/>
      </w:pPr>
      <w:r>
        <w:rPr>
          <w:rFonts w:ascii="Times New Roman" w:hAnsi="Times New Roman"/>
          <w:b/>
          <w:i w:val="0"/>
          <w:sz w:val="24"/>
        </w:rPr>
        <w:t>MINOR COMMENTS</w:t>
      </w:r>
    </w:p>
    <w:p>
      <w:pPr>
        <w:spacing w:after="160" w:before="60"/>
        <w:ind w:left="576" w:hanging="576"/>
      </w:pPr>
      <w:r>
        <w:rPr>
          <w:rFonts w:ascii="Times New Roman" w:hAnsi="Times New Roman"/>
          <w:b/>
          <w:i w:val="0"/>
          <w:sz w:val="22"/>
        </w:rPr>
        <w:t xml:space="preserve">1.  </w:t>
      </w:r>
      <w:r>
        <w:rPr>
          <w:rFonts w:ascii="Times New Roman" w:hAnsi="Times New Roman"/>
          <w:b/>
          <w:i w:val="0"/>
          <w:sz w:val="22"/>
        </w:rPr>
        <w:t xml:space="preserve">Top-coding of HGS at 60 kg.  </w:t>
      </w:r>
      <w:r>
        <w:rPr>
          <w:rFonts w:ascii="Times New Roman" w:hAnsi="Times New Roman"/>
          <w:b w:val="0"/>
          <w:i w:val="0"/>
          <w:sz w:val="22"/>
        </w:rPr>
        <w:t>The Methods state that HGS was top-coded at 60 kg, but Figure 2 shows group means well below 40 kg, suggesting this ceiling is rarely binding. The number of participants affected and the rationale for 60 kg as the ceiling should be stated.</w:t>
      </w:r>
    </w:p>
    <w:p>
      <w:pPr>
        <w:spacing w:after="160" w:before="60"/>
        <w:ind w:left="576" w:hanging="576"/>
      </w:pPr>
      <w:r>
        <w:rPr>
          <w:rFonts w:ascii="Times New Roman" w:hAnsi="Times New Roman"/>
          <w:b/>
          <w:i w:val="0"/>
          <w:sz w:val="22"/>
        </w:rPr>
        <w:t xml:space="preserve">2.  </w:t>
      </w:r>
      <w:r>
        <w:rPr>
          <w:rFonts w:ascii="Times New Roman" w:hAnsi="Times New Roman"/>
          <w:b/>
          <w:i w:val="0"/>
          <w:sz w:val="22"/>
        </w:rPr>
        <w:t xml:space="preserve">Pentagon copying labelled as visuospatial function.  </w:t>
      </w:r>
      <w:r>
        <w:rPr>
          <w:rFonts w:ascii="Times New Roman" w:hAnsi="Times New Roman"/>
          <w:b w:val="0"/>
          <w:i w:val="0"/>
          <w:sz w:val="22"/>
        </w:rPr>
        <w:t>The visuospatial score derives from a single item—copying overlapping pentagons. This task primarily captures constructional ability and fine motor control, and its validity as a measure of visuospatial processing broadly defined is limited. The label ‘visuospatial function’ should be qualified throughout (e.g., ‘constructional visuospatial ability’), and the Discussion of the sex-specific visuospatial finding in men should acknowledge this constraint explicitly.</w:t>
      </w:r>
    </w:p>
    <w:p>
      <w:pPr>
        <w:spacing w:after="160" w:before="60"/>
        <w:ind w:left="576" w:hanging="576"/>
      </w:pPr>
      <w:r>
        <w:rPr>
          <w:rFonts w:ascii="Times New Roman" w:hAnsi="Times New Roman"/>
          <w:b/>
          <w:i w:val="0"/>
          <w:sz w:val="22"/>
        </w:rPr>
        <w:t xml:space="preserve">3.  </w:t>
      </w:r>
      <w:r>
        <w:rPr>
          <w:rFonts w:ascii="Times New Roman" w:hAnsi="Times New Roman"/>
          <w:b/>
          <w:i w:val="0"/>
          <w:sz w:val="22"/>
        </w:rPr>
        <w:t xml:space="preserve">Clinical significance of the orientation finding in women.  </w:t>
      </w:r>
      <w:r>
        <w:rPr>
          <w:rFonts w:ascii="Times New Roman" w:hAnsi="Times New Roman"/>
          <w:b w:val="0"/>
          <w:i w:val="0"/>
          <w:sz w:val="22"/>
        </w:rPr>
        <w:t>The paper reports a significant HGS–orientation association in women (P ≈0.045) but does not contextualise it clinically. Orientation deficits are a hallmark of early dementia—and specifically of Alzheimer-type pathology—rather than of normal cognitive ageing. If this association is robust, it carries more serious clinical implications than an episodic memory association of similar magnitude, and the Discussion should address this distinction directly.</w:t>
      </w:r>
    </w:p>
    <w:p>
      <w:pPr>
        <w:spacing w:after="160" w:before="60"/>
        <w:ind w:left="576" w:hanging="576"/>
      </w:pPr>
      <w:r>
        <w:rPr>
          <w:rFonts w:ascii="Times New Roman" w:hAnsi="Times New Roman"/>
          <w:b/>
          <w:i w:val="0"/>
          <w:sz w:val="22"/>
        </w:rPr>
        <w:t xml:space="preserve">4.  </w:t>
      </w:r>
      <w:r>
        <w:rPr>
          <w:rFonts w:ascii="Times New Roman" w:hAnsi="Times New Roman"/>
          <w:b/>
          <w:i w:val="0"/>
          <w:sz w:val="22"/>
        </w:rPr>
        <w:t xml:space="preserve">Age mixing across midlife and older age.  </w:t>
      </w:r>
      <w:r>
        <w:rPr>
          <w:rFonts w:ascii="Times New Roman" w:hAnsi="Times New Roman"/>
          <w:b w:val="0"/>
          <w:i w:val="0"/>
          <w:sz w:val="22"/>
        </w:rPr>
        <w:t>The analytic sample spans ages 45–80. HGS–cognition relationships differ substantially between midlife (45–64) and older adulthood (≥65). Although a ≥60 subgroup analysis is provided, the main models pool these groups. At minimum, the authors should confirm that the two-group trajectory structure is stable within the 45–59 and ≥60 age bands, or discuss how age heterogeneity may affect the trajectory estimates.</w:t>
      </w:r>
    </w:p>
    <w:p>
      <w:pPr>
        <w:spacing w:after="160" w:before="60"/>
        <w:ind w:left="576" w:hanging="576"/>
      </w:pPr>
      <w:r>
        <w:rPr>
          <w:rFonts w:ascii="Times New Roman" w:hAnsi="Times New Roman"/>
          <w:b/>
          <w:i w:val="0"/>
          <w:sz w:val="22"/>
        </w:rPr>
        <w:t xml:space="preserve">5.  </w:t>
      </w:r>
      <w:r>
        <w:rPr>
          <w:rFonts w:ascii="Times New Roman" w:hAnsi="Times New Roman"/>
          <w:b/>
          <w:i w:val="0"/>
          <w:sz w:val="22"/>
        </w:rPr>
        <w:t xml:space="preserve">Kendall’s W interpretation.  </w:t>
      </w:r>
      <w:r>
        <w:rPr>
          <w:rFonts w:ascii="Times New Roman" w:hAnsi="Times New Roman"/>
          <w:b w:val="0"/>
          <w:i w:val="0"/>
          <w:sz w:val="22"/>
        </w:rPr>
        <w:t>The Supplementary Data reports Kendall’s W of 0.80–0.81. While polychoric correlations above 0.85 are described as indicating ‘exceptional concordance,’ Kendall’s W of 0.80–0.81 indicates substantial but not exceptional agreement (values ≥0.90 are typically required for strong concordance). The language in the Supplementary Data should be calibrated to reflect this distinction.</w:t>
      </w:r>
    </w:p>
    <w:p>
      <w:pPr>
        <w:spacing w:after="160" w:before="60"/>
        <w:ind w:left="576" w:hanging="576"/>
      </w:pPr>
      <w:r>
        <w:rPr>
          <w:rFonts w:ascii="Times New Roman" w:hAnsi="Times New Roman"/>
          <w:b/>
          <w:i w:val="0"/>
          <w:sz w:val="22"/>
        </w:rPr>
        <w:t xml:space="preserve">6.  </w:t>
      </w:r>
      <w:r>
        <w:rPr>
          <w:rFonts w:ascii="Times New Roman" w:hAnsi="Times New Roman"/>
          <w:b/>
          <w:i w:val="0"/>
          <w:sz w:val="22"/>
        </w:rPr>
        <w:t xml:space="preserve">IPW construction details.  </w:t>
      </w:r>
      <w:r>
        <w:rPr>
          <w:rFonts w:ascii="Times New Roman" w:hAnsi="Times New Roman"/>
          <w:b w:val="0"/>
          <w:i w:val="0"/>
          <w:sz w:val="22"/>
        </w:rPr>
        <w:t>The paper does not state whether the IPW weights were stabilised (using the marginal probability of inclusion in the numerator) or left as raw inverse probabilities, and whether any truncation was applied. Unstabilised weights can have high variance and unduly influential observations. These details should be reported in the Methods.</w:t>
      </w:r>
    </w:p>
    <w:p>
      <w:pPr>
        <w:spacing w:after="160" w:before="60"/>
        <w:ind w:left="576" w:hanging="576"/>
      </w:pPr>
      <w:r>
        <w:rPr>
          <w:rFonts w:ascii="Times New Roman" w:hAnsi="Times New Roman"/>
          <w:b/>
          <w:i w:val="0"/>
          <w:sz w:val="22"/>
        </w:rPr>
        <w:t xml:space="preserve">7.  </w:t>
      </w:r>
      <w:r>
        <w:rPr>
          <w:rFonts w:ascii="Times New Roman" w:hAnsi="Times New Roman"/>
          <w:b/>
          <w:i w:val="0"/>
          <w:sz w:val="22"/>
        </w:rPr>
        <w:t xml:space="preserve">Form of robust standard errors.  </w:t>
      </w:r>
      <w:r>
        <w:rPr>
          <w:rFonts w:ascii="Times New Roman" w:hAnsi="Times New Roman"/>
          <w:b w:val="0"/>
          <w:i w:val="0"/>
          <w:sz w:val="22"/>
        </w:rPr>
        <w:t>The paper reports ‘robust standard errors’ without specifying the form. Given CHARLS’s complex multi-stage clustered sampling design, cluster-robust standard errors accounting for within-community correlation are likely more appropriate than heteroskedasticity-consistent (HC) standard errors. The authors should clarify which form was used and whether community-level clustering was accounted for.</w:t>
      </w:r>
    </w:p>
    <w:p>
      <w:pPr>
        <w:spacing w:after="160" w:before="60"/>
        <w:ind w:left="576" w:hanging="576"/>
      </w:pPr>
      <w:r>
        <w:rPr>
          <w:rFonts w:ascii="Times New Roman" w:hAnsi="Times New Roman"/>
          <w:b/>
          <w:i w:val="0"/>
          <w:sz w:val="22"/>
        </w:rPr>
        <w:t xml:space="preserve">8.  </w:t>
      </w:r>
      <w:r>
        <w:rPr>
          <w:rFonts w:ascii="Times New Roman" w:hAnsi="Times New Roman"/>
          <w:b/>
          <w:i w:val="0"/>
          <w:sz w:val="22"/>
        </w:rPr>
        <w:t xml:space="preserve">Reference Wu et al. 2026 (reference 29).  </w:t>
      </w:r>
      <w:r>
        <w:rPr>
          <w:rFonts w:ascii="Times New Roman" w:hAnsi="Times New Roman"/>
          <w:b w:val="0"/>
          <w:i w:val="0"/>
          <w:sz w:val="22"/>
        </w:rPr>
        <w:t>This citation carries a 2026 journal year. If the article was published online ahead of the 2026 issue print date, the online-first publication date should be given. If the article is forthcoming, its use as a citation should be reconsidered.</w:t>
      </w:r>
    </w:p>
    <w:p>
      <w:pPr>
        <w:spacing w:before="280" w:after="80"/>
      </w:pPr>
      <w:r>
        <w:rPr>
          <w:rFonts w:ascii="Times New Roman" w:hAnsi="Times New Roman"/>
          <w:b/>
          <w:i w:val="0"/>
          <w:sz w:val="24"/>
        </w:rPr>
        <w:t>SPECIFIC AND TEXTUAL COMMENTS</w:t>
      </w:r>
    </w:p>
    <w:p>
      <w:pPr>
        <w:spacing w:after="160" w:before="60"/>
        <w:ind w:left="576" w:hanging="576"/>
      </w:pPr>
      <w:r>
        <w:rPr>
          <w:rFonts w:ascii="Times New Roman" w:hAnsi="Times New Roman"/>
          <w:b/>
          <w:i w:val="0"/>
          <w:sz w:val="22"/>
        </w:rPr>
        <w:t xml:space="preserve">1.  </w:t>
      </w:r>
      <w:r>
        <w:rPr>
          <w:rFonts w:ascii="Times New Roman" w:hAnsi="Times New Roman"/>
          <w:b/>
          <w:i w:val="0"/>
          <w:sz w:val="22"/>
        </w:rPr>
        <w:t xml:space="preserve">Abstract, Methods.  </w:t>
      </w:r>
      <w:r>
        <w:rPr>
          <w:rFonts w:ascii="Times New Roman" w:hAnsi="Times New Roman"/>
          <w:b w:val="0"/>
          <w:i w:val="0"/>
          <w:sz w:val="22"/>
        </w:rPr>
        <w:t>The three specific measurement years (2011, 2013, 2015) should be stated rather than ‘three waves from 2011–2015,’ as the inter-wave interval is relevant for interpreting trajectory slope estimates.</w:t>
      </w:r>
    </w:p>
    <w:p>
      <w:pPr>
        <w:spacing w:after="160" w:before="60"/>
        <w:ind w:left="576" w:hanging="576"/>
      </w:pPr>
      <w:r>
        <w:rPr>
          <w:rFonts w:ascii="Times New Roman" w:hAnsi="Times New Roman"/>
          <w:b/>
          <w:i w:val="0"/>
          <w:sz w:val="22"/>
        </w:rPr>
        <w:t xml:space="preserve">2.  </w:t>
      </w:r>
      <w:r>
        <w:rPr>
          <w:rFonts w:ascii="Times New Roman" w:hAnsi="Times New Roman"/>
          <w:b/>
          <w:i w:val="0"/>
          <w:sz w:val="22"/>
        </w:rPr>
        <w:t xml:space="preserve">Introduction, paragraph 3.  </w:t>
      </w:r>
      <w:r>
        <w:rPr>
          <w:rFonts w:ascii="Times New Roman" w:hAnsi="Times New Roman"/>
          <w:b w:val="0"/>
          <w:i w:val="0"/>
          <w:sz w:val="22"/>
        </w:rPr>
        <w:t>The sentence ‘These gaps call for a longitudinal design that addresses sex heterogeneity and evaluates trajectory classification stability across multiple methods’ reads as a description of the present study’s design rather than a gap in the literature. Revise to separate the identified gap from the proposed solution.</w:t>
      </w:r>
    </w:p>
    <w:p>
      <w:pPr>
        <w:spacing w:after="160" w:before="60"/>
        <w:ind w:left="576" w:hanging="576"/>
      </w:pPr>
      <w:r>
        <w:rPr>
          <w:rFonts w:ascii="Times New Roman" w:hAnsi="Times New Roman"/>
          <w:b/>
          <w:i w:val="0"/>
          <w:sz w:val="22"/>
        </w:rPr>
        <w:t xml:space="preserve">3.  </w:t>
      </w:r>
      <w:r>
        <w:rPr>
          <w:rFonts w:ascii="Times New Roman" w:hAnsi="Times New Roman"/>
          <w:b/>
          <w:i w:val="0"/>
          <w:sz w:val="22"/>
        </w:rPr>
        <w:t xml:space="preserve">Table 1 footnote.  </w:t>
      </w:r>
      <w:r>
        <w:rPr>
          <w:rFonts w:ascii="Times New Roman" w:hAnsi="Times New Roman"/>
          <w:b w:val="0"/>
          <w:i w:val="0"/>
          <w:sz w:val="22"/>
        </w:rPr>
        <w:t>The note should state clearly that all Diff. values represent Women minus Men. The current wording (‘Women minus Men for categorical, Men minus Women for continuous variables’) is inconsistent with the actual values in the table. [Corrected in the edited manuscript file; please verify in the final submission.]</w:t>
      </w:r>
    </w:p>
    <w:p>
      <w:pPr>
        <w:spacing w:after="160" w:before="60"/>
        <w:ind w:left="576" w:hanging="576"/>
      </w:pPr>
      <w:r>
        <w:rPr>
          <w:rFonts w:ascii="Times New Roman" w:hAnsi="Times New Roman"/>
          <w:b/>
          <w:i w:val="0"/>
          <w:sz w:val="22"/>
        </w:rPr>
        <w:t xml:space="preserve">4.  </w:t>
      </w:r>
      <w:r>
        <w:rPr>
          <w:rFonts w:ascii="Times New Roman" w:hAnsi="Times New Roman"/>
          <w:b/>
          <w:i w:val="0"/>
          <w:sz w:val="22"/>
        </w:rPr>
        <w:t xml:space="preserve">Supplementary Table S1, Rural residence (Men).  </w:t>
      </w:r>
      <w:r>
        <w:rPr>
          <w:rFonts w:ascii="Times New Roman" w:hAnsi="Times New Roman"/>
          <w:b w:val="0"/>
          <w:i w:val="0"/>
          <w:sz w:val="22"/>
        </w:rPr>
        <w:t>The Men columns for Rural residence show values identical to the Currently married row (81.1% / 90.6% / 9.5%***), which is inconsistent with the overall male rural residence of ~64% in main Table 1. This is a probable copy-paste error and must be corrected with values from the original analysis output before submission.</w:t>
      </w:r>
    </w:p>
    <w:p>
      <w:pPr>
        <w:spacing w:after="160" w:before="60"/>
        <w:ind w:left="576" w:hanging="576"/>
      </w:pPr>
      <w:r>
        <w:rPr>
          <w:rFonts w:ascii="Times New Roman" w:hAnsi="Times New Roman"/>
          <w:b/>
          <w:i w:val="0"/>
          <w:sz w:val="22"/>
        </w:rPr>
        <w:t xml:space="preserve">5.  </w:t>
      </w:r>
      <w:r>
        <w:rPr>
          <w:rFonts w:ascii="Times New Roman" w:hAnsi="Times New Roman"/>
          <w:b/>
          <w:i w:val="0"/>
          <w:sz w:val="22"/>
        </w:rPr>
        <w:t xml:space="preserve">Supplementary Methods, reference numbers.  </w:t>
      </w:r>
      <w:r>
        <w:rPr>
          <w:rFonts w:ascii="Times New Roman" w:hAnsi="Times New Roman"/>
          <w:b w:val="0"/>
          <w:i w:val="0"/>
          <w:sz w:val="22"/>
        </w:rPr>
        <w:t>Citations [26], [27], and [30] in the Supplementary Methods appear to use different numbers than the corresponding entries in the main text reference list (kml package = [27]; clusterMLD = [28]; Nagin &amp; Odgers = [25]). Please verify and harmonise across the full document.</w:t>
      </w:r>
    </w:p>
    <w:p>
      <w:pPr>
        <w:spacing w:after="160" w:before="60"/>
        <w:ind w:left="576" w:hanging="576"/>
      </w:pPr>
      <w:r>
        <w:rPr>
          <w:rFonts w:ascii="Times New Roman" w:hAnsi="Times New Roman"/>
          <w:b/>
          <w:i w:val="0"/>
          <w:sz w:val="22"/>
        </w:rPr>
        <w:t xml:space="preserve">6.  </w:t>
      </w:r>
      <w:r>
        <w:rPr>
          <w:rFonts w:ascii="Times New Roman" w:hAnsi="Times New Roman"/>
          <w:b/>
          <w:i w:val="0"/>
          <w:sz w:val="22"/>
        </w:rPr>
        <w:t xml:space="preserve">Discussion, effect size paragraph.  </w:t>
      </w:r>
      <w:r>
        <w:rPr>
          <w:rFonts w:ascii="Times New Roman" w:hAnsi="Times New Roman"/>
          <w:b w:val="0"/>
          <w:i w:val="0"/>
          <w:sz w:val="22"/>
        </w:rPr>
        <w:t>Two successive sentences both use the construction ‘should be read as’, creating awkward repetition. One should be rephrased.</w:t>
      </w:r>
    </w:p>
    <w:p>
      <w:pPr>
        <w:spacing w:after="160" w:before="60"/>
        <w:ind w:left="576" w:hanging="576"/>
      </w:pPr>
      <w:r>
        <w:rPr>
          <w:rFonts w:ascii="Times New Roman" w:hAnsi="Times New Roman"/>
          <w:b/>
          <w:i w:val="0"/>
          <w:sz w:val="22"/>
        </w:rPr>
        <w:t xml:space="preserve">7.  </w:t>
      </w:r>
      <w:r>
        <w:rPr>
          <w:rFonts w:ascii="Times New Roman" w:hAnsi="Times New Roman"/>
          <w:b/>
          <w:i w:val="0"/>
          <w:sz w:val="22"/>
        </w:rPr>
        <w:t xml:space="preserve">Discussion, paragraph 3.  </w:t>
      </w:r>
      <w:r>
        <w:rPr>
          <w:rFonts w:ascii="Times New Roman" w:hAnsi="Times New Roman"/>
          <w:b w:val="0"/>
          <w:i w:val="0"/>
          <w:sz w:val="22"/>
        </w:rPr>
        <w:t>‘evidence from China similarly suggest’ should be ‘suggests’ (subject–verb agreement).</w:t>
      </w:r>
    </w:p>
    <w:p>
      <w:pPr>
        <w:spacing w:before="80" w:after="80"/>
        <w:pBdr>
          <w:bottom w:val="single" w:sz="4" w:space="1" w:color="888888"/>
        </w:pBdr>
      </w:pPr>
    </w:p>
    <w:p>
      <w:pPr>
        <w:spacing w:before="280" w:after="80"/>
      </w:pPr>
      <w:r>
        <w:rPr>
          <w:rFonts w:ascii="Times New Roman" w:hAnsi="Times New Roman"/>
          <w:b/>
          <w:i w:val="0"/>
          <w:sz w:val="24"/>
        </w:rPr>
        <w:t>SUMMARY OF REQUIRED ACTIONS FOR REVISION</w:t>
      </w:r>
    </w:p>
    <w:p>
      <w:pPr>
        <w:spacing w:after="120" w:before="0"/>
      </w:pPr>
      <w:r>
        <w:rPr>
          <w:rFonts w:ascii="Times New Roman" w:hAnsi="Times New Roman"/>
          <w:b w:val="0"/>
          <w:i w:val="0"/>
          <w:sz w:val="22"/>
        </w:rPr>
        <w:t>The following items must be addressed before the manuscript can be reconsidered:</w:t>
      </w:r>
    </w:p>
    <w:p>
      <w:pPr>
        <w:spacing w:after="80" w:before="0"/>
        <w:ind w:left="576"/>
      </w:pPr>
      <w:r>
        <w:rPr>
          <w:rFonts w:ascii="Times New Roman" w:hAnsi="Times New Roman"/>
          <w:b/>
          <w:i w:val="0"/>
          <w:sz w:val="22"/>
        </w:rPr>
        <w:t xml:space="preserve">•  </w:t>
      </w:r>
      <w:r>
        <w:rPr>
          <w:rFonts w:ascii="Times New Roman" w:hAnsi="Times New Roman"/>
          <w:b w:val="0"/>
          <w:i w:val="0"/>
          <w:sz w:val="22"/>
        </w:rPr>
        <w:t>New analysis: formal sex x HGS-group interaction test in a pooled model (Major Comment 2).</w:t>
      </w:r>
    </w:p>
    <w:p>
      <w:pPr>
        <w:spacing w:after="80" w:before="0"/>
        <w:ind w:left="576"/>
      </w:pPr>
      <w:r>
        <w:rPr>
          <w:rFonts w:ascii="Times New Roman" w:hAnsi="Times New Roman"/>
          <w:b/>
          <w:i w:val="0"/>
          <w:sz w:val="22"/>
        </w:rPr>
        <w:t xml:space="preserve">•  </w:t>
      </w:r>
      <w:r>
        <w:rPr>
          <w:rFonts w:ascii="Times New Roman" w:hAnsi="Times New Roman"/>
          <w:b w:val="0"/>
          <w:i w:val="0"/>
          <w:sz w:val="22"/>
        </w:rPr>
        <w:t>New analysis: comparison of trajectory-group vs baseline HGS as a continuous predictor (Major Comment 1).</w:t>
      </w:r>
    </w:p>
    <w:p>
      <w:pPr>
        <w:spacing w:after="80" w:before="0"/>
        <w:ind w:left="576"/>
      </w:pPr>
      <w:r>
        <w:rPr>
          <w:rFonts w:ascii="Times New Roman" w:hAnsi="Times New Roman"/>
          <w:b/>
          <w:i w:val="0"/>
          <w:sz w:val="22"/>
        </w:rPr>
        <w:t xml:space="preserve">•  </w:t>
      </w:r>
      <w:r>
        <w:rPr>
          <w:rFonts w:ascii="Times New Roman" w:hAnsi="Times New Roman"/>
          <w:b w:val="0"/>
          <w:i w:val="0"/>
          <w:sz w:val="22"/>
        </w:rPr>
        <w:t>New supplementary figure: BIC values across one- to six-group solutions (Major Comment 4).</w:t>
      </w:r>
    </w:p>
    <w:p>
      <w:pPr>
        <w:spacing w:after="80" w:before="0"/>
        <w:ind w:left="576"/>
      </w:pPr>
      <w:r>
        <w:rPr>
          <w:rFonts w:ascii="Times New Roman" w:hAnsi="Times New Roman"/>
          <w:b/>
          <w:i w:val="0"/>
          <w:sz w:val="22"/>
        </w:rPr>
        <w:t xml:space="preserve">•  </w:t>
      </w:r>
      <w:r>
        <w:rPr>
          <w:rFonts w:ascii="Times New Roman" w:hAnsi="Times New Roman"/>
          <w:b w:val="0"/>
          <w:i w:val="0"/>
          <w:sz w:val="22"/>
        </w:rPr>
        <w:t>New supplementary table or text: attrition-bias diagnostics and IPW weight distribution (Major Comment 5).</w:t>
      </w:r>
    </w:p>
    <w:p>
      <w:pPr>
        <w:spacing w:after="80" w:before="0"/>
        <w:ind w:left="576"/>
      </w:pPr>
      <w:r>
        <w:rPr>
          <w:rFonts w:ascii="Times New Roman" w:hAnsi="Times New Roman"/>
          <w:b/>
          <w:i w:val="0"/>
          <w:sz w:val="22"/>
        </w:rPr>
        <w:t xml:space="preserve">•  </w:t>
      </w:r>
      <w:r>
        <w:rPr>
          <w:rFonts w:ascii="Times New Roman" w:hAnsi="Times New Roman"/>
          <w:b w:val="0"/>
          <w:i w:val="0"/>
          <w:sz w:val="22"/>
        </w:rPr>
        <w:t>Revise Abstract and Key Points to increase prominence of multiple-comparisons caveat (Major Comment 3).</w:t>
      </w:r>
    </w:p>
    <w:p>
      <w:pPr>
        <w:spacing w:after="80" w:before="0"/>
        <w:ind w:left="576"/>
      </w:pPr>
      <w:r>
        <w:rPr>
          <w:rFonts w:ascii="Times New Roman" w:hAnsi="Times New Roman"/>
          <w:b/>
          <w:i w:val="0"/>
          <w:sz w:val="22"/>
        </w:rPr>
        <w:t xml:space="preserve">•  </w:t>
      </w:r>
      <w:r>
        <w:rPr>
          <w:rFonts w:ascii="Times New Roman" w:hAnsi="Times New Roman"/>
          <w:b w:val="0"/>
          <w:i w:val="0"/>
          <w:sz w:val="22"/>
        </w:rPr>
        <w:t>Remove or substantially revise the 22 kg / 33 kg Key Points bullet; add AWGS 2019 comparison in Discussion (Major Comment 7).</w:t>
      </w:r>
    </w:p>
    <w:p>
      <w:pPr>
        <w:spacing w:after="80" w:before="0"/>
        <w:ind w:left="576"/>
      </w:pPr>
      <w:r>
        <w:rPr>
          <w:rFonts w:ascii="Times New Roman" w:hAnsi="Times New Roman"/>
          <w:b/>
          <w:i w:val="0"/>
          <w:sz w:val="22"/>
        </w:rPr>
        <w:t xml:space="preserve">•  </w:t>
      </w:r>
      <w:r>
        <w:rPr>
          <w:rFonts w:ascii="Times New Roman" w:hAnsi="Times New Roman"/>
          <w:b w:val="0"/>
          <w:i w:val="0"/>
          <w:sz w:val="22"/>
        </w:rPr>
        <w:t>State cognitive Z-score standardisation approach explicitly (Major Comment 6).</w:t>
      </w:r>
    </w:p>
    <w:p>
      <w:pPr>
        <w:spacing w:after="80" w:before="0"/>
        <w:ind w:left="576"/>
      </w:pPr>
      <w:r>
        <w:rPr>
          <w:rFonts w:ascii="Times New Roman" w:hAnsi="Times New Roman"/>
          <w:b/>
          <w:i w:val="0"/>
          <w:sz w:val="22"/>
        </w:rPr>
        <w:t xml:space="preserve">•  </w:t>
      </w:r>
      <w:r>
        <w:rPr>
          <w:rFonts w:ascii="Times New Roman" w:hAnsi="Times New Roman"/>
          <w:b w:val="0"/>
          <w:i w:val="0"/>
          <w:sz w:val="22"/>
        </w:rPr>
        <w:t>Correct Rural residence copy-paste error in Supplementary Table S1 (Specific Comment 4).</w:t>
      </w:r>
    </w:p>
    <w:p>
      <w:pPr>
        <w:spacing w:after="80" w:before="0"/>
        <w:ind w:left="576"/>
      </w:pPr>
      <w:r>
        <w:rPr>
          <w:rFonts w:ascii="Times New Roman" w:hAnsi="Times New Roman"/>
          <w:b/>
          <w:i w:val="0"/>
          <w:sz w:val="22"/>
        </w:rPr>
        <w:t xml:space="preserve">•  </w:t>
      </w:r>
      <w:r>
        <w:rPr>
          <w:rFonts w:ascii="Times New Roman" w:hAnsi="Times New Roman"/>
          <w:b w:val="0"/>
          <w:i w:val="0"/>
          <w:sz w:val="22"/>
        </w:rPr>
        <w:t>Verify and harmonise reference numbers between main text and Supplementary Data (Specific Comment 5).</w:t>
      </w:r>
    </w:p>
    <w:p>
      <w:pPr>
        <w:spacing w:after="80" w:before="0"/>
        <w:ind w:left="576"/>
      </w:pPr>
      <w:r>
        <w:rPr>
          <w:rFonts w:ascii="Times New Roman" w:hAnsi="Times New Roman"/>
          <w:b/>
          <w:i w:val="0"/>
          <w:sz w:val="22"/>
        </w:rPr>
        <w:t xml:space="preserve">•  </w:t>
      </w:r>
      <w:r>
        <w:rPr>
          <w:rFonts w:ascii="Times New Roman" w:hAnsi="Times New Roman"/>
          <w:b w:val="0"/>
          <w:i w:val="0"/>
          <w:sz w:val="22"/>
        </w:rPr>
        <w:t>Clarify IPW stabilisation and weight truncation in Methods (Minor Comment 6).</w:t>
      </w:r>
    </w:p>
    <w:p>
      <w:pPr>
        <w:spacing w:after="80" w:before="0"/>
        <w:ind w:left="576"/>
      </w:pPr>
      <w:r>
        <w:rPr>
          <w:rFonts w:ascii="Times New Roman" w:hAnsi="Times New Roman"/>
          <w:b/>
          <w:i w:val="0"/>
          <w:sz w:val="22"/>
        </w:rPr>
        <w:t xml:space="preserve">•  </w:t>
      </w:r>
      <w:r>
        <w:rPr>
          <w:rFonts w:ascii="Times New Roman" w:hAnsi="Times New Roman"/>
          <w:b w:val="0"/>
          <w:i w:val="0"/>
          <w:sz w:val="22"/>
        </w:rPr>
        <w:t>Clarify form of robust standard errors; confirm CHARLS cluster structure accounted for (Minor Comment 7).</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