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i w:val="0"/>
          <w:sz w:val="26"/>
        </w:rPr>
        <w:t>ABSTRACT REVIEW: MAJOR RECOMMENDATIONS</w:t>
      </w:r>
    </w:p>
    <w:p>
      <w:pPr>
        <w:spacing w:after="40"/>
        <w:jc w:val="center"/>
      </w:pPr>
      <w:r>
        <w:rPr>
          <w:rFonts w:ascii="Times New Roman" w:hAnsi="Times New Roman"/>
          <w:b w:val="0"/>
          <w:i/>
          <w:sz w:val="22"/>
        </w:rPr>
        <w:t>JAMA Submission</w:t>
      </w:r>
    </w:p>
    <w:p>
      <w:pPr>
        <w:spacing w:after="200"/>
        <w:jc w:val="center"/>
      </w:pPr>
      <w:r>
        <w:rPr>
          <w:rFonts w:ascii="Times New Roman" w:hAnsi="Times New Roman"/>
          <w:b w:val="0"/>
          <w:i w:val="0"/>
          <w:sz w:val="22"/>
        </w:rPr>
        <w:t>“Algorithmic Performance and Fairness of Machine Learning Models for Dementia Classification Using the Harmonized Cognitive Assessment Protocol (HCAP)”</w:t>
      </w:r>
    </w:p>
    <w:p>
      <w:pPr>
        <w:spacing w:before="80" w:after="80"/>
        <w:pBdr>
          <w:bottom w:val="single" w:sz="4" w:space="1" w:color="888888"/>
        </w:pBdr>
      </w:pPr>
    </w:p>
    <w:p>
      <w:pPr>
        <w:spacing w:before="160" w:after="80"/>
      </w:pPr>
      <w:r>
        <w:rPr>
          <w:rFonts w:ascii="Times New Roman" w:hAnsi="Times New Roman"/>
          <w:b/>
          <w:i w:val="0"/>
          <w:sz w:val="26"/>
        </w:rPr>
        <w:t>OVERVIEW</w:t>
      </w:r>
    </w:p>
    <w:p>
      <w:pPr>
        <w:spacing w:after="120" w:before="0"/>
      </w:pPr>
      <w:r>
        <w:rPr>
          <w:rFonts w:ascii="Times New Roman" w:hAnsi="Times New Roman"/>
          <w:b w:val="0"/>
          <w:i w:val="0"/>
          <w:sz w:val="22"/>
        </w:rPr>
        <w:t>The abstract reports a well-motivated study with a strong dataset and a relevant public-health question. However, several framing and methodological gaps would likely trigger desk rejection or an immediate major revision request at JAMA. The three critical items below (study-type label, reference standard, and train/test methodology) should be addressed before submission. The remaining items are important for passing peer review.</w:t>
      </w:r>
    </w:p>
    <w:p>
      <w:pPr>
        <w:spacing w:before="280" w:after="80"/>
      </w:pPr>
      <w:r>
        <w:rPr>
          <w:rFonts w:ascii="Times New Roman" w:hAnsi="Times New Roman"/>
          <w:b/>
          <w:i w:val="0"/>
          <w:sz w:val="26"/>
        </w:rPr>
        <w:t>RECOMMENDATIONS</w:t>
      </w:r>
    </w:p>
    <w:p>
      <w:pPr>
        <w:spacing w:before="240" w:after="60"/>
      </w:pPr>
      <w:r>
        <w:rPr>
          <w:rFonts w:ascii="Times New Roman" w:hAnsi="Times New Roman"/>
          <w:b/>
          <w:i w:val="0"/>
          <w:sz w:val="22"/>
        </w:rPr>
        <w:t xml:space="preserve">1.  Reframe the Study Type  </w:t>
      </w:r>
      <w:r>
        <w:rPr>
          <w:rFonts w:ascii="Times New Roman" w:hAnsi="Times New Roman"/>
          <w:b/>
          <w:i w:val="0"/>
          <w:color w:val="B40000"/>
          <w:sz w:val="22"/>
        </w:rPr>
        <w:t>[Critical]</w:t>
      </w:r>
    </w:p>
    <w:p>
      <w:pPr>
        <w:spacing w:after="120" w:before="0"/>
      </w:pPr>
      <w:r>
        <w:rPr>
          <w:rFonts w:ascii="Times New Roman" w:hAnsi="Times New Roman"/>
          <w:b w:val="0"/>
          <w:i w:val="0"/>
          <w:sz w:val="22"/>
        </w:rPr>
        <w:t>The Design sentence calls this a “cross-sectional study.” Cross-sectional describes the observational structure of the underlying data, not the analytical task. What the paper actually performs is prediction model development and internal validation — a distinct study type that JAMA now routes through TRIPOD-AI reporting requirements. Labelling it cross-sectional signals to editors and reviewers that the paper may not have followed the appropriate reporting framework.</w:t>
      </w:r>
    </w:p>
    <w:p>
      <w:pPr>
        <w:spacing w:after="100" w:before="60"/>
        <w:ind w:left="360"/>
      </w:pPr>
      <w:r>
        <w:rPr>
          <w:rFonts w:ascii="Times New Roman" w:hAnsi="Times New Roman"/>
          <w:b/>
          <w:i w:val="0"/>
          <w:sz w:val="22"/>
        </w:rPr>
        <w:t xml:space="preserve">Where to fix:  </w:t>
      </w:r>
      <w:r>
        <w:rPr>
          <w:rFonts w:ascii="Times New Roman" w:hAnsi="Times New Roman"/>
          <w:b w:val="0"/>
          <w:i/>
          <w:sz w:val="22"/>
        </w:rPr>
        <w:t>Design, Setting, and Participants</w:t>
      </w:r>
    </w:p>
    <w:p>
      <w:pPr>
        <w:spacing w:after="100" w:before="60"/>
        <w:ind w:left="360"/>
      </w:pPr>
      <w:r>
        <w:rPr>
          <w:rFonts w:ascii="Times New Roman" w:hAnsi="Times New Roman"/>
          <w:b/>
          <w:i w:val="0"/>
          <w:sz w:val="22"/>
        </w:rPr>
        <w:t xml:space="preserve">Recommended change:  </w:t>
      </w:r>
      <w:r>
        <w:rPr>
          <w:rFonts w:ascii="Times New Roman" w:hAnsi="Times New Roman"/>
          <w:b w:val="0"/>
          <w:i/>
          <w:sz w:val="22"/>
        </w:rPr>
        <w:t>“This cross-sectional study used…”  →  “This prediction model development and validation study used…”  Confirm the paper follows the TRIPOD-AI checklist.</w:t>
      </w:r>
    </w:p>
    <w:p>
      <w:pPr>
        <w:spacing w:before="240" w:after="60"/>
      </w:pPr>
      <w:r>
        <w:rPr>
          <w:rFonts w:ascii="Times New Roman" w:hAnsi="Times New Roman"/>
          <w:b/>
          <w:i w:val="0"/>
          <w:sz w:val="22"/>
        </w:rPr>
        <w:t xml:space="preserve">2.  Name the Reference Standard for Dementia  </w:t>
      </w:r>
      <w:r>
        <w:rPr>
          <w:rFonts w:ascii="Times New Roman" w:hAnsi="Times New Roman"/>
          <w:b/>
          <w:i w:val="0"/>
          <w:color w:val="B40000"/>
          <w:sz w:val="22"/>
        </w:rPr>
        <w:t>[Critical]</w:t>
      </w:r>
    </w:p>
    <w:p>
      <w:pPr>
        <w:spacing w:after="120" w:before="0"/>
      </w:pPr>
      <w:r>
        <w:rPr>
          <w:rFonts w:ascii="Times New Roman" w:hAnsi="Times New Roman"/>
          <w:b w:val="0"/>
          <w:i w:val="0"/>
          <w:sz w:val="22"/>
        </w:rPr>
        <w:t>The abstract trains models on “clinician-validated dementia classifications” but never states what that standard is. In classification studies the reference standard is as important as the outcome itself — its sensitivity and specificity set the ceiling for any downstream algorithm. JAMA reviewers will flag this immediately. Is it the Langa-Weir classification, an expert consensus diagnosis, or a formal clinical workup?</w:t>
      </w:r>
    </w:p>
    <w:p>
      <w:pPr>
        <w:spacing w:after="100" w:before="60"/>
        <w:ind w:left="360"/>
      </w:pPr>
      <w:r>
        <w:rPr>
          <w:rFonts w:ascii="Times New Roman" w:hAnsi="Times New Roman"/>
          <w:b/>
          <w:i w:val="0"/>
          <w:sz w:val="22"/>
        </w:rPr>
        <w:t xml:space="preserve">Where to fix:  </w:t>
      </w:r>
      <w:r>
        <w:rPr>
          <w:rFonts w:ascii="Times New Roman" w:hAnsi="Times New Roman"/>
          <w:b w:val="0"/>
          <w:i/>
          <w:sz w:val="22"/>
        </w:rPr>
        <w:t>Design, Setting, and Participants</w:t>
      </w:r>
    </w:p>
    <w:p>
      <w:pPr>
        <w:spacing w:after="100" w:before="60"/>
        <w:ind w:left="360"/>
      </w:pPr>
      <w:r>
        <w:rPr>
          <w:rFonts w:ascii="Times New Roman" w:hAnsi="Times New Roman"/>
          <w:b/>
          <w:i w:val="0"/>
          <w:sz w:val="22"/>
        </w:rPr>
        <w:t xml:space="preserve">Recommended change:  </w:t>
      </w:r>
      <w:r>
        <w:rPr>
          <w:rFonts w:ascii="Times New Roman" w:hAnsi="Times New Roman"/>
          <w:b w:val="0"/>
          <w:i/>
          <w:sz w:val="22"/>
        </w:rPr>
        <w:t>Name the standard explicitly, e.g., “…using the Langa-Weir clinician-adjudicated dementia classification as the reference standard.”</w:t>
      </w:r>
    </w:p>
    <w:p>
      <w:pPr>
        <w:spacing w:before="240" w:after="60"/>
      </w:pPr>
      <w:r>
        <w:rPr>
          <w:rFonts w:ascii="Times New Roman" w:hAnsi="Times New Roman"/>
          <w:b/>
          <w:i w:val="0"/>
          <w:sz w:val="22"/>
        </w:rPr>
        <w:t xml:space="preserve">3.  State the Train/Test Methodology  </w:t>
      </w:r>
      <w:r>
        <w:rPr>
          <w:rFonts w:ascii="Times New Roman" w:hAnsi="Times New Roman"/>
          <w:b/>
          <w:i w:val="0"/>
          <w:color w:val="B40000"/>
          <w:sz w:val="22"/>
        </w:rPr>
        <w:t>[Critical]</w:t>
      </w:r>
    </w:p>
    <w:p>
      <w:pPr>
        <w:spacing w:after="120" w:before="0"/>
      </w:pPr>
      <w:r>
        <w:rPr>
          <w:rFonts w:ascii="Times New Roman" w:hAnsi="Times New Roman"/>
          <w:b w:val="0"/>
          <w:i w:val="0"/>
          <w:sz w:val="22"/>
        </w:rPr>
        <w:t>The abstract reports accuracy, sensitivity, and specificity figures but says nothing about how the models were trained and tested. Were these from 5-fold cross-validation, a held-out test set, or the full sample? Without this, the metrics are uninterpretable: internal cross-validation estimates are optimistic, and full-sample estimates are uninformative about generalisability. This is a mandatory element for any prediction model paper.</w:t>
      </w:r>
    </w:p>
    <w:p>
      <w:pPr>
        <w:spacing w:after="100" w:before="60"/>
        <w:ind w:left="360"/>
      </w:pPr>
      <w:r>
        <w:rPr>
          <w:rFonts w:ascii="Times New Roman" w:hAnsi="Times New Roman"/>
          <w:b/>
          <w:i w:val="0"/>
          <w:sz w:val="22"/>
        </w:rPr>
        <w:t xml:space="preserve">Where to fix:  </w:t>
      </w:r>
      <w:r>
        <w:rPr>
          <w:rFonts w:ascii="Times New Roman" w:hAnsi="Times New Roman"/>
          <w:b w:val="0"/>
          <w:i/>
          <w:sz w:val="22"/>
        </w:rPr>
        <w:t>Main Outcomes and Measures or Design</w:t>
      </w:r>
    </w:p>
    <w:p>
      <w:pPr>
        <w:spacing w:after="100" w:before="60"/>
        <w:ind w:left="360"/>
      </w:pPr>
      <w:r>
        <w:rPr>
          <w:rFonts w:ascii="Times New Roman" w:hAnsi="Times New Roman"/>
          <w:b/>
          <w:i w:val="0"/>
          <w:sz w:val="22"/>
        </w:rPr>
        <w:t xml:space="preserve">Recommended change:  </w:t>
      </w:r>
      <w:r>
        <w:rPr>
          <w:rFonts w:ascii="Times New Roman" w:hAnsi="Times New Roman"/>
          <w:b w:val="0"/>
          <w:i/>
          <w:sz w:val="22"/>
        </w:rPr>
        <w:t>Add one sentence, e.g., “Models were trained using 5-fold cross-validation on a randomly selected 80% training set and evaluated on a held-out 20% test set” (adjust to match the actual approach).</w:t>
      </w:r>
    </w:p>
    <w:p>
      <w:pPr>
        <w:spacing w:before="240" w:after="60"/>
      </w:pPr>
      <w:r>
        <w:rPr>
          <w:rFonts w:ascii="Times New Roman" w:hAnsi="Times New Roman"/>
          <w:b/>
          <w:i w:val="0"/>
          <w:sz w:val="22"/>
        </w:rPr>
        <w:t xml:space="preserve">4.  Revise the Objective to Include “Development”  </w:t>
      </w:r>
      <w:r>
        <w:rPr>
          <w:rFonts w:ascii="Times New Roman" w:hAnsi="Times New Roman"/>
          <w:b/>
          <w:i w:val="0"/>
          <w:color w:val="B45A00"/>
          <w:sz w:val="22"/>
        </w:rPr>
        <w:t>[Important]</w:t>
      </w:r>
    </w:p>
    <w:p>
      <w:pPr>
        <w:spacing w:after="120" w:before="0"/>
      </w:pPr>
      <w:r>
        <w:rPr>
          <w:rFonts w:ascii="Times New Roman" w:hAnsi="Times New Roman"/>
          <w:b w:val="0"/>
          <w:i w:val="0"/>
          <w:sz w:val="22"/>
        </w:rPr>
        <w:t>The Objective reads “To evaluate predictive performance and algorithmic fairness…” Evaluate implies auditing pre-existing models. If the paper trains new models, the Objective should say so. This also affects how reviewers assess novelty: developing new algorithms is a distinct contribution from evaluating existing ones.</w:t>
      </w:r>
    </w:p>
    <w:p>
      <w:pPr>
        <w:spacing w:after="100" w:before="60"/>
        <w:ind w:left="360"/>
      </w:pPr>
      <w:r>
        <w:rPr>
          <w:rFonts w:ascii="Times New Roman" w:hAnsi="Times New Roman"/>
          <w:b/>
          <w:i w:val="0"/>
          <w:sz w:val="22"/>
        </w:rPr>
        <w:t xml:space="preserve">Where to fix:  </w:t>
      </w:r>
      <w:r>
        <w:rPr>
          <w:rFonts w:ascii="Times New Roman" w:hAnsi="Times New Roman"/>
          <w:b w:val="0"/>
          <w:i/>
          <w:sz w:val="22"/>
        </w:rPr>
        <w:t>Objective</w:t>
      </w:r>
    </w:p>
    <w:p>
      <w:pPr>
        <w:spacing w:after="100" w:before="60"/>
        <w:ind w:left="360"/>
      </w:pPr>
      <w:r>
        <w:rPr>
          <w:rFonts w:ascii="Times New Roman" w:hAnsi="Times New Roman"/>
          <w:b/>
          <w:i w:val="0"/>
          <w:sz w:val="22"/>
        </w:rPr>
        <w:t xml:space="preserve">Recommended change:  </w:t>
      </w:r>
      <w:r>
        <w:rPr>
          <w:rFonts w:ascii="Times New Roman" w:hAnsi="Times New Roman"/>
          <w:b w:val="0"/>
          <w:i/>
          <w:sz w:val="22"/>
        </w:rPr>
        <w:t>“To evaluate…”  →  “To develop and evaluate…”</w:t>
      </w:r>
    </w:p>
    <w:p>
      <w:pPr>
        <w:spacing w:before="240" w:after="60"/>
      </w:pPr>
      <w:r>
        <w:rPr>
          <w:rFonts w:ascii="Times New Roman" w:hAnsi="Times New Roman"/>
          <w:b/>
          <w:i w:val="0"/>
          <w:sz w:val="22"/>
        </w:rPr>
        <w:t xml:space="preserve">5.  Quantify the Comparison with Existing Algorithms  </w:t>
      </w:r>
      <w:r>
        <w:rPr>
          <w:rFonts w:ascii="Times New Roman" w:hAnsi="Times New Roman"/>
          <w:b/>
          <w:i w:val="0"/>
          <w:color w:val="B45A00"/>
          <w:sz w:val="22"/>
        </w:rPr>
        <w:t>[Important]</w:t>
      </w:r>
    </w:p>
    <w:p>
      <w:pPr>
        <w:spacing w:after="120" w:before="0"/>
      </w:pPr>
      <w:r>
        <w:rPr>
          <w:rFonts w:ascii="Times New Roman" w:hAnsi="Times New Roman"/>
          <w:b w:val="0"/>
          <w:i w:val="0"/>
          <w:sz w:val="22"/>
        </w:rPr>
        <w:t>The Results state “these models demonstrated substantially improved case detection” compared with existing HRS algorithms, but provide no figures. JAMA does not accept unquantified comparative claims in Results. Readers need to know the baseline sensitivity of the existing algorithm and the magnitude of the improvement to judge whether it is clinically meaningful.</w:t>
      </w:r>
    </w:p>
    <w:p>
      <w:pPr>
        <w:spacing w:after="100" w:before="60"/>
        <w:ind w:left="360"/>
      </w:pPr>
      <w:r>
        <w:rPr>
          <w:rFonts w:ascii="Times New Roman" w:hAnsi="Times New Roman"/>
          <w:b/>
          <w:i w:val="0"/>
          <w:sz w:val="22"/>
        </w:rPr>
        <w:t xml:space="preserve">Where to fix:  </w:t>
      </w:r>
      <w:r>
        <w:rPr>
          <w:rFonts w:ascii="Times New Roman" w:hAnsi="Times New Roman"/>
          <w:b w:val="0"/>
          <w:i/>
          <w:sz w:val="22"/>
        </w:rPr>
        <w:t>Results</w:t>
      </w:r>
    </w:p>
    <w:p>
      <w:pPr>
        <w:spacing w:after="100" w:before="60"/>
        <w:ind w:left="360"/>
      </w:pPr>
      <w:r>
        <w:rPr>
          <w:rFonts w:ascii="Times New Roman" w:hAnsi="Times New Roman"/>
          <w:b/>
          <w:i w:val="0"/>
          <w:sz w:val="22"/>
        </w:rPr>
        <w:t xml:space="preserve">Recommended change:  </w:t>
      </w:r>
      <w:r>
        <w:rPr>
          <w:rFonts w:ascii="Times New Roman" w:hAnsi="Times New Roman"/>
          <w:b w:val="0"/>
          <w:i/>
          <w:sz w:val="22"/>
        </w:rPr>
        <w:t>Replace the vague comparison with a specific figure, e.g., “Sensitivity improved from X% with the existing Langa-Weir algorithm to a range of 0.81–0.93 across the new models.”</w:t>
      </w:r>
    </w:p>
    <w:p>
      <w:pPr>
        <w:spacing w:before="240" w:after="60"/>
      </w:pPr>
      <w:r>
        <w:rPr>
          <w:rFonts w:ascii="Times New Roman" w:hAnsi="Times New Roman"/>
          <w:b/>
          <w:i w:val="0"/>
          <w:sz w:val="22"/>
        </w:rPr>
        <w:t xml:space="preserve">6.  Clarify the Direction of Fairness Violations  </w:t>
      </w:r>
      <w:r>
        <w:rPr>
          <w:rFonts w:ascii="Times New Roman" w:hAnsi="Times New Roman"/>
          <w:b/>
          <w:i w:val="0"/>
          <w:color w:val="B45A00"/>
          <w:sz w:val="22"/>
        </w:rPr>
        <w:t>[Important]</w:t>
      </w:r>
    </w:p>
    <w:p>
      <w:pPr>
        <w:spacing w:after="120" w:before="0"/>
      </w:pPr>
      <w:r>
        <w:rPr>
          <w:rFonts w:ascii="Times New Roman" w:hAnsi="Times New Roman"/>
          <w:b w:val="0"/>
          <w:i w:val="0"/>
          <w:sz w:val="22"/>
        </w:rPr>
        <w:t>The Key Points state Hispanic and male participants showed lower “equal opportunity and predictive equality.” These are opposite types of error: equal opportunity is the true positive rate (missed dementia cases), predictive equality is the false positive rate (false alarms). If a group shows lower rates on both simultaneously, that indicates systematic under-detection across the board — a distinct and more serious pattern than a single-metric violation. The abstract conflates these without clarification.</w:t>
        <w:br/>
        <w:br/>
        <w:t>Additionally, the Conclusions say disparities appear “in several models” but do not indicate whether any model achieves both high performance and acceptable fairness. This tradeoff is typically the central actionable finding in algorithmic fairness work.</w:t>
      </w:r>
    </w:p>
    <w:p>
      <w:pPr>
        <w:spacing w:after="100" w:before="60"/>
        <w:ind w:left="360"/>
      </w:pPr>
      <w:r>
        <w:rPr>
          <w:rFonts w:ascii="Times New Roman" w:hAnsi="Times New Roman"/>
          <w:b/>
          <w:i w:val="0"/>
          <w:sz w:val="22"/>
        </w:rPr>
        <w:t xml:space="preserve">Where to fix:  </w:t>
      </w:r>
      <w:r>
        <w:rPr>
          <w:rFonts w:ascii="Times New Roman" w:hAnsi="Times New Roman"/>
          <w:b w:val="0"/>
          <w:i/>
          <w:sz w:val="22"/>
        </w:rPr>
        <w:t>Key Points – Findings; Results; Conclusions</w:t>
      </w:r>
    </w:p>
    <w:p>
      <w:pPr>
        <w:spacing w:after="100" w:before="60"/>
        <w:ind w:left="360"/>
      </w:pPr>
      <w:r>
        <w:rPr>
          <w:rFonts w:ascii="Times New Roman" w:hAnsi="Times New Roman"/>
          <w:b/>
          <w:i w:val="0"/>
          <w:sz w:val="22"/>
        </w:rPr>
        <w:t xml:space="preserve">Recommended change:  </w:t>
      </w:r>
      <w:r>
        <w:rPr>
          <w:rFonts w:ascii="Times New Roman" w:hAnsi="Times New Roman"/>
          <w:b w:val="0"/>
          <w:i/>
          <w:sz w:val="22"/>
        </w:rPr>
        <w:t>Specify which fairness metrics are violated for which groups, and in which direction. In the Conclusions, indicate whether any model approximates the fairness-performance frontier, or explicitly note that no tested model satisfied both criteria.</w:t>
      </w:r>
    </w:p>
    <w:p>
      <w:pPr>
        <w:spacing w:before="240" w:after="60"/>
      </w:pPr>
      <w:r>
        <w:rPr>
          <w:rFonts w:ascii="Times New Roman" w:hAnsi="Times New Roman"/>
          <w:b/>
          <w:i w:val="0"/>
          <w:sz w:val="22"/>
        </w:rPr>
        <w:t xml:space="preserve">7.  Acknowledge the Absence of External Validation  </w:t>
      </w:r>
      <w:r>
        <w:rPr>
          <w:rFonts w:ascii="Times New Roman" w:hAnsi="Times New Roman"/>
          <w:b/>
          <w:i w:val="0"/>
          <w:color w:val="B45A00"/>
          <w:sz w:val="22"/>
        </w:rPr>
        <w:t>[Important]</w:t>
      </w:r>
    </w:p>
    <w:p>
      <w:pPr>
        <w:spacing w:after="120" w:before="0"/>
      </w:pPr>
      <w:r>
        <w:rPr>
          <w:rFonts w:ascii="Times New Roman" w:hAnsi="Times New Roman"/>
          <w:b w:val="0"/>
          <w:i w:val="0"/>
          <w:sz w:val="22"/>
        </w:rPr>
        <w:t>All reported performance metrics appear to derive from a single dataset (HRS-HCAP 2016). Even rigorous cross-validation constitutes internal validation only — performance in a new cohort, a different time period, or a different healthcare system is unknown. JAMA reviewers evaluating a prediction model paper will expect this limitation to be acknowledged explicitly in the abstract.</w:t>
      </w:r>
    </w:p>
    <w:p>
      <w:pPr>
        <w:spacing w:after="100" w:before="60"/>
        <w:ind w:left="360"/>
      </w:pPr>
      <w:r>
        <w:rPr>
          <w:rFonts w:ascii="Times New Roman" w:hAnsi="Times New Roman"/>
          <w:b/>
          <w:i w:val="0"/>
          <w:sz w:val="22"/>
        </w:rPr>
        <w:t xml:space="preserve">Where to fix:  </w:t>
      </w:r>
      <w:r>
        <w:rPr>
          <w:rFonts w:ascii="Times New Roman" w:hAnsi="Times New Roman"/>
          <w:b w:val="0"/>
          <w:i/>
          <w:sz w:val="22"/>
        </w:rPr>
        <w:t>Conclusions and Relevance</w:t>
      </w:r>
    </w:p>
    <w:p>
      <w:pPr>
        <w:spacing w:after="100" w:before="60"/>
        <w:ind w:left="360"/>
      </w:pPr>
      <w:r>
        <w:rPr>
          <w:rFonts w:ascii="Times New Roman" w:hAnsi="Times New Roman"/>
          <w:b/>
          <w:i w:val="0"/>
          <w:sz w:val="22"/>
        </w:rPr>
        <w:t xml:space="preserve">Recommended change:  </w:t>
      </w:r>
      <w:r>
        <w:rPr>
          <w:rFonts w:ascii="Times New Roman" w:hAnsi="Times New Roman"/>
          <w:b w:val="0"/>
          <w:i/>
          <w:sz w:val="22"/>
        </w:rPr>
        <w:t>Add to the final sentence: “…findings require external validation in independent cohorts before clinical or research deployment.”</w:t>
      </w:r>
    </w:p>
    <w:p>
      <w:pPr>
        <w:spacing w:before="240" w:after="60"/>
      </w:pPr>
      <w:r>
        <w:rPr>
          <w:rFonts w:ascii="Times New Roman" w:hAnsi="Times New Roman"/>
          <w:b/>
          <w:i w:val="0"/>
          <w:sz w:val="22"/>
        </w:rPr>
        <w:t xml:space="preserve">8.  Clarify Super Learner’s Relationship to the Other Five Models  </w:t>
      </w:r>
      <w:r>
        <w:rPr>
          <w:rFonts w:ascii="Times New Roman" w:hAnsi="Times New Roman"/>
          <w:b/>
          <w:i w:val="0"/>
          <w:color w:val="646464"/>
          <w:sz w:val="22"/>
        </w:rPr>
        <w:t>[Minor]</w:t>
      </w:r>
    </w:p>
    <w:p>
      <w:pPr>
        <w:spacing w:after="120" w:before="0"/>
      </w:pPr>
      <w:r>
        <w:rPr>
          <w:rFonts w:ascii="Times New Roman" w:hAnsi="Times New Roman"/>
          <w:b w:val="0"/>
          <w:i w:val="0"/>
          <w:sz w:val="22"/>
        </w:rPr>
        <w:t>Super Learner is an ensemble method that typically uses other algorithms as base learners. If the five other models (logistic regression, LASSO, RF, SVM, XGBoost) serve as its components, framing the comparison as “six independent algorithms” is potentially misleading, and a reviewer familiar with ensemble methods will raise this. The relationship should be clarified in one sentence.</w:t>
      </w:r>
    </w:p>
    <w:p>
      <w:pPr>
        <w:spacing w:after="100" w:before="60"/>
        <w:ind w:left="360"/>
      </w:pPr>
      <w:r>
        <w:rPr>
          <w:rFonts w:ascii="Times New Roman" w:hAnsi="Times New Roman"/>
          <w:b/>
          <w:i w:val="0"/>
          <w:sz w:val="22"/>
        </w:rPr>
        <w:t xml:space="preserve">Where to fix:  </w:t>
      </w:r>
      <w:r>
        <w:rPr>
          <w:rFonts w:ascii="Times New Roman" w:hAnsi="Times New Roman"/>
          <w:b w:val="0"/>
          <w:i/>
          <w:sz w:val="22"/>
        </w:rPr>
        <w:t>Main Outcomes and Measures</w:t>
      </w:r>
    </w:p>
    <w:p>
      <w:pPr>
        <w:spacing w:after="100" w:before="60"/>
        <w:ind w:left="360"/>
      </w:pPr>
      <w:r>
        <w:rPr>
          <w:rFonts w:ascii="Times New Roman" w:hAnsi="Times New Roman"/>
          <w:b/>
          <w:i w:val="0"/>
          <w:sz w:val="22"/>
        </w:rPr>
        <w:t xml:space="preserve">Recommended change:  </w:t>
      </w:r>
      <w:r>
        <w:rPr>
          <w:rFonts w:ascii="Times New Roman" w:hAnsi="Times New Roman"/>
          <w:b w:val="0"/>
          <w:i/>
          <w:sz w:val="22"/>
        </w:rPr>
        <w:t>Add a parenthetical clarification, e.g., “…and Super Learner (an ensemble of the preceding five algorithms).”</w:t>
      </w:r>
    </w:p>
    <w:p>
      <w:pPr>
        <w:spacing w:before="80" w:after="80"/>
        <w:pBdr>
          <w:bottom w:val="single" w:sz="4" w:space="1" w:color="888888"/>
        </w:pBdr>
      </w:pPr>
    </w:p>
    <w:p>
      <w:pPr>
        <w:spacing w:before="160" w:after="80"/>
      </w:pPr>
      <w:r>
        <w:rPr>
          <w:rFonts w:ascii="Times New Roman" w:hAnsi="Times New Roman"/>
          <w:b/>
          <w:i w:val="0"/>
          <w:sz w:val="26"/>
        </w:rPr>
        <w:t>SUMMARY</w:t>
      </w:r>
    </w:p>
    <w:p>
      <w:pPr>
        <w:spacing w:after="120" w:before="0"/>
      </w:pPr>
      <w:r>
        <w:rPr>
          <w:rFonts w:ascii="Times New Roman" w:hAnsi="Times New Roman"/>
          <w:b w:val="0"/>
          <w:i w:val="0"/>
          <w:sz w:val="22"/>
        </w:rPr>
        <w:t>Items 1–3 are most likely to trigger desk rejection and should be resolved before submission.</w:t>
      </w:r>
    </w:p>
    <w:tbl>
      <w:tblPr>
        <w:tblStyle w:val="TableGrid"/>
        <w:tblW w:type="auto" w:w="0"/>
        <w:tblLook w:firstColumn="1" w:firstRow="1" w:lastColumn="0" w:lastRow="0" w:noHBand="0" w:noVBand="1" w:val="04A0"/>
      </w:tblPr>
      <w:tblGrid>
        <w:gridCol w:w="2160"/>
        <w:gridCol w:w="2160"/>
        <w:gridCol w:w="2160"/>
        <w:gridCol w:w="2160"/>
      </w:tblGrid>
      <w:tr>
        <w:tc>
          <w:tcPr>
            <w:tcW w:type="dxa" w:w="432"/>
          </w:tcPr>
          <w:p>
            <w:pPr>
              <w:spacing w:after="40"/>
            </w:pPr>
            <w:r>
              <w:rPr>
                <w:rFonts w:ascii="Times New Roman" w:hAnsi="Times New Roman"/>
                <w:b/>
                <w:i w:val="0"/>
                <w:sz w:val="20"/>
              </w:rPr>
              <w:t>#</w:t>
            </w:r>
          </w:p>
        </w:tc>
        <w:tc>
          <w:tcPr>
            <w:tcW w:type="dxa" w:w="4320"/>
          </w:tcPr>
          <w:p>
            <w:pPr>
              <w:spacing w:after="40"/>
            </w:pPr>
            <w:r>
              <w:rPr>
                <w:rFonts w:ascii="Times New Roman" w:hAnsi="Times New Roman"/>
                <w:b/>
                <w:i w:val="0"/>
                <w:sz w:val="20"/>
              </w:rPr>
              <w:t>Recommendation</w:t>
            </w:r>
          </w:p>
        </w:tc>
        <w:tc>
          <w:tcPr>
            <w:tcW w:type="dxa" w:w="1440"/>
          </w:tcPr>
          <w:p>
            <w:pPr>
              <w:spacing w:after="40"/>
            </w:pPr>
            <w:r>
              <w:rPr>
                <w:rFonts w:ascii="Times New Roman" w:hAnsi="Times New Roman"/>
                <w:b/>
                <w:i w:val="0"/>
                <w:sz w:val="20"/>
              </w:rPr>
              <w:t>Severity</w:t>
            </w:r>
          </w:p>
        </w:tc>
        <w:tc>
          <w:tcPr>
            <w:tcW w:type="dxa" w:w="2160"/>
          </w:tcPr>
          <w:p>
            <w:pPr>
              <w:spacing w:after="40"/>
            </w:pPr>
            <w:r>
              <w:rPr>
                <w:rFonts w:ascii="Times New Roman" w:hAnsi="Times New Roman"/>
                <w:b/>
                <w:i w:val="0"/>
                <w:sz w:val="20"/>
              </w:rPr>
              <w:t>Section</w:t>
            </w:r>
          </w:p>
        </w:tc>
      </w:tr>
      <w:tr>
        <w:tc>
          <w:tcPr>
            <w:tcW w:type="dxa" w:w="432"/>
          </w:tcPr>
          <w:p>
            <w:pPr>
              <w:spacing w:after="40"/>
            </w:pPr>
            <w:r>
              <w:rPr>
                <w:rFonts w:ascii="Times New Roman" w:hAnsi="Times New Roman"/>
                <w:b w:val="0"/>
                <w:i w:val="0"/>
                <w:sz w:val="20"/>
              </w:rPr>
              <w:t>1</w:t>
            </w:r>
          </w:p>
        </w:tc>
        <w:tc>
          <w:tcPr>
            <w:tcW w:type="dxa" w:w="4320"/>
          </w:tcPr>
          <w:p>
            <w:pPr>
              <w:spacing w:after="40"/>
            </w:pPr>
            <w:r>
              <w:rPr>
                <w:rFonts w:ascii="Times New Roman" w:hAnsi="Times New Roman"/>
                <w:b w:val="0"/>
                <w:i w:val="0"/>
                <w:sz w:val="20"/>
              </w:rPr>
              <w:t>Reframe as prediction model development study</w:t>
            </w:r>
          </w:p>
        </w:tc>
        <w:tc>
          <w:tcPr>
            <w:tcW w:type="dxa" w:w="1440"/>
          </w:tcPr>
          <w:p>
            <w:pPr>
              <w:spacing w:after="40"/>
            </w:pPr>
            <w:r>
              <w:rPr>
                <w:rFonts w:ascii="Times New Roman" w:hAnsi="Times New Roman"/>
                <w:b/>
                <w:i w:val="0"/>
                <w:color w:val="B40000"/>
                <w:sz w:val="20"/>
              </w:rPr>
              <w:t>Critical</w:t>
            </w:r>
          </w:p>
        </w:tc>
        <w:tc>
          <w:tcPr>
            <w:tcW w:type="dxa" w:w="2160"/>
          </w:tcPr>
          <w:p>
            <w:pPr>
              <w:spacing w:after="40"/>
            </w:pPr>
            <w:r>
              <w:rPr>
                <w:rFonts w:ascii="Times New Roman" w:hAnsi="Times New Roman"/>
                <w:b w:val="0"/>
                <w:i w:val="0"/>
                <w:sz w:val="20"/>
              </w:rPr>
              <w:t>Design</w:t>
            </w:r>
          </w:p>
        </w:tc>
      </w:tr>
      <w:tr>
        <w:tc>
          <w:tcPr>
            <w:tcW w:type="dxa" w:w="432"/>
          </w:tcPr>
          <w:p>
            <w:pPr>
              <w:spacing w:after="40"/>
            </w:pPr>
            <w:r>
              <w:rPr>
                <w:rFonts w:ascii="Times New Roman" w:hAnsi="Times New Roman"/>
                <w:b w:val="0"/>
                <w:i w:val="0"/>
                <w:sz w:val="20"/>
              </w:rPr>
              <w:t>2</w:t>
            </w:r>
          </w:p>
        </w:tc>
        <w:tc>
          <w:tcPr>
            <w:tcW w:type="dxa" w:w="4320"/>
          </w:tcPr>
          <w:p>
            <w:pPr>
              <w:spacing w:after="40"/>
            </w:pPr>
            <w:r>
              <w:rPr>
                <w:rFonts w:ascii="Times New Roman" w:hAnsi="Times New Roman"/>
                <w:b w:val="0"/>
                <w:i w:val="0"/>
                <w:sz w:val="20"/>
              </w:rPr>
              <w:t>Name the reference standard for dementia</w:t>
            </w:r>
          </w:p>
        </w:tc>
        <w:tc>
          <w:tcPr>
            <w:tcW w:type="dxa" w:w="1440"/>
          </w:tcPr>
          <w:p>
            <w:pPr>
              <w:spacing w:after="40"/>
            </w:pPr>
            <w:r>
              <w:rPr>
                <w:rFonts w:ascii="Times New Roman" w:hAnsi="Times New Roman"/>
                <w:b/>
                <w:i w:val="0"/>
                <w:color w:val="B40000"/>
                <w:sz w:val="20"/>
              </w:rPr>
              <w:t>Critical</w:t>
            </w:r>
          </w:p>
        </w:tc>
        <w:tc>
          <w:tcPr>
            <w:tcW w:type="dxa" w:w="2160"/>
          </w:tcPr>
          <w:p>
            <w:pPr>
              <w:spacing w:after="40"/>
            </w:pPr>
            <w:r>
              <w:rPr>
                <w:rFonts w:ascii="Times New Roman" w:hAnsi="Times New Roman"/>
                <w:b w:val="0"/>
                <w:i w:val="0"/>
                <w:sz w:val="20"/>
              </w:rPr>
              <w:t>Design</w:t>
            </w:r>
          </w:p>
        </w:tc>
      </w:tr>
      <w:tr>
        <w:tc>
          <w:tcPr>
            <w:tcW w:type="dxa" w:w="432"/>
          </w:tcPr>
          <w:p>
            <w:pPr>
              <w:spacing w:after="40"/>
            </w:pPr>
            <w:r>
              <w:rPr>
                <w:rFonts w:ascii="Times New Roman" w:hAnsi="Times New Roman"/>
                <w:b w:val="0"/>
                <w:i w:val="0"/>
                <w:sz w:val="20"/>
              </w:rPr>
              <w:t>3</w:t>
            </w:r>
          </w:p>
        </w:tc>
        <w:tc>
          <w:tcPr>
            <w:tcW w:type="dxa" w:w="4320"/>
          </w:tcPr>
          <w:p>
            <w:pPr>
              <w:spacing w:after="40"/>
            </w:pPr>
            <w:r>
              <w:rPr>
                <w:rFonts w:ascii="Times New Roman" w:hAnsi="Times New Roman"/>
                <w:b w:val="0"/>
                <w:i w:val="0"/>
                <w:sz w:val="20"/>
              </w:rPr>
              <w:t>State train/test methodology</w:t>
            </w:r>
          </w:p>
        </w:tc>
        <w:tc>
          <w:tcPr>
            <w:tcW w:type="dxa" w:w="1440"/>
          </w:tcPr>
          <w:p>
            <w:pPr>
              <w:spacing w:after="40"/>
            </w:pPr>
            <w:r>
              <w:rPr>
                <w:rFonts w:ascii="Times New Roman" w:hAnsi="Times New Roman"/>
                <w:b/>
                <w:i w:val="0"/>
                <w:color w:val="B40000"/>
                <w:sz w:val="20"/>
              </w:rPr>
              <w:t>Critical</w:t>
            </w:r>
          </w:p>
        </w:tc>
        <w:tc>
          <w:tcPr>
            <w:tcW w:type="dxa" w:w="2160"/>
          </w:tcPr>
          <w:p>
            <w:pPr>
              <w:spacing w:after="40"/>
            </w:pPr>
            <w:r>
              <w:rPr>
                <w:rFonts w:ascii="Times New Roman" w:hAnsi="Times New Roman"/>
                <w:b w:val="0"/>
                <w:i w:val="0"/>
                <w:sz w:val="20"/>
              </w:rPr>
              <w:t>Main Outcomes</w:t>
            </w:r>
          </w:p>
        </w:tc>
      </w:tr>
      <w:tr>
        <w:tc>
          <w:tcPr>
            <w:tcW w:type="dxa" w:w="432"/>
          </w:tcPr>
          <w:p>
            <w:pPr>
              <w:spacing w:after="40"/>
            </w:pPr>
            <w:r>
              <w:rPr>
                <w:rFonts w:ascii="Times New Roman" w:hAnsi="Times New Roman"/>
                <w:b w:val="0"/>
                <w:i w:val="0"/>
                <w:sz w:val="20"/>
              </w:rPr>
              <w:t>4</w:t>
            </w:r>
          </w:p>
        </w:tc>
        <w:tc>
          <w:tcPr>
            <w:tcW w:type="dxa" w:w="4320"/>
          </w:tcPr>
          <w:p>
            <w:pPr>
              <w:spacing w:after="40"/>
            </w:pPr>
            <w:r>
              <w:rPr>
                <w:rFonts w:ascii="Times New Roman" w:hAnsi="Times New Roman"/>
                <w:b w:val="0"/>
                <w:i w:val="0"/>
                <w:sz w:val="20"/>
              </w:rPr>
              <w:t>Add ‘development’ to the Objective</w:t>
            </w:r>
          </w:p>
        </w:tc>
        <w:tc>
          <w:tcPr>
            <w:tcW w:type="dxa" w:w="1440"/>
          </w:tcPr>
          <w:p>
            <w:pPr>
              <w:spacing w:after="40"/>
            </w:pPr>
            <w:r>
              <w:rPr>
                <w:rFonts w:ascii="Times New Roman" w:hAnsi="Times New Roman"/>
                <w:b/>
                <w:i w:val="0"/>
                <w:color w:val="B45A00"/>
                <w:sz w:val="20"/>
              </w:rPr>
              <w:t>Important</w:t>
            </w:r>
          </w:p>
        </w:tc>
        <w:tc>
          <w:tcPr>
            <w:tcW w:type="dxa" w:w="2160"/>
          </w:tcPr>
          <w:p>
            <w:pPr>
              <w:spacing w:after="40"/>
            </w:pPr>
            <w:r>
              <w:rPr>
                <w:rFonts w:ascii="Times New Roman" w:hAnsi="Times New Roman"/>
                <w:b w:val="0"/>
                <w:i w:val="0"/>
                <w:sz w:val="20"/>
              </w:rPr>
              <w:t>Objective</w:t>
            </w:r>
          </w:p>
        </w:tc>
      </w:tr>
      <w:tr>
        <w:tc>
          <w:tcPr>
            <w:tcW w:type="dxa" w:w="432"/>
          </w:tcPr>
          <w:p>
            <w:pPr>
              <w:spacing w:after="40"/>
            </w:pPr>
            <w:r>
              <w:rPr>
                <w:rFonts w:ascii="Times New Roman" w:hAnsi="Times New Roman"/>
                <w:b w:val="0"/>
                <w:i w:val="0"/>
                <w:sz w:val="20"/>
              </w:rPr>
              <w:t>5</w:t>
            </w:r>
          </w:p>
        </w:tc>
        <w:tc>
          <w:tcPr>
            <w:tcW w:type="dxa" w:w="4320"/>
          </w:tcPr>
          <w:p>
            <w:pPr>
              <w:spacing w:after="40"/>
            </w:pPr>
            <w:r>
              <w:rPr>
                <w:rFonts w:ascii="Times New Roman" w:hAnsi="Times New Roman"/>
                <w:b w:val="0"/>
                <w:i w:val="0"/>
                <w:sz w:val="20"/>
              </w:rPr>
              <w:t>Quantify comparison with existing algorithms</w:t>
            </w:r>
          </w:p>
        </w:tc>
        <w:tc>
          <w:tcPr>
            <w:tcW w:type="dxa" w:w="1440"/>
          </w:tcPr>
          <w:p>
            <w:pPr>
              <w:spacing w:after="40"/>
            </w:pPr>
            <w:r>
              <w:rPr>
                <w:rFonts w:ascii="Times New Roman" w:hAnsi="Times New Roman"/>
                <w:b/>
                <w:i w:val="0"/>
                <w:color w:val="B45A00"/>
                <w:sz w:val="20"/>
              </w:rPr>
              <w:t>Important</w:t>
            </w:r>
          </w:p>
        </w:tc>
        <w:tc>
          <w:tcPr>
            <w:tcW w:type="dxa" w:w="2160"/>
          </w:tcPr>
          <w:p>
            <w:pPr>
              <w:spacing w:after="40"/>
            </w:pPr>
            <w:r>
              <w:rPr>
                <w:rFonts w:ascii="Times New Roman" w:hAnsi="Times New Roman"/>
                <w:b w:val="0"/>
                <w:i w:val="0"/>
                <w:sz w:val="20"/>
              </w:rPr>
              <w:t>Results</w:t>
            </w:r>
          </w:p>
        </w:tc>
      </w:tr>
      <w:tr>
        <w:tc>
          <w:tcPr>
            <w:tcW w:type="dxa" w:w="432"/>
          </w:tcPr>
          <w:p>
            <w:pPr>
              <w:spacing w:after="40"/>
            </w:pPr>
            <w:r>
              <w:rPr>
                <w:rFonts w:ascii="Times New Roman" w:hAnsi="Times New Roman"/>
                <w:b w:val="0"/>
                <w:i w:val="0"/>
                <w:sz w:val="20"/>
              </w:rPr>
              <w:t>6</w:t>
            </w:r>
          </w:p>
        </w:tc>
        <w:tc>
          <w:tcPr>
            <w:tcW w:type="dxa" w:w="4320"/>
          </w:tcPr>
          <w:p>
            <w:pPr>
              <w:spacing w:after="40"/>
            </w:pPr>
            <w:r>
              <w:rPr>
                <w:rFonts w:ascii="Times New Roman" w:hAnsi="Times New Roman"/>
                <w:b w:val="0"/>
                <w:i w:val="0"/>
                <w:sz w:val="20"/>
              </w:rPr>
              <w:t>Clarify direction of fairness violations</w:t>
            </w:r>
          </w:p>
        </w:tc>
        <w:tc>
          <w:tcPr>
            <w:tcW w:type="dxa" w:w="1440"/>
          </w:tcPr>
          <w:p>
            <w:pPr>
              <w:spacing w:after="40"/>
            </w:pPr>
            <w:r>
              <w:rPr>
                <w:rFonts w:ascii="Times New Roman" w:hAnsi="Times New Roman"/>
                <w:b/>
                <w:i w:val="0"/>
                <w:color w:val="B45A00"/>
                <w:sz w:val="20"/>
              </w:rPr>
              <w:t>Important</w:t>
            </w:r>
          </w:p>
        </w:tc>
        <w:tc>
          <w:tcPr>
            <w:tcW w:type="dxa" w:w="2160"/>
          </w:tcPr>
          <w:p>
            <w:pPr>
              <w:spacing w:after="40"/>
            </w:pPr>
            <w:r>
              <w:rPr>
                <w:rFonts w:ascii="Times New Roman" w:hAnsi="Times New Roman"/>
                <w:b w:val="0"/>
                <w:i w:val="0"/>
                <w:sz w:val="20"/>
              </w:rPr>
              <w:t>KP + Results + Conclusions</w:t>
            </w:r>
          </w:p>
        </w:tc>
      </w:tr>
      <w:tr>
        <w:tc>
          <w:tcPr>
            <w:tcW w:type="dxa" w:w="432"/>
          </w:tcPr>
          <w:p>
            <w:pPr>
              <w:spacing w:after="40"/>
            </w:pPr>
            <w:r>
              <w:rPr>
                <w:rFonts w:ascii="Times New Roman" w:hAnsi="Times New Roman"/>
                <w:b w:val="0"/>
                <w:i w:val="0"/>
                <w:sz w:val="20"/>
              </w:rPr>
              <w:t>7</w:t>
            </w:r>
          </w:p>
        </w:tc>
        <w:tc>
          <w:tcPr>
            <w:tcW w:type="dxa" w:w="4320"/>
          </w:tcPr>
          <w:p>
            <w:pPr>
              <w:spacing w:after="40"/>
            </w:pPr>
            <w:r>
              <w:rPr>
                <w:rFonts w:ascii="Times New Roman" w:hAnsi="Times New Roman"/>
                <w:b w:val="0"/>
                <w:i w:val="0"/>
                <w:sz w:val="20"/>
              </w:rPr>
              <w:t>Acknowledge absence of external validation</w:t>
            </w:r>
          </w:p>
        </w:tc>
        <w:tc>
          <w:tcPr>
            <w:tcW w:type="dxa" w:w="1440"/>
          </w:tcPr>
          <w:p>
            <w:pPr>
              <w:spacing w:after="40"/>
            </w:pPr>
            <w:r>
              <w:rPr>
                <w:rFonts w:ascii="Times New Roman" w:hAnsi="Times New Roman"/>
                <w:b/>
                <w:i w:val="0"/>
                <w:color w:val="B45A00"/>
                <w:sz w:val="20"/>
              </w:rPr>
              <w:t>Important</w:t>
            </w:r>
          </w:p>
        </w:tc>
        <w:tc>
          <w:tcPr>
            <w:tcW w:type="dxa" w:w="2160"/>
          </w:tcPr>
          <w:p>
            <w:pPr>
              <w:spacing w:after="40"/>
            </w:pPr>
            <w:r>
              <w:rPr>
                <w:rFonts w:ascii="Times New Roman" w:hAnsi="Times New Roman"/>
                <w:b w:val="0"/>
                <w:i w:val="0"/>
                <w:sz w:val="20"/>
              </w:rPr>
              <w:t>Conclusions</w:t>
            </w:r>
          </w:p>
        </w:tc>
      </w:tr>
      <w:tr>
        <w:tc>
          <w:tcPr>
            <w:tcW w:type="dxa" w:w="432"/>
          </w:tcPr>
          <w:p>
            <w:pPr>
              <w:spacing w:after="40"/>
            </w:pPr>
            <w:r>
              <w:rPr>
                <w:rFonts w:ascii="Times New Roman" w:hAnsi="Times New Roman"/>
                <w:b w:val="0"/>
                <w:i w:val="0"/>
                <w:sz w:val="20"/>
              </w:rPr>
              <w:t>8</w:t>
            </w:r>
          </w:p>
        </w:tc>
        <w:tc>
          <w:tcPr>
            <w:tcW w:type="dxa" w:w="4320"/>
          </w:tcPr>
          <w:p>
            <w:pPr>
              <w:spacing w:after="40"/>
            </w:pPr>
            <w:r>
              <w:rPr>
                <w:rFonts w:ascii="Times New Roman" w:hAnsi="Times New Roman"/>
                <w:b w:val="0"/>
                <w:i w:val="0"/>
                <w:sz w:val="20"/>
              </w:rPr>
              <w:t>Clarify Super Learner vs constituent models</w:t>
            </w:r>
          </w:p>
        </w:tc>
        <w:tc>
          <w:tcPr>
            <w:tcW w:type="dxa" w:w="1440"/>
          </w:tcPr>
          <w:p>
            <w:pPr>
              <w:spacing w:after="40"/>
            </w:pPr>
            <w:r>
              <w:rPr>
                <w:rFonts w:ascii="Times New Roman" w:hAnsi="Times New Roman"/>
                <w:b/>
                <w:i w:val="0"/>
                <w:color w:val="646464"/>
                <w:sz w:val="20"/>
              </w:rPr>
              <w:t>Minor</w:t>
            </w:r>
          </w:p>
        </w:tc>
        <w:tc>
          <w:tcPr>
            <w:tcW w:type="dxa" w:w="2160"/>
          </w:tcPr>
          <w:p>
            <w:pPr>
              <w:spacing w:after="40"/>
            </w:pPr>
            <w:r>
              <w:rPr>
                <w:rFonts w:ascii="Times New Roman" w:hAnsi="Times New Roman"/>
                <w:b w:val="0"/>
                <w:i w:val="0"/>
                <w:sz w:val="20"/>
              </w:rPr>
              <w:t>Main Outcomes</w:t>
            </w:r>
          </w:p>
        </w:tc>
      </w:tr>
    </w:tbl>
    <w:sectPr w:rsidR="00FC693F" w:rsidRPr="0006063C" w:rsidSect="00034616">
      <w:pgSz w:w="12240" w:h="15840"/>
      <w:pgMar w:top="1584" w:right="1800" w:bottom="158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