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b w:val="0"/>
        </w:rPr>
        <w:t>4 March 2026</w:t>
      </w:r>
    </w:p>
    <w:p>
      <w:pPr>
        <w:spacing w:before="0" w:after="0"/>
      </w:pPr>
      <w:r>
        <w:rPr>
          <w:b/>
        </w:rPr>
        <w:t>Dr. Ben Johnson</w:t>
      </w:r>
    </w:p>
    <w:p>
      <w:pPr>
        <w:spacing w:before="0" w:after="0"/>
      </w:pPr>
      <w:r>
        <w:rPr>
          <w:b w:val="0"/>
        </w:rPr>
        <w:t>Chief Editor, Nature Health</w:t>
      </w:r>
    </w:p>
    <w:p>
      <w:pPr>
        <w:spacing w:before="0" w:after="240"/>
      </w:pPr>
      <w:r>
        <w:rPr>
          <w:b w:val="0"/>
        </w:rPr>
        <w:t>Springer Nature</w:t>
      </w:r>
    </w:p>
    <w:p>
      <w:pPr>
        <w:spacing w:before="0" w:after="240"/>
      </w:pPr>
      <w:r>
        <w:rPr>
          <w:b w:val="0"/>
        </w:rPr>
        <w:t>Dear Dr. Johnson,</w:t>
      </w:r>
    </w:p>
    <w:p>
      <w:pPr>
        <w:spacing w:after="240"/>
      </w:pPr>
      <w:r>
        <w:rPr>
          <w:b/>
        </w:rPr>
        <w:t>Re: Correspondence submission — “The clinical AI safety gap: Why diagnostic accuracy is not enough”</w:t>
      </w:r>
    </w:p>
    <w:p>
      <w:pPr>
        <w:spacing w:before="0" w:after="240"/>
      </w:pPr>
      <w:r>
        <w:rPr>
          <w:b w:val="0"/>
        </w:rPr>
        <w:t>We submit for your consideration a Correspondence entitled “The clinical AI safety gap: Why diagnostic accuracy is not enough.”</w:t>
      </w:r>
    </w:p>
    <w:p>
      <w:pPr>
        <w:spacing w:before="0" w:after="240"/>
      </w:pPr>
      <w:r>
        <w:rPr>
          <w:b w:val="0"/>
        </w:rPr>
        <w:t>Consumer-facing AI chatbots are now the first point of medical contact for roughly one in five American adults and one in ten Australians — disproportionately those with limited access to conventional care. Yet the field evaluates them almost exclusively on whether they identify the right diagnosis. Our correspondence argues that this single metric is dangerously insufficient and, if left unchallenged, will allow large-scale deployment to cause systematic harm while appearing to succeed.</w:t>
      </w:r>
    </w:p>
    <w:p>
      <w:pPr>
        <w:spacing w:before="0" w:after="240"/>
      </w:pPr>
      <w:r>
        <w:rPr>
          <w:b w:val="0"/>
        </w:rPr>
        <w:t>The core argument is this: diagnostic accuracy does not guarantee safe care. A chatbot can name the correct disease while simultaneously recommending unnecessary investigations, inappropriate prescribing, or excessive escalation. We term this pattern ‘digital defensive medicine’ — driven in part by reinforcement learning from human feedback, which rewards answers that appear comprehensive and cautious but lacks any mechanism to weigh marginal benefit, patient burden, or opportunity cost. The result is not just suboptimal care; for older adults on polypharmacy or patients in resource-constrained settings, it is a direct route to iatrogenic harm.</w:t>
      </w:r>
    </w:p>
    <w:p>
      <w:pPr>
        <w:spacing w:before="0" w:after="240"/>
      </w:pPr>
      <w:r>
        <w:rPr>
          <w:b w:val="0"/>
        </w:rPr>
        <w:t>Equity is the sharpest edge of this problem. Your recent publication by Omar et al. demonstrates that AI guidance on pain management already shows sociodemographic gradients. Our correspondence argues this is structurally inevitable unless evaluation frameworks specifically test for it: AI systems trained on existing care patterns will reproduce the inequities embedded in those patterns — calibrating care intensity to demographic group and inferred social position, not clinical need alone. This is precisely the kind of population health harm that Nature Health is positioned to foreground.</w:t>
      </w:r>
    </w:p>
    <w:p>
      <w:pPr>
        <w:spacing w:before="0" w:after="240"/>
      </w:pPr>
      <w:r>
        <w:rPr>
          <w:b w:val="0"/>
        </w:rPr>
        <w:t>We propose a concrete, actionable agenda: treat the full consultation pathway — from history-taking through management advice, prescribing risk, downstream utilization and equity impact — as primary safety endpoints alongside diagnostic accuracy. This framework is directly motivated by, and engages with, five papers published in Nature Health and Nature Medicine in the past year (Qazi et al., Rutunda et al., Omar et al., McDuff et al., Ramaswamy et al.), and is grounded in our own empirical work on ChatGPT performance in chronic disease management across multiple settings.</w:t>
      </w:r>
    </w:p>
    <w:p>
      <w:pPr>
        <w:spacing w:before="0" w:after="240"/>
      </w:pPr>
      <w:r>
        <w:rPr>
          <w:b w:val="0"/>
        </w:rPr>
        <w:t>The manuscript is 477 words and cites 10 references. It has not been submitted elsewhere. The authors declare no competing interests.</w:t>
      </w:r>
    </w:p>
    <w:p>
      <w:pPr>
        <w:spacing w:before="0" w:after="480"/>
      </w:pPr>
      <w:r>
        <w:rPr>
          <w:b w:val="0"/>
        </w:rPr>
        <w:t>Sincerely,</w:t>
      </w:r>
    </w:p>
    <w:p>
      <w:pPr>
        <w:spacing w:before="0" w:after="0"/>
      </w:pPr>
      <w:r>
        <w:rPr>
          <w:b/>
        </w:rPr>
        <w:t>Yafei Si</w:t>
      </w:r>
    </w:p>
    <w:p>
      <w:pPr>
        <w:spacing w:before="0" w:after="0"/>
      </w:pPr>
      <w:r>
        <w:rPr>
          <w:b w:val="0"/>
        </w:rPr>
        <w:t>Centre for Health Policy, Melbourne School of Population and Global Health</w:t>
      </w:r>
    </w:p>
    <w:p>
      <w:pPr>
        <w:spacing w:before="0" w:after="0"/>
      </w:pPr>
      <w:r>
        <w:rPr>
          <w:b w:val="0"/>
        </w:rPr>
        <w:t>The University of Melbourne</w:t>
      </w:r>
    </w:p>
    <w:p>
      <w:pPr>
        <w:spacing w:before="0" w:after="360"/>
      </w:pPr>
      <w:r>
        <w:rPr>
          <w:b w:val="0"/>
        </w:rPr>
        <w:t>yafei.si@unimelb.edu.au</w:t>
      </w:r>
    </w:p>
    <w:p>
      <w:pPr>
        <w:spacing w:before="0" w:after="0"/>
      </w:pPr>
      <w:r>
        <w:rPr>
          <w:b/>
        </w:rPr>
        <w:t>Xi Chen</w:t>
      </w:r>
    </w:p>
    <w:p>
      <w:pPr>
        <w:spacing w:before="0" w:after="0"/>
      </w:pPr>
      <w:r>
        <w:rPr>
          <w:b w:val="0"/>
        </w:rPr>
        <w:t>Department of Health Policy and Management, Yale School of Public Health</w:t>
      </w:r>
    </w:p>
    <w:p>
      <w:pPr>
        <w:spacing w:before="0" w:after="0"/>
      </w:pPr>
      <w:r>
        <w:rPr>
          <w:b w:val="0"/>
        </w:rPr>
        <w:t>Department of Economics, Yale University</w:t>
      </w:r>
    </w:p>
    <w:p>
      <w:pPr>
        <w:spacing w:before="0" w:after="0"/>
      </w:pPr>
      <w:r>
        <w:rPr>
          <w:b w:val="0"/>
        </w:rPr>
        <w:t>xi.chen@yale.edu</w:t>
      </w:r>
    </w:p>
    <w:sectPr w:rsidR="00FC693F" w:rsidRPr="0006063C" w:rsidSect="00034616">
      <w:pgSz w:w="12240" w:h="15840"/>
      <w:pgMar w:top="1440" w:right="1720" w:bottom="1440" w:left="1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