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B6DF" w14:textId="21E9CFA9" w:rsidR="00385A02" w:rsidRPr="00637E7B" w:rsidRDefault="00956CDD" w:rsidP="00100FF0">
      <w:pPr>
        <w:spacing w:after="0"/>
        <w:jc w:val="center"/>
        <w:rPr>
          <w:rFonts w:ascii="Garamond" w:hAnsi="Garamond"/>
          <w:b/>
          <w:bCs/>
          <w:sz w:val="32"/>
          <w:szCs w:val="32"/>
        </w:rPr>
      </w:pPr>
      <w:r>
        <w:t>The clinical AI safety gap: beyond diagnostic accuracy</w:t>
      </w:r>
    </w:p>
    <w:p w14:paraId="1F36D806" w14:textId="77777777" w:rsidR="00637E7B" w:rsidRPr="00637E7B" w:rsidRDefault="00637E7B" w:rsidP="008E514D">
      <w:pPr>
        <w:spacing w:after="0"/>
        <w:rPr>
          <w:rFonts w:ascii="Garamond" w:hAnsi="Garamond"/>
        </w:rPr>
      </w:pPr>
    </w:p>
    <w:p w14:paraId="106DC623" w14:textId="4DB54835" w:rsidR="007869AE" w:rsidRPr="00BD57BF" w:rsidRDefault="007869AE" w:rsidP="00100FF0">
      <w:pPr>
        <w:spacing w:after="0"/>
        <w:jc w:val="center"/>
        <w:rPr>
          <w:rFonts w:ascii="Garamond" w:hAnsi="Garamond"/>
          <w:lang w:val="de-DE"/>
        </w:rPr>
      </w:pPr>
      <w:r w:rsidRPr="00BD57BF">
        <w:rPr>
          <w:rFonts w:ascii="Garamond" w:hAnsi="Garamond"/>
          <w:lang w:val="de-DE"/>
        </w:rPr>
        <w:t>Yafei Si</w:t>
      </w:r>
      <w:r w:rsidR="008876E2" w:rsidRPr="008876E2">
        <w:rPr>
          <w:rFonts w:ascii="Garamond" w:hAnsi="Garamond"/>
          <w:vertAlign w:val="superscript"/>
          <w:lang w:val="de-DE"/>
        </w:rPr>
        <w:t>1</w:t>
      </w:r>
      <w:r w:rsidRPr="00BD57BF">
        <w:rPr>
          <w:rFonts w:ascii="Garamond" w:hAnsi="Garamond"/>
          <w:lang w:val="de-DE"/>
        </w:rPr>
        <w:t>,</w:t>
      </w:r>
      <w:r w:rsidR="00BD57BF" w:rsidRPr="00BD57BF">
        <w:rPr>
          <w:rFonts w:ascii="Garamond" w:hAnsi="Garamond"/>
          <w:lang w:val="de-DE"/>
        </w:rPr>
        <w:t xml:space="preserve"> Xi Chen</w:t>
      </w:r>
      <w:r w:rsidR="008876E2">
        <w:rPr>
          <w:rFonts w:ascii="Garamond" w:hAnsi="Garamond"/>
          <w:vertAlign w:val="superscript"/>
          <w:lang w:val="de-DE"/>
        </w:rPr>
        <w:t>2,3</w:t>
      </w:r>
    </w:p>
    <w:p w14:paraId="41D1E7F1" w14:textId="5594782E" w:rsidR="00100FF0" w:rsidRPr="00BD57BF" w:rsidRDefault="00100FF0" w:rsidP="00736170">
      <w:pPr>
        <w:spacing w:after="0"/>
        <w:jc w:val="both"/>
        <w:rPr>
          <w:rFonts w:ascii="Garamond" w:hAnsi="Garamond"/>
          <w:lang w:val="de-DE"/>
        </w:rPr>
      </w:pPr>
    </w:p>
    <w:p w14:paraId="03DBBF59" w14:textId="1843FA65" w:rsidR="00551495" w:rsidRDefault="00EB1F77" w:rsidP="00551495">
      <w:pPr>
        <w:numPr>
          <w:ilvl w:val="0"/>
          <w:numId w:val="1"/>
        </w:numPr>
        <w:spacing w:after="0"/>
        <w:jc w:val="both"/>
        <w:rPr>
          <w:rFonts w:ascii="Garamond" w:hAnsi="Garamond"/>
          <w:lang w:val="en-US"/>
        </w:rPr>
      </w:pPr>
      <w:r w:rsidRPr="00EB1F77">
        <w:rPr>
          <w:rFonts w:ascii="Garamond" w:hAnsi="Garamond"/>
        </w:rPr>
        <w:t>Ce</w:t>
      </w:r>
      <w:r>
        <w:rPr>
          <w:rFonts w:ascii="Garamond" w:hAnsi="Garamond"/>
        </w:rPr>
        <w:t xml:space="preserve">ntre for Health Policy, </w:t>
      </w:r>
      <w:r w:rsidR="00551495" w:rsidRPr="00551495">
        <w:rPr>
          <w:rFonts w:ascii="Garamond" w:hAnsi="Garamond"/>
          <w:lang w:val="en-US"/>
        </w:rPr>
        <w:t>Melbourne School of Population and Global Health, The University of Melbourne, Parkville, VIC, 3000, Australia.</w:t>
      </w:r>
    </w:p>
    <w:p w14:paraId="1C230303" w14:textId="77777777" w:rsidR="00DE11EF" w:rsidRPr="00DE11EF" w:rsidRDefault="00DE11EF" w:rsidP="00DE11EF">
      <w:pPr>
        <w:numPr>
          <w:ilvl w:val="0"/>
          <w:numId w:val="1"/>
        </w:numPr>
        <w:spacing w:after="0"/>
        <w:jc w:val="both"/>
        <w:rPr>
          <w:rFonts w:ascii="Garamond" w:hAnsi="Garamond"/>
          <w:lang w:val="en-US"/>
        </w:rPr>
      </w:pPr>
      <w:r w:rsidRPr="00DE11EF">
        <w:rPr>
          <w:rFonts w:ascii="Garamond" w:hAnsi="Garamond"/>
          <w:lang w:val="en-US"/>
        </w:rPr>
        <w:t>Department of Health Policy and Management, Yale School of Public Health, New Haven, CT, USA.</w:t>
      </w:r>
    </w:p>
    <w:p w14:paraId="45C24D29" w14:textId="00B69EFB" w:rsidR="00B459E2" w:rsidRPr="00551495" w:rsidRDefault="00DE11EF" w:rsidP="00963ECA">
      <w:pPr>
        <w:numPr>
          <w:ilvl w:val="0"/>
          <w:numId w:val="1"/>
        </w:numPr>
        <w:spacing w:after="0"/>
        <w:jc w:val="both"/>
        <w:rPr>
          <w:rFonts w:ascii="Garamond" w:hAnsi="Garamond"/>
          <w:lang w:val="en-US"/>
        </w:rPr>
      </w:pPr>
      <w:r w:rsidRPr="00DE11EF">
        <w:rPr>
          <w:rFonts w:ascii="Garamond" w:hAnsi="Garamond"/>
          <w:lang w:val="en-US"/>
        </w:rPr>
        <w:t>Department of Economics, Yale University, New Haven, CT, USA.</w:t>
      </w:r>
    </w:p>
    <w:p w14:paraId="364769E9" w14:textId="77777777" w:rsidR="00100FF0" w:rsidRDefault="00100FF0" w:rsidP="00736170">
      <w:pPr>
        <w:spacing w:after="0"/>
        <w:jc w:val="both"/>
        <w:rPr>
          <w:rFonts w:ascii="Garamond" w:hAnsi="Garamond"/>
          <w:lang w:val="en-US"/>
        </w:rPr>
      </w:pPr>
    </w:p>
    <w:p w14:paraId="05B7503A" w14:textId="4C8107E6" w:rsidR="00D2653F" w:rsidRPr="008C4927" w:rsidRDefault="008C4927" w:rsidP="00736170">
      <w:pPr>
        <w:spacing w:after="0"/>
        <w:jc w:val="both"/>
        <w:rPr>
          <w:rFonts w:ascii="Garamond" w:hAnsi="Garamond"/>
          <w:lang w:val="de-DE"/>
        </w:rPr>
      </w:pPr>
      <w:r w:rsidRPr="008C4927">
        <w:rPr>
          <w:rFonts w:ascii="Garamond" w:hAnsi="Garamond"/>
          <w:lang w:val="de-DE"/>
        </w:rPr>
        <w:t xml:space="preserve">E-mail: </w:t>
      </w:r>
      <w:hyperlink r:id="rId5" w:history="1">
        <w:r w:rsidR="00BC6190" w:rsidRPr="00553401">
          <w:rPr>
            <w:rStyle w:val="Hyperlink"/>
            <w:rFonts w:ascii="Garamond" w:hAnsi="Garamond"/>
            <w:lang w:val="de-DE"/>
          </w:rPr>
          <w:t>yafei.si@unimelb.edu.au</w:t>
        </w:r>
      </w:hyperlink>
      <w:r w:rsidR="00BC6190">
        <w:rPr>
          <w:rFonts w:ascii="Garamond" w:hAnsi="Garamond"/>
          <w:lang w:val="de-DE"/>
        </w:rPr>
        <w:t xml:space="preserve">; </w:t>
      </w:r>
      <w:hyperlink r:id="rId6" w:history="1">
        <w:r w:rsidR="00BC6190" w:rsidRPr="00553401">
          <w:rPr>
            <w:rStyle w:val="Hyperlink"/>
            <w:rFonts w:ascii="Garamond" w:hAnsi="Garamond"/>
            <w:lang w:val="de-DE"/>
          </w:rPr>
          <w:t>xi.chen@yale.edu</w:t>
        </w:r>
      </w:hyperlink>
      <w:r w:rsidR="00BC6190">
        <w:rPr>
          <w:rFonts w:ascii="Garamond" w:hAnsi="Garamond"/>
          <w:lang w:val="de-DE"/>
        </w:rPr>
        <w:t xml:space="preserve">  </w:t>
      </w:r>
    </w:p>
    <w:p w14:paraId="2041819B" w14:textId="77777777" w:rsidR="00D2653F" w:rsidRPr="008C4927" w:rsidRDefault="00D2653F" w:rsidP="00736170">
      <w:pPr>
        <w:spacing w:after="0"/>
        <w:jc w:val="both"/>
        <w:rPr>
          <w:rFonts w:ascii="Garamond" w:hAnsi="Garamond"/>
          <w:lang w:val="de-DE"/>
        </w:rPr>
      </w:pPr>
    </w:p>
    <w:p w14:paraId="34AE7344" w14:textId="76C8606F" w:rsidR="0066507B" w:rsidRPr="004D46A7" w:rsidRDefault="005F51CF" w:rsidP="00736170">
      <w:pPr>
        <w:spacing w:after="0"/>
        <w:jc w:val="both"/>
        <w:rPr>
          <w:rFonts w:ascii="Garamond" w:hAnsi="Garamond"/>
          <w:b/>
          <w:bCs/>
        </w:rPr>
      </w:pPr>
      <w:r w:rsidRPr="004D46A7">
        <w:rPr>
          <w:rFonts w:ascii="Garamond" w:hAnsi="Garamond"/>
          <w:b/>
          <w:bCs/>
        </w:rPr>
        <w:t>Main</w:t>
      </w:r>
    </w:p>
    <w:p w14:paraId="3F638DA3" w14:textId="60F0EAAF" w:rsidR="003C6630" w:rsidRDefault="001A2FBB" w:rsidP="00736170">
      <w:pPr>
        <w:spacing w:after="0"/>
        <w:jc w:val="both"/>
        <w:rPr>
          <w:rFonts w:ascii="Garamond" w:hAnsi="Garamond"/>
        </w:rPr>
      </w:pPr>
      <w:r>
        <w:t>Conversational AI chatbots are rapidly becoming patient-facing sources of medical advice</w:t>
      </w:r>
      <w:r>
        <w:rPr>
          <w:vertAlign w:val="superscript"/>
        </w:rPr>
        <w:t>1</w:t>
      </w:r>
      <w:r>
        <w:t>, especially for chronic disease management in primary care. In 2024, about 20% of US adults</w:t>
      </w:r>
      <w:r>
        <w:rPr>
          <w:vertAlign w:val="superscript"/>
        </w:rPr>
        <w:t>2</w:t>
      </w:r>
      <w:r>
        <w:t xml:space="preserve"> and 10% of Australians</w:t>
      </w:r>
      <w:r>
        <w:rPr>
          <w:vertAlign w:val="superscript"/>
        </w:rPr>
        <w:t>3</w:t>
      </w:r>
      <w:r>
        <w:t xml:space="preserve"> reported using ChatGPT for health information, with particularly high uptake among people with limited access to conventional care. Yet evaluation frameworks remain anchored to a narrow benchmark of success. Current frameworks focus mainly on diagnostic correctness in static vignettes</w:t>
      </w:r>
      <w:r>
        <w:rPr>
          <w:vertAlign w:val="superscript"/>
        </w:rPr>
        <w:t>4</w:t>
      </w:r>
      <w:r>
        <w:t xml:space="preserve"> or guideline concordance</w:t>
      </w:r>
      <w:r>
        <w:rPr>
          <w:vertAlign w:val="superscript"/>
        </w:rPr>
        <w:t>5,6</w:t>
      </w:r>
      <w:r>
        <w:t>. This narrow focus overlooks a more consequential question: how AI-generated advice shapes downstream health-care utilization, care quality and patient safety.</w:t>
      </w:r>
    </w:p>
    <w:p w14:paraId="2289871D" w14:textId="77777777" w:rsidR="00CA7C14" w:rsidRDefault="00CA7C14" w:rsidP="00736170">
      <w:pPr>
        <w:spacing w:after="0"/>
        <w:jc w:val="both"/>
        <w:rPr>
          <w:rFonts w:ascii="Garamond" w:hAnsi="Garamond"/>
        </w:rPr>
      </w:pPr>
    </w:p>
    <w:p w14:paraId="5A672056" w14:textId="691A6D11" w:rsidR="00CA7C14" w:rsidRDefault="00CA7C14" w:rsidP="00736170">
      <w:pPr>
        <w:spacing w:after="0"/>
        <w:jc w:val="both"/>
        <w:rPr>
          <w:rFonts w:ascii="Garamond" w:hAnsi="Garamond"/>
        </w:rPr>
      </w:pPr>
      <w:r>
        <w:t>We term this the clinical AI safety gap. A model can generate a technically accurate diagnosis while still producing unsafe management recommendations through unnecessary testing, inappropriate prescribing and excessive escalation</w:t>
      </w:r>
      <w:r>
        <w:rPr>
          <w:vertAlign w:val="superscript"/>
        </w:rPr>
        <w:t>7</w:t>
      </w:r>
      <w:r>
        <w:t>. In practice, consumer-facing chatbots may encourage a form of digital defensive medicine</w:t>
      </w:r>
      <w:r>
        <w:rPr>
          <w:vertAlign w:val="superscript"/>
        </w:rPr>
        <w:t>8</w:t>
      </w:r>
      <w:r>
        <w:t>: advice that is broad, risk-averse and superficially thorough, but poorly calibrated to marginal benefit, patient burden and system constraints.</w:t>
      </w:r>
    </w:p>
    <w:p w14:paraId="78D09A76" w14:textId="77777777" w:rsidR="003C6630" w:rsidRDefault="003C6630" w:rsidP="00736170">
      <w:pPr>
        <w:spacing w:after="0"/>
        <w:jc w:val="both"/>
        <w:rPr>
          <w:rFonts w:ascii="Garamond" w:hAnsi="Garamond"/>
        </w:rPr>
      </w:pPr>
    </w:p>
    <w:p w14:paraId="4385257F" w14:textId="5250DE1B" w:rsidR="003C6630" w:rsidRDefault="006E705A" w:rsidP="00736170">
      <w:pPr>
        <w:spacing w:after="0"/>
        <w:jc w:val="both"/>
        <w:rPr>
          <w:rFonts w:ascii="Garamond" w:hAnsi="Garamond"/>
        </w:rPr>
      </w:pPr>
      <w:r>
        <w:t>One structural driver is the alignment strategy used during training, including reinforcement learning from human feedback</w:t>
      </w:r>
      <w:r>
        <w:rPr>
          <w:vertAlign w:val="superscript"/>
        </w:rPr>
        <w:t>9</w:t>
      </w:r>
      <w:r>
        <w:t>, which often rewards answers that appear comprehensive, cautious and helpful. In clinical settings, however, ‘more’ is not always better. Human clinicians must constantly weigh the benefits of investigations and treatments against financial costs, low-value care, adverse effects and opportunity costs. Consumer-facing chatbots currently lack any mechanism to surface these trade-offs.</w:t>
      </w:r>
    </w:p>
    <w:p w14:paraId="45354506" w14:textId="77777777" w:rsidR="006E705A" w:rsidRDefault="006E705A" w:rsidP="00736170">
      <w:pPr>
        <w:spacing w:after="0"/>
        <w:jc w:val="both"/>
        <w:rPr>
          <w:rFonts w:ascii="Garamond" w:hAnsi="Garamond"/>
        </w:rPr>
      </w:pPr>
    </w:p>
    <w:p w14:paraId="65B415E1" w14:textId="6C1A00D8" w:rsidR="00932238" w:rsidRDefault="00932238" w:rsidP="00736170">
      <w:pPr>
        <w:spacing w:after="0"/>
        <w:jc w:val="both"/>
        <w:rPr>
          <w:rFonts w:ascii="Garamond" w:hAnsi="Garamond"/>
        </w:rPr>
      </w:pPr>
      <w:r>
        <w:t>These downstream risks will not be distributed equitably</w:t>
      </w:r>
      <w:r>
        <w:rPr>
          <w:vertAlign w:val="superscript"/>
        </w:rPr>
        <w:t>10</w:t>
      </w:r>
      <w:r>
        <w:t>. Real-world inequities in care by age, gender, socioeconomic position and insurance status are already well documented. AI systems may reproduce or amplify such patterns by internalizing the structures, incentives and utilization norms embedded in their training data. As a result, care intensity may come to reflect not only clinical need, but also inferred social position and demographic markers.</w:t>
      </w:r>
    </w:p>
    <w:p w14:paraId="01D1168C" w14:textId="77777777" w:rsidR="0038596A" w:rsidRDefault="0038596A" w:rsidP="00736170">
      <w:pPr>
        <w:spacing w:after="0"/>
        <w:jc w:val="both"/>
        <w:rPr>
          <w:rFonts w:ascii="Garamond" w:hAnsi="Garamond"/>
        </w:rPr>
      </w:pPr>
    </w:p>
    <w:p w14:paraId="2C4CDD00" w14:textId="657D077C" w:rsidR="0038596A" w:rsidRDefault="0038596A" w:rsidP="00736170">
      <w:pPr>
        <w:spacing w:after="0"/>
        <w:jc w:val="both"/>
        <w:rPr>
          <w:rFonts w:ascii="Garamond" w:hAnsi="Garamond"/>
        </w:rPr>
      </w:pPr>
      <w:proofErr w:type="gramStart"/>
      <w:proofErr w:type="gramEnd"/>
      <w:r>
        <w:t>Two scenarios illustrate this risk. For older adults with chronic conditions, high diagnostic accuracy could still translate into more intensive and potentially inappropriate polypharmacy. Likewise, patients with stronger insurance coverage or higher socioeconomic status may receive more extensive diagnostic workups, but also face greater exposure to low-value, resource-driven testing. In both cases, apparent thoroughness can mask avoidable harm.</w:t>
      </w:r>
    </w:p>
    <w:p w14:paraId="05F8481E" w14:textId="77777777" w:rsidR="00BC2131" w:rsidRDefault="00BC2131" w:rsidP="00736170">
      <w:pPr>
        <w:spacing w:after="0"/>
        <w:jc w:val="both"/>
        <w:rPr>
          <w:rFonts w:ascii="Garamond" w:hAnsi="Garamond"/>
        </w:rPr>
      </w:pPr>
    </w:p>
    <w:p w14:paraId="31D67272" w14:textId="3000B719" w:rsidR="00BC2131" w:rsidRDefault="00160CB2" w:rsidP="00736170">
      <w:pPr>
        <w:spacing w:after="0"/>
        <w:jc w:val="both"/>
        <w:rPr>
          <w:rFonts w:ascii="Garamond" w:hAnsi="Garamond"/>
        </w:rPr>
      </w:pPr>
      <w:r>
        <w:t>As health systems increasingly look to AI to address primary care shortages and population ageing, public trust will depend on more than whether chatbots can identify the correct diagnosis. If left unaddressed, large-scale deployment could normalize low-value care, convert accessible advice into iatrogenic risk and financial burden, and disproportionately affect already vulnerable populations.</w:t>
      </w:r>
    </w:p>
    <w:p w14:paraId="31594A63" w14:textId="77777777" w:rsidR="00057D96" w:rsidRDefault="00057D96" w:rsidP="00736170">
      <w:pPr>
        <w:spacing w:after="0"/>
        <w:jc w:val="both"/>
        <w:rPr>
          <w:rFonts w:ascii="Garamond" w:hAnsi="Garamond"/>
        </w:rPr>
      </w:pPr>
    </w:p>
    <w:p w14:paraId="6CC6ED7C" w14:textId="2F904EEE" w:rsidR="00057D96" w:rsidRDefault="00057D96" w:rsidP="00736170">
      <w:pPr>
        <w:spacing w:after="0"/>
        <w:jc w:val="both"/>
        <w:rPr>
          <w:rFonts w:ascii="Garamond" w:hAnsi="Garamond"/>
        </w:rPr>
      </w:pPr>
      <w:r>
        <w:t>Governance must move beyond narrow diagnostic benchmarks. Evaluation frameworks should treat the full consultation pathway — from history-taking through management advice, prescribing risk, downstream utilization and equity impact — as primary safety endpoints, not secondary considerations. Diagnostic accuracy is necessary but not sufficient; safety requires getting the whole encounter right.</w:t>
      </w:r>
    </w:p>
    <w:p w14:paraId="5F9B50DD" w14:textId="77777777" w:rsidR="00932238" w:rsidRDefault="00932238" w:rsidP="00736170">
      <w:pPr>
        <w:spacing w:after="0"/>
        <w:jc w:val="both"/>
        <w:rPr>
          <w:rFonts w:ascii="Garamond" w:hAnsi="Garamond"/>
        </w:rPr>
      </w:pPr>
    </w:p>
    <w:p w14:paraId="2B5236FD" w14:textId="77777777" w:rsidR="000734C7" w:rsidRDefault="000734C7" w:rsidP="00736170">
      <w:pPr>
        <w:spacing w:after="0"/>
        <w:jc w:val="both"/>
        <w:rPr>
          <w:rFonts w:ascii="Garamond" w:hAnsi="Garamond"/>
        </w:rPr>
      </w:pPr>
    </w:p>
    <w:p w14:paraId="42A080A1" w14:textId="77777777" w:rsidR="000734C7" w:rsidRDefault="000734C7" w:rsidP="00736170">
      <w:pPr>
        <w:spacing w:after="0"/>
        <w:jc w:val="both"/>
        <w:rPr>
          <w:rFonts w:ascii="Garamond" w:hAnsi="Garamond"/>
        </w:rPr>
      </w:pPr>
    </w:p>
    <w:p w14:paraId="5B0DDC0D" w14:textId="77777777" w:rsidR="002C645E" w:rsidRPr="00345490" w:rsidRDefault="002C645E" w:rsidP="002C645E">
      <w:pPr>
        <w:spacing w:after="0"/>
        <w:jc w:val="both"/>
        <w:rPr>
          <w:rFonts w:ascii="Garamond" w:hAnsi="Garamond"/>
          <w:b/>
          <w:bCs/>
          <w:lang w:val="en-GB"/>
        </w:rPr>
      </w:pPr>
      <w:r>
        <w:t>Funding and Acknowledgements</w:t>
      </w:r>
    </w:p>
    <w:p w14:paraId="3DBFB7E3" w14:textId="77777777" w:rsidR="002C645E" w:rsidRDefault="002C645E" w:rsidP="002C645E">
      <w:pPr>
        <w:spacing w:after="0"/>
        <w:jc w:val="both"/>
        <w:rPr>
          <w:rFonts w:ascii="Garamond" w:hAnsi="Garamond"/>
        </w:rPr>
      </w:pPr>
      <w:r w:rsidRPr="00345490">
        <w:rPr>
          <w:rFonts w:ascii="Garamond" w:hAnsi="Garamond"/>
          <w:lang w:val="en-GB"/>
        </w:rPr>
        <w:t>XC acknowledges financial support from the Drazen scholarship and the Aden scholarship, which are dedicated to research on Chinese healthcare systems.</w:t>
      </w:r>
    </w:p>
    <w:p w14:paraId="7EFE5F25" w14:textId="77777777" w:rsidR="002C645E" w:rsidRDefault="002C645E" w:rsidP="002C645E">
      <w:pPr>
        <w:spacing w:after="0"/>
        <w:jc w:val="both"/>
        <w:rPr>
          <w:rFonts w:ascii="Garamond" w:hAnsi="Garamond"/>
        </w:rPr>
      </w:pPr>
    </w:p>
    <w:p w14:paraId="7F950CEB" w14:textId="77777777" w:rsidR="002C645E" w:rsidRPr="00B55176" w:rsidRDefault="002C645E" w:rsidP="002C645E">
      <w:pPr>
        <w:spacing w:after="0"/>
        <w:jc w:val="both"/>
        <w:rPr>
          <w:rFonts w:ascii="Garamond" w:hAnsi="Garamond"/>
          <w:b/>
          <w:bCs/>
          <w:lang w:val="en-US"/>
        </w:rPr>
      </w:pPr>
      <w:r w:rsidRPr="00B55176">
        <w:rPr>
          <w:rFonts w:ascii="Garamond" w:hAnsi="Garamond"/>
          <w:b/>
          <w:bCs/>
          <w:lang w:val="en-US"/>
        </w:rPr>
        <w:t xml:space="preserve">Conflict of Interest </w:t>
      </w:r>
    </w:p>
    <w:p w14:paraId="141D8497" w14:textId="77777777" w:rsidR="002C645E" w:rsidRPr="00B55176" w:rsidRDefault="002C645E" w:rsidP="002C645E">
      <w:pPr>
        <w:spacing w:after="0"/>
        <w:jc w:val="both"/>
        <w:rPr>
          <w:rFonts w:ascii="Garamond" w:hAnsi="Garamond"/>
          <w:lang w:val="en-US"/>
        </w:rPr>
      </w:pPr>
      <w:r>
        <w:t>The authors declare no conflicts of interest.</w:t>
      </w:r>
    </w:p>
    <w:p w14:paraId="2556E349" w14:textId="61AA48BC" w:rsidR="002C645E" w:rsidRDefault="002C645E">
      <w:pPr>
        <w:rPr>
          <w:rFonts w:ascii="Garamond" w:hAnsi="Garamond"/>
          <w:b/>
          <w:bCs/>
        </w:rPr>
      </w:pPr>
    </w:p>
    <w:p w14:paraId="3327CE94" w14:textId="4437A237" w:rsidR="00EA67FE" w:rsidRPr="00AC5257" w:rsidRDefault="00EA67FE" w:rsidP="00736170">
      <w:pPr>
        <w:spacing w:after="0"/>
        <w:jc w:val="both"/>
        <w:rPr>
          <w:rFonts w:ascii="Garamond" w:hAnsi="Garamond"/>
          <w:b/>
          <w:bCs/>
        </w:rPr>
      </w:pPr>
      <w:r w:rsidRPr="00AC5257">
        <w:rPr>
          <w:rFonts w:ascii="Garamond" w:hAnsi="Garamond"/>
          <w:b/>
          <w:bCs/>
        </w:rPr>
        <w:t>References</w:t>
      </w:r>
    </w:p>
    <w:p w14:paraId="2F977F69" w14:textId="77777777" w:rsidR="00A62BCA" w:rsidRPr="00A62BCA" w:rsidRDefault="002013E9" w:rsidP="00A62BCA">
      <w:pPr>
        <w:pStyle w:val="Bibliography"/>
        <w:rPr>
          <w:rFonts w:ascii="Garamond" w:hAnsi="Garamond"/>
        </w:rPr>
      </w:pPr>
      <w:r>
        <w:t>1.</w:t>
        <w:tab/>
      </w:r>
      <w:r>
        <w:t xml:space="preserve">Ramaswamy, A. et al. ChatGPT Health performance in a structured test of triage recommendations. </w:t>
      </w:r>
      <w:r>
        <w:rPr>
          <w:i/>
        </w:rPr>
        <w:t>Nat. Med.</w:t>
      </w:r>
      <w:r>
        <w:t xml:space="preserve"> https://doi.org/10.1038/s41591-026-04297-7 (2026).</w:t>
      </w:r>
    </w:p>
    <w:p w14:paraId="61FF98C3" w14:textId="77777777" w:rsidR="00A62BCA" w:rsidRPr="00A62BCA" w:rsidRDefault="00A62BCA" w:rsidP="00A62BCA">
      <w:pPr>
        <w:pStyle w:val="Bibliography"/>
        <w:rPr>
          <w:rFonts w:ascii="Garamond" w:hAnsi="Garamond"/>
        </w:rPr>
      </w:pPr>
      <w:r w:rsidRPr="00A62BCA">
        <w:rPr>
          <w:rFonts w:ascii="Garamond" w:hAnsi="Garamond"/>
        </w:rPr>
        <w:t>2.</w:t>
      </w:r>
      <w:r w:rsidRPr="00A62BCA">
        <w:rPr>
          <w:rFonts w:ascii="Garamond" w:hAnsi="Garamond"/>
        </w:rPr>
        <w:tab/>
        <w:t xml:space="preserve">Ayo-Ajibola, O., Davis, R. J., Lin, M. E., Riddell, J. &amp; Kravitz, R. L. Characterizing the Adoption and Experiences of Users of Artificial Intelligence–Generated Health Information in the United States: Cross-Sectional Questionnaire Study. </w:t>
      </w:r>
      <w:r w:rsidRPr="00A62BCA">
        <w:rPr>
          <w:rFonts w:ascii="Garamond" w:hAnsi="Garamond"/>
          <w:i/>
          <w:iCs/>
        </w:rPr>
        <w:t>J. Med. Internet Res.</w:t>
      </w:r>
      <w:r w:rsidRPr="00A62BCA">
        <w:rPr>
          <w:rFonts w:ascii="Garamond" w:hAnsi="Garamond"/>
        </w:rPr>
        <w:t xml:space="preserve"> </w:t>
      </w:r>
      <w:r w:rsidRPr="00A62BCA">
        <w:rPr>
          <w:rFonts w:ascii="Garamond" w:hAnsi="Garamond"/>
          <w:b/>
          <w:bCs/>
        </w:rPr>
        <w:t>26</w:t>
      </w:r>
      <w:r w:rsidRPr="00A62BCA">
        <w:rPr>
          <w:rFonts w:ascii="Garamond" w:hAnsi="Garamond"/>
        </w:rPr>
        <w:t>, e55138 (2024).</w:t>
      </w:r>
    </w:p>
    <w:p w14:paraId="259464D5" w14:textId="77777777" w:rsidR="00A62BCA" w:rsidRPr="00A62BCA" w:rsidRDefault="00A62BCA" w:rsidP="00A62BCA">
      <w:pPr>
        <w:pStyle w:val="Bibliography"/>
        <w:rPr>
          <w:rFonts w:ascii="Garamond" w:hAnsi="Garamond"/>
        </w:rPr>
      </w:pPr>
      <w:r w:rsidRPr="00A62BCA">
        <w:rPr>
          <w:rFonts w:ascii="Garamond" w:hAnsi="Garamond"/>
        </w:rPr>
        <w:t>3.</w:t>
      </w:r>
      <w:r w:rsidRPr="00A62BCA">
        <w:rPr>
          <w:rFonts w:ascii="Garamond" w:hAnsi="Garamond"/>
        </w:rPr>
        <w:tab/>
        <w:t xml:space="preserve">Ayre, J., Cvejic, E. &amp; McCaffery, K. J. Use of ChatGPT to obtain health information in Australia, 2024: insights from a nationally representative survey. </w:t>
      </w:r>
      <w:r w:rsidRPr="00A62BCA">
        <w:rPr>
          <w:rFonts w:ascii="Garamond" w:hAnsi="Garamond"/>
          <w:i/>
          <w:iCs/>
        </w:rPr>
        <w:t>Med. J. Aust.</w:t>
      </w:r>
      <w:r w:rsidRPr="00A62BCA">
        <w:rPr>
          <w:rFonts w:ascii="Garamond" w:hAnsi="Garamond"/>
        </w:rPr>
        <w:t xml:space="preserve"> </w:t>
      </w:r>
      <w:r w:rsidRPr="00A62BCA">
        <w:rPr>
          <w:rFonts w:ascii="Garamond" w:hAnsi="Garamond"/>
          <w:b/>
          <w:bCs/>
        </w:rPr>
        <w:t>222</w:t>
      </w:r>
      <w:r w:rsidRPr="00A62BCA">
        <w:rPr>
          <w:rFonts w:ascii="Garamond" w:hAnsi="Garamond"/>
        </w:rPr>
        <w:t>, 210–212 (2025).</w:t>
      </w:r>
    </w:p>
    <w:p w14:paraId="48ECF9BF" w14:textId="77777777" w:rsidR="00A62BCA" w:rsidRPr="00A62BCA" w:rsidRDefault="00A62BCA" w:rsidP="00A62BCA">
      <w:pPr>
        <w:pStyle w:val="Bibliography"/>
        <w:rPr>
          <w:rFonts w:ascii="Garamond" w:hAnsi="Garamond"/>
        </w:rPr>
      </w:pPr>
      <w:r w:rsidRPr="00A62BCA">
        <w:rPr>
          <w:rFonts w:ascii="Garamond" w:hAnsi="Garamond"/>
        </w:rPr>
        <w:t>4.</w:t>
      </w:r>
      <w:r w:rsidRPr="00A62BCA">
        <w:rPr>
          <w:rFonts w:ascii="Garamond" w:hAnsi="Garamond"/>
        </w:rPr>
        <w:tab/>
        <w:t xml:space="preserve">McDuff, D. </w:t>
      </w:r>
      <w:r w:rsidRPr="00A62BCA">
        <w:rPr>
          <w:rFonts w:ascii="Garamond" w:hAnsi="Garamond"/>
          <w:i/>
          <w:iCs/>
        </w:rPr>
        <w:t>et al.</w:t>
      </w:r>
      <w:r w:rsidRPr="00A62BCA">
        <w:rPr>
          <w:rFonts w:ascii="Garamond" w:hAnsi="Garamond"/>
        </w:rPr>
        <w:t xml:space="preserve"> Towards accurate differential diagnosis with large language models. </w:t>
      </w:r>
      <w:r w:rsidRPr="00A62BCA">
        <w:rPr>
          <w:rFonts w:ascii="Garamond" w:hAnsi="Garamond"/>
          <w:i/>
          <w:iCs/>
        </w:rPr>
        <w:t>Nature</w:t>
      </w:r>
      <w:r w:rsidRPr="00A62BCA">
        <w:rPr>
          <w:rFonts w:ascii="Garamond" w:hAnsi="Garamond"/>
        </w:rPr>
        <w:t xml:space="preserve"> </w:t>
      </w:r>
      <w:r w:rsidRPr="00A62BCA">
        <w:rPr>
          <w:rFonts w:ascii="Garamond" w:hAnsi="Garamond"/>
          <w:b/>
          <w:bCs/>
        </w:rPr>
        <w:t>642</w:t>
      </w:r>
      <w:r w:rsidRPr="00A62BCA">
        <w:rPr>
          <w:rFonts w:ascii="Garamond" w:hAnsi="Garamond"/>
        </w:rPr>
        <w:t>, 451–457 (2025).</w:t>
      </w:r>
    </w:p>
    <w:p w14:paraId="46360155" w14:textId="77777777" w:rsidR="00A62BCA" w:rsidRPr="00A62BCA" w:rsidRDefault="00A62BCA" w:rsidP="00A62BCA">
      <w:pPr>
        <w:pStyle w:val="Bibliography"/>
        <w:rPr>
          <w:rFonts w:ascii="Garamond" w:hAnsi="Garamond"/>
        </w:rPr>
      </w:pPr>
      <w:r w:rsidRPr="00A62BCA">
        <w:rPr>
          <w:rFonts w:ascii="Garamond" w:hAnsi="Garamond"/>
        </w:rPr>
        <w:t>5.</w:t>
      </w:r>
      <w:r w:rsidRPr="00A62BCA">
        <w:rPr>
          <w:rFonts w:ascii="Garamond" w:hAnsi="Garamond"/>
        </w:rPr>
        <w:tab/>
        <w:t xml:space="preserve">Qazi, I. A. </w:t>
      </w:r>
      <w:r w:rsidRPr="00A62BCA">
        <w:rPr>
          <w:rFonts w:ascii="Garamond" w:hAnsi="Garamond"/>
          <w:i/>
          <w:iCs/>
        </w:rPr>
        <w:t>et al.</w:t>
      </w:r>
      <w:r w:rsidRPr="00A62BCA">
        <w:rPr>
          <w:rFonts w:ascii="Garamond" w:hAnsi="Garamond"/>
        </w:rPr>
        <w:t xml:space="preserve"> Large language model diagnostic assistance for physicians in a lower-middle-income country: a randomized controlled trial. </w:t>
      </w:r>
      <w:r w:rsidRPr="00A62BCA">
        <w:rPr>
          <w:rFonts w:ascii="Garamond" w:hAnsi="Garamond"/>
          <w:i/>
          <w:iCs/>
        </w:rPr>
        <w:t>Nat. Health</w:t>
      </w:r>
      <w:r w:rsidRPr="00A62BCA">
        <w:rPr>
          <w:rFonts w:ascii="Garamond" w:hAnsi="Garamond"/>
        </w:rPr>
        <w:t xml:space="preserve"> </w:t>
      </w:r>
      <w:r w:rsidRPr="00A62BCA">
        <w:rPr>
          <w:rFonts w:ascii="Garamond" w:hAnsi="Garamond"/>
          <w:b/>
          <w:bCs/>
        </w:rPr>
        <w:t>1</w:t>
      </w:r>
      <w:r w:rsidRPr="00A62BCA">
        <w:rPr>
          <w:rFonts w:ascii="Garamond" w:hAnsi="Garamond"/>
        </w:rPr>
        <w:t>, 198–205 (2026).</w:t>
      </w:r>
    </w:p>
    <w:p w14:paraId="20DDF7C4" w14:textId="77777777" w:rsidR="00A62BCA" w:rsidRPr="00A62BCA" w:rsidRDefault="00A62BCA" w:rsidP="00A62BCA">
      <w:pPr>
        <w:pStyle w:val="Bibliography"/>
        <w:rPr>
          <w:rFonts w:ascii="Garamond" w:hAnsi="Garamond"/>
        </w:rPr>
      </w:pPr>
      <w:r w:rsidRPr="00A62BCA">
        <w:rPr>
          <w:rFonts w:ascii="Garamond" w:hAnsi="Garamond"/>
        </w:rPr>
        <w:t>6.</w:t>
      </w:r>
      <w:r w:rsidRPr="00A62BCA">
        <w:rPr>
          <w:rFonts w:ascii="Garamond" w:hAnsi="Garamond"/>
        </w:rPr>
        <w:tab/>
        <w:t xml:space="preserve">Rutunda, S. </w:t>
      </w:r>
      <w:r w:rsidRPr="00A62BCA">
        <w:rPr>
          <w:rFonts w:ascii="Garamond" w:hAnsi="Garamond"/>
          <w:i/>
          <w:iCs/>
        </w:rPr>
        <w:t>et al.</w:t>
      </w:r>
      <w:r w:rsidRPr="00A62BCA">
        <w:rPr>
          <w:rFonts w:ascii="Garamond" w:hAnsi="Garamond"/>
        </w:rPr>
        <w:t xml:space="preserve"> Large language models for frontline healthcare support in low-resource settings. </w:t>
      </w:r>
      <w:r w:rsidRPr="00A62BCA">
        <w:rPr>
          <w:rFonts w:ascii="Garamond" w:hAnsi="Garamond"/>
          <w:i/>
          <w:iCs/>
        </w:rPr>
        <w:t>Nat. Health</w:t>
      </w:r>
      <w:r w:rsidRPr="00A62BCA">
        <w:rPr>
          <w:rFonts w:ascii="Garamond" w:hAnsi="Garamond"/>
        </w:rPr>
        <w:t xml:space="preserve"> </w:t>
      </w:r>
      <w:r w:rsidRPr="00A62BCA">
        <w:rPr>
          <w:rFonts w:ascii="Garamond" w:hAnsi="Garamond"/>
          <w:b/>
          <w:bCs/>
        </w:rPr>
        <w:t>1</w:t>
      </w:r>
      <w:r w:rsidRPr="00A62BCA">
        <w:rPr>
          <w:rFonts w:ascii="Garamond" w:hAnsi="Garamond"/>
        </w:rPr>
        <w:t>, 191–197 (2026).</w:t>
      </w:r>
    </w:p>
    <w:p w14:paraId="7E76E487" w14:textId="77777777" w:rsidR="00A62BCA" w:rsidRPr="00A62BCA" w:rsidRDefault="00A62BCA" w:rsidP="00A62BCA">
      <w:pPr>
        <w:pStyle w:val="Bibliography"/>
        <w:rPr>
          <w:rFonts w:ascii="Garamond" w:hAnsi="Garamond"/>
        </w:rPr>
      </w:pPr>
      <w:r w:rsidRPr="00A62BCA">
        <w:rPr>
          <w:rFonts w:ascii="Garamond" w:hAnsi="Garamond"/>
        </w:rPr>
        <w:lastRenderedPageBreak/>
        <w:t>7.</w:t>
      </w:r>
      <w:r w:rsidRPr="00A62BCA">
        <w:rPr>
          <w:rFonts w:ascii="Garamond" w:hAnsi="Garamond"/>
        </w:rPr>
        <w:tab/>
        <w:t xml:space="preserve">Si, Y. </w:t>
      </w:r>
      <w:r w:rsidRPr="00A62BCA">
        <w:rPr>
          <w:rFonts w:ascii="Garamond" w:hAnsi="Garamond"/>
          <w:i/>
          <w:iCs/>
        </w:rPr>
        <w:t>et al.</w:t>
      </w:r>
      <w:r w:rsidRPr="00A62BCA">
        <w:rPr>
          <w:rFonts w:ascii="Garamond" w:hAnsi="Garamond"/>
        </w:rPr>
        <w:t xml:space="preserve"> Quality and Accountability of ChatGPT in Health Care in Low- and Middle-Income Countries: Simulated Patient Study. </w:t>
      </w:r>
      <w:r w:rsidRPr="00A62BCA">
        <w:rPr>
          <w:rFonts w:ascii="Garamond" w:hAnsi="Garamond"/>
          <w:i/>
          <w:iCs/>
        </w:rPr>
        <w:t>J. Med. Internet Res.</w:t>
      </w:r>
      <w:r w:rsidRPr="00A62BCA">
        <w:rPr>
          <w:rFonts w:ascii="Garamond" w:hAnsi="Garamond"/>
        </w:rPr>
        <w:t xml:space="preserve"> </w:t>
      </w:r>
      <w:r w:rsidRPr="00A62BCA">
        <w:rPr>
          <w:rFonts w:ascii="Garamond" w:hAnsi="Garamond"/>
          <w:b/>
          <w:bCs/>
        </w:rPr>
        <w:t>26</w:t>
      </w:r>
      <w:r w:rsidRPr="00A62BCA">
        <w:rPr>
          <w:rFonts w:ascii="Garamond" w:hAnsi="Garamond"/>
        </w:rPr>
        <w:t>, e56121 (2024).</w:t>
      </w:r>
    </w:p>
    <w:p w14:paraId="322A1671" w14:textId="77777777" w:rsidR="00A62BCA" w:rsidRPr="00A62BCA" w:rsidRDefault="00A62BCA" w:rsidP="00A62BCA">
      <w:pPr>
        <w:pStyle w:val="Bibliography"/>
        <w:rPr>
          <w:rFonts w:ascii="Garamond" w:hAnsi="Garamond"/>
        </w:rPr>
      </w:pPr>
      <w:r w:rsidRPr="00A62BCA">
        <w:rPr>
          <w:rFonts w:ascii="Garamond" w:hAnsi="Garamond"/>
        </w:rPr>
        <w:t>8.</w:t>
      </w:r>
      <w:r w:rsidRPr="00A62BCA">
        <w:rPr>
          <w:rFonts w:ascii="Garamond" w:hAnsi="Garamond"/>
        </w:rPr>
        <w:tab/>
        <w:t xml:space="preserve">Si, Y. </w:t>
      </w:r>
      <w:r w:rsidRPr="00A62BCA">
        <w:rPr>
          <w:rFonts w:ascii="Garamond" w:hAnsi="Garamond"/>
          <w:i/>
          <w:iCs/>
        </w:rPr>
        <w:t>et al.</w:t>
      </w:r>
      <w:r w:rsidRPr="00A62BCA">
        <w:rPr>
          <w:rFonts w:ascii="Garamond" w:hAnsi="Garamond"/>
        </w:rPr>
        <w:t xml:space="preserve"> Quality safety and disparity of an AI chatbot in managing chronic diseases: simulated patient experiments. </w:t>
      </w:r>
      <w:r w:rsidRPr="00A62BCA">
        <w:rPr>
          <w:rFonts w:ascii="Garamond" w:hAnsi="Garamond"/>
          <w:i/>
          <w:iCs/>
        </w:rPr>
        <w:t>Npj Digit. Med.</w:t>
      </w:r>
      <w:r w:rsidRPr="00A62BCA">
        <w:rPr>
          <w:rFonts w:ascii="Garamond" w:hAnsi="Garamond"/>
        </w:rPr>
        <w:t xml:space="preserve"> </w:t>
      </w:r>
      <w:r w:rsidRPr="00A62BCA">
        <w:rPr>
          <w:rFonts w:ascii="Garamond" w:hAnsi="Garamond"/>
          <w:b/>
          <w:bCs/>
        </w:rPr>
        <w:t>8</w:t>
      </w:r>
      <w:r w:rsidRPr="00A62BCA">
        <w:rPr>
          <w:rFonts w:ascii="Garamond" w:hAnsi="Garamond"/>
        </w:rPr>
        <w:t>, 574 (2025).</w:t>
      </w:r>
    </w:p>
    <w:p w14:paraId="13ABA939" w14:textId="77777777" w:rsidR="00A62BCA" w:rsidRPr="00A62BCA" w:rsidRDefault="00A62BCA" w:rsidP="00A62BCA">
      <w:pPr>
        <w:pStyle w:val="Bibliography"/>
        <w:rPr>
          <w:rFonts w:ascii="Garamond" w:hAnsi="Garamond"/>
        </w:rPr>
      </w:pPr>
      <w:r w:rsidRPr="00A62BCA">
        <w:rPr>
          <w:rFonts w:ascii="Garamond" w:hAnsi="Garamond"/>
        </w:rPr>
        <w:t>9.</w:t>
      </w:r>
      <w:r w:rsidRPr="00A62BCA">
        <w:rPr>
          <w:rFonts w:ascii="Garamond" w:hAnsi="Garamond"/>
        </w:rPr>
        <w:tab/>
        <w:t xml:space="preserve">Singhal, K. </w:t>
      </w:r>
      <w:r w:rsidRPr="00A62BCA">
        <w:rPr>
          <w:rFonts w:ascii="Garamond" w:hAnsi="Garamond"/>
          <w:i/>
          <w:iCs/>
        </w:rPr>
        <w:t>et al.</w:t>
      </w:r>
      <w:r w:rsidRPr="00A62BCA">
        <w:rPr>
          <w:rFonts w:ascii="Garamond" w:hAnsi="Garamond"/>
        </w:rPr>
        <w:t xml:space="preserve"> Large language models encode clinical knowledge. </w:t>
      </w:r>
      <w:r w:rsidRPr="00A62BCA">
        <w:rPr>
          <w:rFonts w:ascii="Garamond" w:hAnsi="Garamond"/>
          <w:i/>
          <w:iCs/>
        </w:rPr>
        <w:t>Nature</w:t>
      </w:r>
      <w:r w:rsidRPr="00A62BCA">
        <w:rPr>
          <w:rFonts w:ascii="Garamond" w:hAnsi="Garamond"/>
        </w:rPr>
        <w:t xml:space="preserve"> </w:t>
      </w:r>
      <w:r w:rsidRPr="00A62BCA">
        <w:rPr>
          <w:rFonts w:ascii="Garamond" w:hAnsi="Garamond"/>
          <w:b/>
          <w:bCs/>
        </w:rPr>
        <w:t>620</w:t>
      </w:r>
      <w:r w:rsidRPr="00A62BCA">
        <w:rPr>
          <w:rFonts w:ascii="Garamond" w:hAnsi="Garamond"/>
        </w:rPr>
        <w:t>, 172–180 (2023).</w:t>
      </w:r>
    </w:p>
    <w:p w14:paraId="3B879DB7" w14:textId="77777777" w:rsidR="00A62BCA" w:rsidRPr="00A62BCA" w:rsidRDefault="00A62BCA" w:rsidP="00A62BCA">
      <w:pPr>
        <w:pStyle w:val="Bibliography"/>
        <w:rPr>
          <w:rFonts w:ascii="Garamond" w:hAnsi="Garamond"/>
        </w:rPr>
      </w:pPr>
      <w:r w:rsidRPr="00A62BCA">
        <w:rPr>
          <w:rFonts w:ascii="Garamond" w:hAnsi="Garamond"/>
        </w:rPr>
        <w:t>10.</w:t>
      </w:r>
      <w:r w:rsidRPr="00A62BCA">
        <w:rPr>
          <w:rFonts w:ascii="Garamond" w:hAnsi="Garamond"/>
        </w:rPr>
        <w:tab/>
        <w:t xml:space="preserve">Omar, M. </w:t>
      </w:r>
      <w:r w:rsidRPr="00A62BCA">
        <w:rPr>
          <w:rFonts w:ascii="Garamond" w:hAnsi="Garamond"/>
          <w:i/>
          <w:iCs/>
        </w:rPr>
        <w:t>et al.</w:t>
      </w:r>
      <w:r w:rsidRPr="00A62BCA">
        <w:rPr>
          <w:rFonts w:ascii="Garamond" w:hAnsi="Garamond"/>
        </w:rPr>
        <w:t xml:space="preserve"> Socio-demographic gaps in pain management guided by large language models. </w:t>
      </w:r>
      <w:r w:rsidRPr="00A62BCA">
        <w:rPr>
          <w:rFonts w:ascii="Garamond" w:hAnsi="Garamond"/>
          <w:i/>
          <w:iCs/>
        </w:rPr>
        <w:t>Nat. Health</w:t>
      </w:r>
      <w:r w:rsidRPr="00A62BCA">
        <w:rPr>
          <w:rFonts w:ascii="Garamond" w:hAnsi="Garamond"/>
        </w:rPr>
        <w:t xml:space="preserve"> </w:t>
      </w:r>
      <w:r w:rsidRPr="00A62BCA">
        <w:rPr>
          <w:rFonts w:ascii="Garamond" w:hAnsi="Garamond"/>
          <w:b/>
          <w:bCs/>
        </w:rPr>
        <w:t>1</w:t>
      </w:r>
      <w:r w:rsidRPr="00A62BCA">
        <w:rPr>
          <w:rFonts w:ascii="Garamond" w:hAnsi="Garamond"/>
        </w:rPr>
        <w:t>, 216–225 (2026).</w:t>
      </w:r>
    </w:p>
    <w:p w14:paraId="64529B17" w14:textId="6FCA2DC1" w:rsidR="00771F4D" w:rsidRPr="00637E7B" w:rsidRDefault="002013E9" w:rsidP="001B1610">
      <w:pPr>
        <w:spacing w:after="0" w:line="240" w:lineRule="auto"/>
        <w:jc w:val="both"/>
        <w:rPr>
          <w:rFonts w:ascii="Garamond" w:hAnsi="Garamond"/>
        </w:rPr>
      </w:pPr>
      <w:r>
        <w:rPr>
          <w:rFonts w:ascii="Garamond" w:hAnsi="Garamond"/>
        </w:rPr>
        <w:fldChar w:fldCharType="end"/>
      </w:r>
    </w:p>
    <w:sectPr w:rsidR="00771F4D" w:rsidRPr="00637E7B" w:rsidSect="00956CD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56C4E"/>
    <w:multiLevelType w:val="multilevel"/>
    <w:tmpl w:val="30E56C4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970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E0"/>
    <w:rsid w:val="0000510F"/>
    <w:rsid w:val="00022057"/>
    <w:rsid w:val="00023DC3"/>
    <w:rsid w:val="000461D3"/>
    <w:rsid w:val="00057D96"/>
    <w:rsid w:val="000734C7"/>
    <w:rsid w:val="00076764"/>
    <w:rsid w:val="000A798E"/>
    <w:rsid w:val="000A7DEE"/>
    <w:rsid w:val="000E67B2"/>
    <w:rsid w:val="00100FF0"/>
    <w:rsid w:val="001278E4"/>
    <w:rsid w:val="00133EAB"/>
    <w:rsid w:val="00151EFD"/>
    <w:rsid w:val="0015766C"/>
    <w:rsid w:val="00160CB2"/>
    <w:rsid w:val="00196DEC"/>
    <w:rsid w:val="001A2FBB"/>
    <w:rsid w:val="001A3CA0"/>
    <w:rsid w:val="001B1610"/>
    <w:rsid w:val="001F2F04"/>
    <w:rsid w:val="001F404F"/>
    <w:rsid w:val="002013E9"/>
    <w:rsid w:val="00207881"/>
    <w:rsid w:val="00210613"/>
    <w:rsid w:val="00253403"/>
    <w:rsid w:val="002A70DC"/>
    <w:rsid w:val="002B7C01"/>
    <w:rsid w:val="002C645E"/>
    <w:rsid w:val="002D162D"/>
    <w:rsid w:val="002D7A61"/>
    <w:rsid w:val="002E75A0"/>
    <w:rsid w:val="00300240"/>
    <w:rsid w:val="00345490"/>
    <w:rsid w:val="00347769"/>
    <w:rsid w:val="00350EE3"/>
    <w:rsid w:val="0038596A"/>
    <w:rsid w:val="00385A02"/>
    <w:rsid w:val="003A35E3"/>
    <w:rsid w:val="003C6630"/>
    <w:rsid w:val="00411C3A"/>
    <w:rsid w:val="00421A5F"/>
    <w:rsid w:val="00460092"/>
    <w:rsid w:val="0047252B"/>
    <w:rsid w:val="004750F8"/>
    <w:rsid w:val="004939E5"/>
    <w:rsid w:val="004D46A7"/>
    <w:rsid w:val="00540183"/>
    <w:rsid w:val="00551495"/>
    <w:rsid w:val="0056383C"/>
    <w:rsid w:val="00571FF4"/>
    <w:rsid w:val="00580106"/>
    <w:rsid w:val="005A7F6C"/>
    <w:rsid w:val="005C3B1F"/>
    <w:rsid w:val="005C6E70"/>
    <w:rsid w:val="005F51CF"/>
    <w:rsid w:val="00637E7B"/>
    <w:rsid w:val="006556C9"/>
    <w:rsid w:val="0066507B"/>
    <w:rsid w:val="006C2E77"/>
    <w:rsid w:val="006E2B44"/>
    <w:rsid w:val="006E4724"/>
    <w:rsid w:val="006E705A"/>
    <w:rsid w:val="00711963"/>
    <w:rsid w:val="00736170"/>
    <w:rsid w:val="00737B34"/>
    <w:rsid w:val="0076782B"/>
    <w:rsid w:val="00771F4D"/>
    <w:rsid w:val="00785640"/>
    <w:rsid w:val="007869AE"/>
    <w:rsid w:val="00787FD2"/>
    <w:rsid w:val="007E16A0"/>
    <w:rsid w:val="007E2851"/>
    <w:rsid w:val="008146A5"/>
    <w:rsid w:val="0083331C"/>
    <w:rsid w:val="00844A66"/>
    <w:rsid w:val="00857D51"/>
    <w:rsid w:val="00880776"/>
    <w:rsid w:val="008876E2"/>
    <w:rsid w:val="008A7EA0"/>
    <w:rsid w:val="008B1A1E"/>
    <w:rsid w:val="008C4927"/>
    <w:rsid w:val="008E514D"/>
    <w:rsid w:val="00932238"/>
    <w:rsid w:val="0095605F"/>
    <w:rsid w:val="00956CDD"/>
    <w:rsid w:val="00961781"/>
    <w:rsid w:val="00963ECA"/>
    <w:rsid w:val="009765CA"/>
    <w:rsid w:val="0098273C"/>
    <w:rsid w:val="009F7594"/>
    <w:rsid w:val="00A05A88"/>
    <w:rsid w:val="00A202D0"/>
    <w:rsid w:val="00A20DB5"/>
    <w:rsid w:val="00A62BCA"/>
    <w:rsid w:val="00AB6855"/>
    <w:rsid w:val="00AC5257"/>
    <w:rsid w:val="00B43B14"/>
    <w:rsid w:val="00B459E2"/>
    <w:rsid w:val="00B55176"/>
    <w:rsid w:val="00B80999"/>
    <w:rsid w:val="00B85FD3"/>
    <w:rsid w:val="00BB2C8B"/>
    <w:rsid w:val="00BC2131"/>
    <w:rsid w:val="00BC6190"/>
    <w:rsid w:val="00BD0FAF"/>
    <w:rsid w:val="00BD57BF"/>
    <w:rsid w:val="00BF6C1A"/>
    <w:rsid w:val="00C26E17"/>
    <w:rsid w:val="00C82DCE"/>
    <w:rsid w:val="00C977E3"/>
    <w:rsid w:val="00CA5A52"/>
    <w:rsid w:val="00CA7C14"/>
    <w:rsid w:val="00CC6D08"/>
    <w:rsid w:val="00CD38FB"/>
    <w:rsid w:val="00D03DEB"/>
    <w:rsid w:val="00D2653F"/>
    <w:rsid w:val="00D92480"/>
    <w:rsid w:val="00DB4291"/>
    <w:rsid w:val="00DB4CF6"/>
    <w:rsid w:val="00DE11EF"/>
    <w:rsid w:val="00DF784E"/>
    <w:rsid w:val="00E032E3"/>
    <w:rsid w:val="00E62CE0"/>
    <w:rsid w:val="00EA67FE"/>
    <w:rsid w:val="00EB1F77"/>
    <w:rsid w:val="00EB789D"/>
    <w:rsid w:val="00EC1B37"/>
    <w:rsid w:val="00EC419B"/>
    <w:rsid w:val="00EE7460"/>
    <w:rsid w:val="00F13BBB"/>
    <w:rsid w:val="00F1505B"/>
    <w:rsid w:val="00F20556"/>
    <w:rsid w:val="00F35D68"/>
    <w:rsid w:val="00F5622C"/>
    <w:rsid w:val="00F8194A"/>
    <w:rsid w:val="00F845E1"/>
    <w:rsid w:val="00F8469E"/>
    <w:rsid w:val="00FA6469"/>
    <w:rsid w:val="00FC3D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F67D"/>
  <w15:chartTrackingRefBased/>
  <w15:docId w15:val="{E4750332-FCED-453D-9C0F-E6BD9F91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CE0"/>
    <w:rPr>
      <w:rFonts w:eastAsiaTheme="majorEastAsia" w:cstheme="majorBidi"/>
      <w:color w:val="272727" w:themeColor="text1" w:themeTint="D8"/>
    </w:rPr>
  </w:style>
  <w:style w:type="paragraph" w:styleId="Title">
    <w:name w:val="Title"/>
    <w:basedOn w:val="Normal"/>
    <w:next w:val="Normal"/>
    <w:link w:val="TitleChar"/>
    <w:uiPriority w:val="10"/>
    <w:qFormat/>
    <w:rsid w:val="00E6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CE0"/>
    <w:pPr>
      <w:spacing w:before="160"/>
      <w:jc w:val="center"/>
    </w:pPr>
    <w:rPr>
      <w:i/>
      <w:iCs/>
      <w:color w:val="404040" w:themeColor="text1" w:themeTint="BF"/>
    </w:rPr>
  </w:style>
  <w:style w:type="character" w:customStyle="1" w:styleId="QuoteChar">
    <w:name w:val="Quote Char"/>
    <w:basedOn w:val="DefaultParagraphFont"/>
    <w:link w:val="Quote"/>
    <w:uiPriority w:val="29"/>
    <w:rsid w:val="00E62CE0"/>
    <w:rPr>
      <w:i/>
      <w:iCs/>
      <w:color w:val="404040" w:themeColor="text1" w:themeTint="BF"/>
    </w:rPr>
  </w:style>
  <w:style w:type="paragraph" w:styleId="ListParagraph">
    <w:name w:val="List Paragraph"/>
    <w:basedOn w:val="Normal"/>
    <w:uiPriority w:val="34"/>
    <w:qFormat/>
    <w:rsid w:val="00E62CE0"/>
    <w:pPr>
      <w:ind w:left="720"/>
      <w:contextualSpacing/>
    </w:pPr>
  </w:style>
  <w:style w:type="character" w:styleId="IntenseEmphasis">
    <w:name w:val="Intense Emphasis"/>
    <w:basedOn w:val="DefaultParagraphFont"/>
    <w:uiPriority w:val="21"/>
    <w:qFormat/>
    <w:rsid w:val="00E62CE0"/>
    <w:rPr>
      <w:i/>
      <w:iCs/>
      <w:color w:val="0F4761" w:themeColor="accent1" w:themeShade="BF"/>
    </w:rPr>
  </w:style>
  <w:style w:type="paragraph" w:styleId="IntenseQuote">
    <w:name w:val="Intense Quote"/>
    <w:basedOn w:val="Normal"/>
    <w:next w:val="Normal"/>
    <w:link w:val="IntenseQuoteChar"/>
    <w:uiPriority w:val="30"/>
    <w:qFormat/>
    <w:rsid w:val="00E6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CE0"/>
    <w:rPr>
      <w:i/>
      <w:iCs/>
      <w:color w:val="0F4761" w:themeColor="accent1" w:themeShade="BF"/>
    </w:rPr>
  </w:style>
  <w:style w:type="character" w:styleId="IntenseReference">
    <w:name w:val="Intense Reference"/>
    <w:basedOn w:val="DefaultParagraphFont"/>
    <w:uiPriority w:val="32"/>
    <w:qFormat/>
    <w:rsid w:val="00E62CE0"/>
    <w:rPr>
      <w:b/>
      <w:bCs/>
      <w:smallCaps/>
      <w:color w:val="0F4761" w:themeColor="accent1" w:themeShade="BF"/>
      <w:spacing w:val="5"/>
    </w:rPr>
  </w:style>
  <w:style w:type="character" w:styleId="Hyperlink">
    <w:name w:val="Hyperlink"/>
    <w:basedOn w:val="DefaultParagraphFont"/>
    <w:uiPriority w:val="99"/>
    <w:unhideWhenUsed/>
    <w:rsid w:val="00BC6190"/>
    <w:rPr>
      <w:color w:val="467886" w:themeColor="hyperlink"/>
      <w:u w:val="single"/>
    </w:rPr>
  </w:style>
  <w:style w:type="character" w:styleId="UnresolvedMention">
    <w:name w:val="Unresolved Mention"/>
    <w:basedOn w:val="DefaultParagraphFont"/>
    <w:uiPriority w:val="99"/>
    <w:semiHidden/>
    <w:unhideWhenUsed/>
    <w:rsid w:val="00BC6190"/>
    <w:rPr>
      <w:color w:val="605E5C"/>
      <w:shd w:val="clear" w:color="auto" w:fill="E1DFDD"/>
    </w:rPr>
  </w:style>
  <w:style w:type="paragraph" w:styleId="Bibliography">
    <w:name w:val="Bibliography"/>
    <w:basedOn w:val="Normal"/>
    <w:next w:val="Normal"/>
    <w:uiPriority w:val="37"/>
    <w:unhideWhenUsed/>
    <w:rsid w:val="002013E9"/>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i.chen@yale.edu" TargetMode="External"/><Relationship Id="rId5" Type="http://schemas.openxmlformats.org/officeDocument/2006/relationships/hyperlink" Target="mailto:yafei.si@unimelb.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794</Words>
  <Characters>4866</Characters>
  <Application>Microsoft Office Word</Application>
  <DocSecurity>0</DocSecurity>
  <Lines>86</Lines>
  <Paragraphs>29</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Yafei Si</dc:creator>
  <cp:keywords/>
  <dc:description/>
  <cp:lastModifiedBy>Chen, Xi</cp:lastModifiedBy>
  <cp:revision>2</cp:revision>
  <dcterms:created xsi:type="dcterms:W3CDTF">2026-03-05T00:38:00Z</dcterms:created>
  <dcterms:modified xsi:type="dcterms:W3CDTF">2026-03-05T00:38:00Z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id="QA4FqQM6"/&gt;&lt;style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