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574D" w14:textId="77777777" w:rsidR="00036F0D" w:rsidRPr="007D33E4" w:rsidRDefault="00036F0D" w:rsidP="007D33E4">
      <w:pPr>
        <w:spacing w:after="0" w:line="240" w:lineRule="auto"/>
        <w:jc w:val="center"/>
        <w:rPr>
          <w:rFonts w:ascii="Times New Roman" w:hAnsi="Times New Roman" w:cs="Times New Roman"/>
          <w:b/>
          <w:bCs/>
          <w:sz w:val="24"/>
          <w:szCs w:val="24"/>
        </w:rPr>
      </w:pPr>
    </w:p>
    <w:p w14:paraId="5B8864FA" w14:textId="5B8AD5E5" w:rsidR="006E1B2F" w:rsidRPr="007D33E4" w:rsidRDefault="006E1B2F" w:rsidP="007D33E4">
      <w:pPr>
        <w:spacing w:after="0" w:line="240" w:lineRule="auto"/>
        <w:jc w:val="center"/>
        <w:rPr>
          <w:rFonts w:ascii="Times New Roman" w:hAnsi="Times New Roman" w:cs="Times New Roman"/>
          <w:b/>
          <w:bCs/>
          <w:sz w:val="24"/>
          <w:szCs w:val="24"/>
        </w:rPr>
      </w:pPr>
      <w:r w:rsidRPr="006E1B2F">
        <w:rPr>
          <w:rFonts w:ascii="Times New Roman" w:hAnsi="Times New Roman" w:cs="Times New Roman"/>
          <w:b/>
          <w:bCs/>
          <w:sz w:val="24"/>
          <w:szCs w:val="24"/>
        </w:rPr>
        <w:t>Risk Adjustment for ADRD in Medicare Advantage and Health Care Experiences</w:t>
      </w:r>
    </w:p>
    <w:p w14:paraId="4A0FDCC3" w14:textId="77777777" w:rsidR="0045651F" w:rsidRPr="007D33E4" w:rsidRDefault="0045651F" w:rsidP="007D33E4">
      <w:pPr>
        <w:spacing w:after="0" w:line="240" w:lineRule="auto"/>
        <w:rPr>
          <w:rFonts w:ascii="Times New Roman" w:hAnsi="Times New Roman" w:cs="Times New Roman"/>
          <w:sz w:val="24"/>
          <w:szCs w:val="24"/>
        </w:rPr>
      </w:pPr>
    </w:p>
    <w:p w14:paraId="376F8493" w14:textId="77777777" w:rsidR="005E4413" w:rsidRPr="007D33E4" w:rsidRDefault="005E4413" w:rsidP="007D33E4">
      <w:pPr>
        <w:spacing w:after="0" w:line="240" w:lineRule="auto"/>
        <w:rPr>
          <w:rFonts w:ascii="Times New Roman" w:hAnsi="Times New Roman" w:cs="Times New Roman"/>
          <w:sz w:val="24"/>
          <w:szCs w:val="24"/>
        </w:rPr>
      </w:pPr>
    </w:p>
    <w:p w14:paraId="02B9701A" w14:textId="3A909EF8" w:rsidR="0045651F" w:rsidRPr="007D33E4" w:rsidRDefault="0045651F" w:rsidP="007D33E4">
      <w:pPr>
        <w:spacing w:after="0" w:line="240" w:lineRule="auto"/>
        <w:jc w:val="center"/>
        <w:rPr>
          <w:rFonts w:ascii="Times New Roman" w:hAnsi="Times New Roman" w:cs="Times New Roman"/>
          <w:sz w:val="24"/>
          <w:szCs w:val="24"/>
          <w:vertAlign w:val="superscript"/>
        </w:rPr>
      </w:pPr>
      <w:bookmarkStart w:id="0" w:name="_Hlk206952388"/>
      <w:r w:rsidRPr="007D33E4">
        <w:rPr>
          <w:rFonts w:ascii="Times New Roman" w:hAnsi="Times New Roman" w:cs="Times New Roman"/>
          <w:sz w:val="24"/>
          <w:szCs w:val="24"/>
        </w:rPr>
        <w:t>Wei Fu,</w:t>
      </w:r>
      <w:r w:rsidRPr="007D33E4">
        <w:rPr>
          <w:rFonts w:ascii="Times New Roman" w:hAnsi="Times New Roman" w:cs="Times New Roman"/>
          <w:sz w:val="24"/>
          <w:szCs w:val="24"/>
          <w:vertAlign w:val="superscript"/>
        </w:rPr>
        <w:t>1</w:t>
      </w:r>
      <w:r w:rsidRPr="007D33E4">
        <w:rPr>
          <w:rFonts w:ascii="Times New Roman" w:hAnsi="Times New Roman" w:cs="Times New Roman"/>
          <w:sz w:val="24"/>
          <w:szCs w:val="24"/>
        </w:rPr>
        <w:t xml:space="preserve"> </w:t>
      </w:r>
      <w:r w:rsidR="00E40588" w:rsidRPr="007D33E4">
        <w:rPr>
          <w:rFonts w:ascii="Times New Roman" w:hAnsi="Times New Roman" w:cs="Times New Roman"/>
          <w:sz w:val="24"/>
          <w:szCs w:val="24"/>
        </w:rPr>
        <w:t>Yuting Qian</w:t>
      </w:r>
      <w:r w:rsidR="006B42A1" w:rsidRPr="007D33E4">
        <w:rPr>
          <w:rFonts w:ascii="Times New Roman" w:hAnsi="Times New Roman" w:cs="Times New Roman"/>
          <w:sz w:val="24"/>
          <w:szCs w:val="24"/>
        </w:rPr>
        <w:t>,</w:t>
      </w:r>
      <w:r w:rsidR="00440DFB">
        <w:rPr>
          <w:rFonts w:ascii="Times New Roman" w:hAnsi="Times New Roman" w:cs="Times New Roman"/>
          <w:sz w:val="24"/>
          <w:szCs w:val="24"/>
          <w:vertAlign w:val="superscript"/>
        </w:rPr>
        <w:t>2</w:t>
      </w:r>
      <w:r w:rsidR="00E40588" w:rsidRPr="007D33E4">
        <w:rPr>
          <w:rFonts w:ascii="Times New Roman" w:hAnsi="Times New Roman" w:cs="Times New Roman"/>
          <w:sz w:val="24"/>
          <w:szCs w:val="24"/>
        </w:rPr>
        <w:t xml:space="preserve"> </w:t>
      </w:r>
      <w:r w:rsidRPr="007D33E4">
        <w:rPr>
          <w:rFonts w:ascii="Times New Roman" w:hAnsi="Times New Roman" w:cs="Times New Roman"/>
          <w:sz w:val="24"/>
          <w:szCs w:val="24"/>
        </w:rPr>
        <w:t>Seyed Karimi,</w:t>
      </w:r>
      <w:r w:rsidRPr="007D33E4">
        <w:rPr>
          <w:rFonts w:ascii="Times New Roman" w:hAnsi="Times New Roman" w:cs="Times New Roman"/>
          <w:sz w:val="24"/>
          <w:szCs w:val="24"/>
          <w:vertAlign w:val="superscript"/>
        </w:rPr>
        <w:t>1</w:t>
      </w:r>
      <w:r w:rsidRPr="007D33E4">
        <w:rPr>
          <w:rFonts w:ascii="Times New Roman" w:hAnsi="Times New Roman" w:cs="Times New Roman"/>
          <w:sz w:val="24"/>
          <w:szCs w:val="24"/>
        </w:rPr>
        <w:t xml:space="preserve"> Hamid Zarei</w:t>
      </w:r>
      <w:bookmarkEnd w:id="0"/>
      <w:r w:rsidRPr="007D33E4">
        <w:rPr>
          <w:rFonts w:ascii="Times New Roman" w:hAnsi="Times New Roman" w:cs="Times New Roman"/>
          <w:sz w:val="24"/>
          <w:szCs w:val="24"/>
        </w:rPr>
        <w:t>,</w:t>
      </w:r>
      <w:r w:rsidRPr="007D33E4">
        <w:rPr>
          <w:rFonts w:ascii="Times New Roman" w:hAnsi="Times New Roman" w:cs="Times New Roman"/>
          <w:sz w:val="24"/>
          <w:szCs w:val="24"/>
          <w:vertAlign w:val="superscript"/>
        </w:rPr>
        <w:t>1</w:t>
      </w:r>
      <w:r w:rsidRPr="007D33E4">
        <w:rPr>
          <w:rFonts w:ascii="Times New Roman" w:hAnsi="Times New Roman" w:cs="Times New Roman"/>
          <w:sz w:val="24"/>
          <w:szCs w:val="24"/>
        </w:rPr>
        <w:t xml:space="preserve"> Xi Chen</w:t>
      </w:r>
      <w:r w:rsidRPr="007D33E4">
        <w:rPr>
          <w:rFonts w:ascii="Times New Roman" w:hAnsi="Times New Roman" w:cs="Times New Roman"/>
          <w:sz w:val="24"/>
          <w:szCs w:val="24"/>
          <w:vertAlign w:val="superscript"/>
        </w:rPr>
        <w:t>2</w:t>
      </w:r>
      <w:r w:rsidR="00E40588" w:rsidRPr="007D33E4">
        <w:rPr>
          <w:rFonts w:ascii="Times New Roman" w:hAnsi="Times New Roman" w:cs="Times New Roman"/>
          <w:sz w:val="24"/>
          <w:szCs w:val="24"/>
          <w:vertAlign w:val="superscript"/>
        </w:rPr>
        <w:t>,3</w:t>
      </w:r>
      <w:r w:rsidR="00440DFB">
        <w:rPr>
          <w:rFonts w:ascii="Times New Roman" w:hAnsi="Times New Roman" w:cs="Times New Roman"/>
          <w:sz w:val="24"/>
          <w:szCs w:val="24"/>
          <w:vertAlign w:val="superscript"/>
        </w:rPr>
        <w:t>,4</w:t>
      </w:r>
    </w:p>
    <w:p w14:paraId="13897507" w14:textId="77777777" w:rsidR="00C5365F" w:rsidRPr="007D33E4" w:rsidRDefault="00C5365F" w:rsidP="007D33E4">
      <w:pPr>
        <w:spacing w:after="0" w:line="240" w:lineRule="auto"/>
        <w:jc w:val="center"/>
        <w:rPr>
          <w:rFonts w:ascii="Times New Roman" w:hAnsi="Times New Roman" w:cs="Times New Roman"/>
          <w:sz w:val="24"/>
          <w:szCs w:val="24"/>
          <w:vertAlign w:val="superscript"/>
        </w:rPr>
      </w:pPr>
    </w:p>
    <w:p w14:paraId="7AE2A06D" w14:textId="77777777" w:rsidR="005E4413" w:rsidRPr="007D33E4" w:rsidRDefault="005E4413" w:rsidP="007D33E4">
      <w:pPr>
        <w:spacing w:after="0" w:line="240" w:lineRule="auto"/>
        <w:jc w:val="center"/>
        <w:rPr>
          <w:rFonts w:ascii="Times New Roman" w:hAnsi="Times New Roman" w:cs="Times New Roman"/>
          <w:sz w:val="24"/>
          <w:szCs w:val="24"/>
          <w:vertAlign w:val="superscript"/>
        </w:rPr>
      </w:pPr>
    </w:p>
    <w:p w14:paraId="0360A848" w14:textId="2158CB42" w:rsidR="0045651F" w:rsidRPr="007D33E4" w:rsidRDefault="0045651F" w:rsidP="007D33E4">
      <w:pPr>
        <w:spacing w:after="0" w:line="240" w:lineRule="auto"/>
        <w:rPr>
          <w:rFonts w:ascii="Times New Roman" w:hAnsi="Times New Roman" w:cs="Times New Roman"/>
          <w:sz w:val="24"/>
          <w:szCs w:val="24"/>
        </w:rPr>
      </w:pPr>
      <w:r w:rsidRPr="007D33E4">
        <w:rPr>
          <w:rFonts w:ascii="Times New Roman" w:hAnsi="Times New Roman" w:cs="Times New Roman"/>
          <w:sz w:val="24"/>
          <w:szCs w:val="24"/>
          <w:vertAlign w:val="superscript"/>
        </w:rPr>
        <w:t>1</w:t>
      </w:r>
      <w:r w:rsidRPr="007D33E4">
        <w:rPr>
          <w:rFonts w:ascii="Times New Roman" w:hAnsi="Times New Roman" w:cs="Times New Roman"/>
          <w:sz w:val="24"/>
          <w:szCs w:val="24"/>
        </w:rPr>
        <w:t xml:space="preserve"> </w:t>
      </w:r>
      <w:bookmarkStart w:id="1" w:name="_Hlk206952459"/>
      <w:r w:rsidRPr="007D33E4">
        <w:rPr>
          <w:rFonts w:ascii="Times New Roman" w:hAnsi="Times New Roman" w:cs="Times New Roman"/>
          <w:sz w:val="24"/>
          <w:szCs w:val="24"/>
        </w:rPr>
        <w:t>Department of Health Management and Systems Sciences, University of Louisville, KY, U.S</w:t>
      </w:r>
    </w:p>
    <w:bookmarkEnd w:id="1"/>
    <w:p w14:paraId="03B17400" w14:textId="3C0D90FB" w:rsidR="0045651F" w:rsidRPr="007D33E4" w:rsidRDefault="0045651F" w:rsidP="007D33E4">
      <w:pPr>
        <w:spacing w:after="0" w:line="240" w:lineRule="auto"/>
        <w:rPr>
          <w:rFonts w:ascii="Times New Roman" w:hAnsi="Times New Roman" w:cs="Times New Roman"/>
          <w:sz w:val="24"/>
          <w:szCs w:val="24"/>
        </w:rPr>
      </w:pPr>
      <w:r w:rsidRPr="007D33E4">
        <w:rPr>
          <w:rFonts w:ascii="Times New Roman" w:hAnsi="Times New Roman" w:cs="Times New Roman"/>
          <w:sz w:val="24"/>
          <w:szCs w:val="24"/>
          <w:vertAlign w:val="superscript"/>
        </w:rPr>
        <w:t>2</w:t>
      </w:r>
      <w:r w:rsidRPr="007D33E4">
        <w:rPr>
          <w:rFonts w:ascii="Times New Roman" w:hAnsi="Times New Roman" w:cs="Times New Roman"/>
          <w:sz w:val="24"/>
          <w:szCs w:val="24"/>
        </w:rPr>
        <w:t xml:space="preserve"> </w:t>
      </w:r>
      <w:r w:rsidR="006A6B88" w:rsidRPr="006A6B88">
        <w:rPr>
          <w:rFonts w:ascii="Times New Roman" w:hAnsi="Times New Roman" w:cs="Times New Roman"/>
          <w:sz w:val="24"/>
          <w:szCs w:val="24"/>
        </w:rPr>
        <w:t>Department of Health Policy and Management, Yale University, New Haven, CT</w:t>
      </w:r>
    </w:p>
    <w:p w14:paraId="4B7F03AF" w14:textId="3F4F6C6F" w:rsidR="006A6B88" w:rsidRDefault="008A4ECA" w:rsidP="007D33E4">
      <w:pPr>
        <w:spacing w:after="0" w:line="240" w:lineRule="auto"/>
        <w:rPr>
          <w:rFonts w:ascii="Times New Roman" w:hAnsi="Times New Roman" w:cs="Times New Roman"/>
          <w:sz w:val="24"/>
          <w:szCs w:val="24"/>
        </w:rPr>
      </w:pPr>
      <w:r w:rsidRPr="007D33E4">
        <w:rPr>
          <w:rFonts w:ascii="Times New Roman" w:hAnsi="Times New Roman" w:cs="Times New Roman"/>
          <w:sz w:val="24"/>
          <w:szCs w:val="24"/>
          <w:vertAlign w:val="superscript"/>
        </w:rPr>
        <w:t>3</w:t>
      </w:r>
      <w:r w:rsidRPr="007D33E4">
        <w:rPr>
          <w:rFonts w:ascii="Times New Roman" w:hAnsi="Times New Roman" w:cs="Times New Roman"/>
          <w:sz w:val="24"/>
          <w:szCs w:val="24"/>
        </w:rPr>
        <w:t xml:space="preserve"> </w:t>
      </w:r>
      <w:r w:rsidR="006A6B88" w:rsidRPr="006A6B88">
        <w:rPr>
          <w:rFonts w:ascii="Times New Roman" w:hAnsi="Times New Roman" w:cs="Times New Roman"/>
          <w:sz w:val="24"/>
          <w:szCs w:val="24"/>
        </w:rPr>
        <w:t>Department of Economics, Yale University, New Haven, CT</w:t>
      </w:r>
    </w:p>
    <w:p w14:paraId="15FE0D90" w14:textId="6BB53E78" w:rsidR="006A6B88" w:rsidRPr="006A6B88" w:rsidRDefault="006A6B88" w:rsidP="006A6B88">
      <w:pPr>
        <w:spacing w:after="0" w:line="240" w:lineRule="auto"/>
        <w:rPr>
          <w:rFonts w:ascii="Times New Roman" w:hAnsi="Times New Roman" w:cs="Times New Roman"/>
          <w:sz w:val="24"/>
          <w:szCs w:val="24"/>
        </w:rPr>
      </w:pPr>
      <w:r w:rsidRPr="006A6B88">
        <w:rPr>
          <w:rFonts w:ascii="Times New Roman" w:hAnsi="Times New Roman" w:cs="Times New Roman"/>
          <w:sz w:val="24"/>
          <w:szCs w:val="24"/>
          <w:vertAlign w:val="superscript"/>
        </w:rPr>
        <w:t>4</w:t>
      </w:r>
      <w:r>
        <w:rPr>
          <w:rFonts w:ascii="Times New Roman" w:hAnsi="Times New Roman" w:cs="Times New Roman"/>
          <w:sz w:val="24"/>
          <w:szCs w:val="24"/>
        </w:rPr>
        <w:t xml:space="preserve"> </w:t>
      </w:r>
      <w:r w:rsidR="008A4ECA" w:rsidRPr="007D33E4">
        <w:rPr>
          <w:rFonts w:ascii="Times New Roman" w:hAnsi="Times New Roman" w:cs="Times New Roman"/>
          <w:sz w:val="24"/>
          <w:szCs w:val="24"/>
        </w:rPr>
        <w:t>National Bureau of Economic Research, MA</w:t>
      </w:r>
      <w:r w:rsidR="00771AC2" w:rsidRPr="007D33E4">
        <w:rPr>
          <w:rFonts w:ascii="Times New Roman" w:hAnsi="Times New Roman" w:cs="Times New Roman"/>
          <w:sz w:val="24"/>
          <w:szCs w:val="24"/>
        </w:rPr>
        <w:t>, U.S</w:t>
      </w:r>
    </w:p>
    <w:p w14:paraId="0E2F2ADD" w14:textId="77777777" w:rsidR="006A6B88" w:rsidRPr="007D33E4" w:rsidRDefault="006A6B88" w:rsidP="007D33E4">
      <w:pPr>
        <w:spacing w:after="0" w:line="240" w:lineRule="auto"/>
        <w:rPr>
          <w:rFonts w:ascii="Times New Roman" w:hAnsi="Times New Roman" w:cs="Times New Roman"/>
          <w:sz w:val="24"/>
          <w:szCs w:val="24"/>
        </w:rPr>
      </w:pPr>
    </w:p>
    <w:p w14:paraId="287BA350" w14:textId="77777777" w:rsidR="007D33E4" w:rsidRPr="007D33E4" w:rsidRDefault="007D33E4" w:rsidP="007D33E4">
      <w:pPr>
        <w:spacing w:after="0" w:line="240" w:lineRule="auto"/>
        <w:rPr>
          <w:rFonts w:ascii="Times New Roman" w:hAnsi="Times New Roman" w:cs="Times New Roman"/>
          <w:sz w:val="24"/>
          <w:szCs w:val="24"/>
        </w:rPr>
      </w:pPr>
    </w:p>
    <w:p w14:paraId="497C0182" w14:textId="77777777" w:rsidR="007D33E4" w:rsidRPr="007D33E4" w:rsidRDefault="007D33E4" w:rsidP="007D33E4">
      <w:pPr>
        <w:spacing w:after="0" w:line="240" w:lineRule="auto"/>
        <w:rPr>
          <w:rFonts w:ascii="Times New Roman" w:hAnsi="Times New Roman" w:cs="Times New Roman"/>
          <w:sz w:val="24"/>
          <w:szCs w:val="24"/>
        </w:rPr>
      </w:pPr>
    </w:p>
    <w:p w14:paraId="4553FBAE" w14:textId="77777777" w:rsidR="007D33E4" w:rsidRPr="007D33E4" w:rsidRDefault="007D33E4" w:rsidP="007D33E4">
      <w:pPr>
        <w:widowControl w:val="0"/>
        <w:spacing w:after="0" w:line="240" w:lineRule="auto"/>
        <w:jc w:val="both"/>
        <w:rPr>
          <w:rFonts w:ascii="Times New Roman" w:hAnsi="Times New Roman" w:cs="Times New Roman"/>
          <w:b/>
          <w:bCs/>
          <w:sz w:val="24"/>
          <w:szCs w:val="24"/>
        </w:rPr>
      </w:pPr>
      <w:r w:rsidRPr="007D33E4">
        <w:rPr>
          <w:rFonts w:ascii="Times New Roman" w:hAnsi="Times New Roman" w:cs="Times New Roman"/>
          <w:b/>
          <w:bCs/>
          <w:sz w:val="24"/>
          <w:szCs w:val="24"/>
        </w:rPr>
        <w:t>Corresponding Author:</w:t>
      </w:r>
    </w:p>
    <w:p w14:paraId="41EB215F" w14:textId="77777777" w:rsidR="007D33E4" w:rsidRPr="007D33E4" w:rsidRDefault="007D33E4" w:rsidP="007D33E4">
      <w:pPr>
        <w:widowControl w:val="0"/>
        <w:spacing w:after="0" w:line="240" w:lineRule="auto"/>
        <w:jc w:val="both"/>
        <w:rPr>
          <w:rFonts w:ascii="Times New Roman" w:hAnsi="Times New Roman" w:cs="Times New Roman"/>
          <w:b/>
          <w:bCs/>
          <w:sz w:val="24"/>
          <w:szCs w:val="24"/>
        </w:rPr>
      </w:pPr>
    </w:p>
    <w:p w14:paraId="746C0736" w14:textId="77777777" w:rsidR="007D33E4" w:rsidRPr="007D33E4" w:rsidRDefault="007D33E4" w:rsidP="007D33E4">
      <w:pPr>
        <w:widowControl w:val="0"/>
        <w:spacing w:after="0" w:line="240" w:lineRule="auto"/>
        <w:jc w:val="both"/>
        <w:rPr>
          <w:rFonts w:ascii="Times New Roman" w:eastAsia="Times New Roman" w:hAnsi="Times New Roman" w:cs="Times New Roman"/>
          <w:sz w:val="24"/>
          <w:szCs w:val="24"/>
        </w:rPr>
      </w:pPr>
      <w:r w:rsidRPr="007D33E4">
        <w:rPr>
          <w:rFonts w:ascii="Times New Roman" w:eastAsia="Times New Roman" w:hAnsi="Times New Roman" w:cs="Times New Roman"/>
          <w:sz w:val="24"/>
          <w:szCs w:val="24"/>
        </w:rPr>
        <w:t>Xi Chen, PhD</w:t>
      </w:r>
    </w:p>
    <w:p w14:paraId="6F5D8A51" w14:textId="77777777" w:rsidR="007D33E4" w:rsidRPr="007D33E4" w:rsidRDefault="007D33E4" w:rsidP="007D33E4">
      <w:pPr>
        <w:widowControl w:val="0"/>
        <w:spacing w:after="0" w:line="240" w:lineRule="auto"/>
        <w:jc w:val="both"/>
        <w:rPr>
          <w:rFonts w:ascii="Times New Roman" w:hAnsi="Times New Roman" w:cs="Times New Roman"/>
          <w:bCs/>
          <w:sz w:val="24"/>
          <w:szCs w:val="24"/>
        </w:rPr>
      </w:pPr>
      <w:r w:rsidRPr="007D33E4">
        <w:rPr>
          <w:rFonts w:ascii="Times New Roman" w:hAnsi="Times New Roman" w:cs="Times New Roman"/>
          <w:bCs/>
          <w:sz w:val="24"/>
          <w:szCs w:val="24"/>
        </w:rPr>
        <w:t>Department of Health Policy and Management</w:t>
      </w:r>
    </w:p>
    <w:p w14:paraId="72902E3F" w14:textId="77777777" w:rsidR="007D33E4" w:rsidRPr="007D33E4" w:rsidRDefault="007D33E4" w:rsidP="007D33E4">
      <w:pPr>
        <w:widowControl w:val="0"/>
        <w:spacing w:after="0" w:line="240" w:lineRule="auto"/>
        <w:jc w:val="both"/>
        <w:rPr>
          <w:rFonts w:ascii="Times New Roman" w:hAnsi="Times New Roman" w:cs="Times New Roman"/>
          <w:bCs/>
          <w:sz w:val="24"/>
          <w:szCs w:val="24"/>
        </w:rPr>
      </w:pPr>
      <w:r w:rsidRPr="007D33E4">
        <w:rPr>
          <w:rFonts w:ascii="Times New Roman" w:hAnsi="Times New Roman" w:cs="Times New Roman"/>
          <w:bCs/>
          <w:sz w:val="24"/>
          <w:szCs w:val="24"/>
        </w:rPr>
        <w:t>Department of Economics</w:t>
      </w:r>
    </w:p>
    <w:p w14:paraId="204B2B96" w14:textId="77777777" w:rsidR="007D33E4" w:rsidRPr="007D33E4" w:rsidRDefault="007D33E4" w:rsidP="007D33E4">
      <w:pPr>
        <w:widowControl w:val="0"/>
        <w:spacing w:after="0" w:line="240" w:lineRule="auto"/>
        <w:jc w:val="both"/>
        <w:rPr>
          <w:rFonts w:ascii="Times New Roman" w:hAnsi="Times New Roman" w:cs="Times New Roman"/>
          <w:bCs/>
          <w:sz w:val="24"/>
          <w:szCs w:val="24"/>
        </w:rPr>
      </w:pPr>
      <w:r w:rsidRPr="007D33E4">
        <w:rPr>
          <w:rFonts w:ascii="Times New Roman" w:hAnsi="Times New Roman" w:cs="Times New Roman"/>
          <w:bCs/>
          <w:sz w:val="24"/>
          <w:szCs w:val="24"/>
        </w:rPr>
        <w:t>Yale University</w:t>
      </w:r>
    </w:p>
    <w:p w14:paraId="7ED3E757" w14:textId="77777777" w:rsidR="007D33E4" w:rsidRPr="007D33E4" w:rsidRDefault="007D33E4" w:rsidP="007D33E4">
      <w:pPr>
        <w:widowControl w:val="0"/>
        <w:spacing w:after="0" w:line="240" w:lineRule="auto"/>
        <w:jc w:val="both"/>
        <w:rPr>
          <w:rFonts w:ascii="Times New Roman" w:eastAsia="Times New Roman" w:hAnsi="Times New Roman" w:cs="Times New Roman"/>
          <w:sz w:val="24"/>
          <w:szCs w:val="24"/>
        </w:rPr>
      </w:pPr>
      <w:r w:rsidRPr="007D33E4">
        <w:rPr>
          <w:rFonts w:ascii="Times New Roman" w:eastAsia="Times New Roman" w:hAnsi="Times New Roman" w:cs="Times New Roman"/>
          <w:sz w:val="24"/>
          <w:szCs w:val="24"/>
        </w:rPr>
        <w:t>and NBER, IZA</w:t>
      </w:r>
    </w:p>
    <w:p w14:paraId="225EEA3F" w14:textId="77777777" w:rsidR="007D33E4" w:rsidRPr="007D33E4" w:rsidRDefault="007D33E4" w:rsidP="007D33E4">
      <w:pPr>
        <w:widowControl w:val="0"/>
        <w:spacing w:after="0" w:line="240" w:lineRule="auto"/>
        <w:rPr>
          <w:rFonts w:ascii="Times New Roman" w:hAnsi="Times New Roman" w:cs="Times New Roman"/>
          <w:bCs/>
          <w:sz w:val="24"/>
          <w:szCs w:val="24"/>
        </w:rPr>
      </w:pPr>
      <w:r w:rsidRPr="007D33E4">
        <w:rPr>
          <w:rFonts w:ascii="Times New Roman" w:hAnsi="Times New Roman" w:cs="Times New Roman"/>
          <w:bCs/>
          <w:sz w:val="24"/>
          <w:szCs w:val="24"/>
        </w:rPr>
        <w:t>60 College Street, Ste 301</w:t>
      </w:r>
    </w:p>
    <w:p w14:paraId="2E4D2D1B" w14:textId="77777777" w:rsidR="007D33E4" w:rsidRPr="007D33E4" w:rsidRDefault="007D33E4" w:rsidP="007D33E4">
      <w:pPr>
        <w:widowControl w:val="0"/>
        <w:spacing w:after="0" w:line="240" w:lineRule="auto"/>
        <w:rPr>
          <w:rFonts w:ascii="Times New Roman" w:hAnsi="Times New Roman" w:cs="Times New Roman"/>
          <w:sz w:val="24"/>
          <w:szCs w:val="24"/>
        </w:rPr>
      </w:pPr>
      <w:r w:rsidRPr="007D33E4">
        <w:rPr>
          <w:rFonts w:ascii="Times New Roman" w:hAnsi="Times New Roman" w:cs="Times New Roman"/>
          <w:bCs/>
          <w:sz w:val="24"/>
          <w:szCs w:val="24"/>
        </w:rPr>
        <w:t>New Haven, CT 06520</w:t>
      </w:r>
    </w:p>
    <w:p w14:paraId="61C843D1" w14:textId="77777777" w:rsidR="007D33E4" w:rsidRPr="007D33E4" w:rsidRDefault="007D33E4" w:rsidP="007D33E4">
      <w:pPr>
        <w:widowControl w:val="0"/>
        <w:spacing w:after="0" w:line="240" w:lineRule="auto"/>
        <w:rPr>
          <w:rFonts w:ascii="Times New Roman" w:hAnsi="Times New Roman" w:cs="Times New Roman"/>
          <w:sz w:val="24"/>
          <w:szCs w:val="24"/>
        </w:rPr>
      </w:pPr>
      <w:r w:rsidRPr="007D33E4">
        <w:rPr>
          <w:rFonts w:ascii="Times New Roman" w:hAnsi="Times New Roman" w:cs="Times New Roman"/>
          <w:sz w:val="24"/>
          <w:szCs w:val="24"/>
        </w:rPr>
        <w:t xml:space="preserve">E-mail: </w:t>
      </w:r>
      <w:hyperlink r:id="rId8" w:history="1">
        <w:r w:rsidRPr="007D33E4">
          <w:rPr>
            <w:rFonts w:ascii="Times New Roman" w:hAnsi="Times New Roman" w:cs="Times New Roman"/>
            <w:color w:val="0000FF"/>
            <w:sz w:val="24"/>
            <w:szCs w:val="24"/>
            <w:u w:val="single"/>
          </w:rPr>
          <w:t>xi.chen@yale.edu</w:t>
        </w:r>
      </w:hyperlink>
    </w:p>
    <w:p w14:paraId="4BC89D9D" w14:textId="77777777" w:rsidR="007D33E4" w:rsidRPr="007D33E4" w:rsidRDefault="007D33E4" w:rsidP="007D33E4">
      <w:pPr>
        <w:spacing w:after="0" w:line="240" w:lineRule="auto"/>
        <w:rPr>
          <w:rFonts w:ascii="Times New Roman" w:hAnsi="Times New Roman" w:cs="Times New Roman"/>
          <w:sz w:val="24"/>
          <w:szCs w:val="24"/>
        </w:rPr>
      </w:pPr>
    </w:p>
    <w:p w14:paraId="4A44283B" w14:textId="77777777" w:rsidR="0045651F" w:rsidRPr="007D33E4" w:rsidRDefault="0045651F" w:rsidP="007D33E4">
      <w:pPr>
        <w:spacing w:after="0" w:line="240" w:lineRule="auto"/>
        <w:rPr>
          <w:rFonts w:ascii="Times New Roman" w:hAnsi="Times New Roman" w:cs="Times New Roman"/>
          <w:sz w:val="24"/>
          <w:szCs w:val="24"/>
        </w:rPr>
      </w:pPr>
    </w:p>
    <w:p w14:paraId="63F9AA58" w14:textId="77777777" w:rsidR="0045651F" w:rsidRPr="007D33E4" w:rsidRDefault="0045651F" w:rsidP="007D33E4">
      <w:pPr>
        <w:spacing w:after="0" w:line="240" w:lineRule="auto"/>
        <w:rPr>
          <w:rFonts w:ascii="Times New Roman" w:hAnsi="Times New Roman" w:cs="Times New Roman"/>
          <w:sz w:val="24"/>
          <w:szCs w:val="24"/>
        </w:rPr>
      </w:pPr>
    </w:p>
    <w:p w14:paraId="172CC5A6" w14:textId="6C84AC8E" w:rsidR="00A86824" w:rsidRPr="00313DBA" w:rsidRDefault="00A86824" w:rsidP="007D33E4">
      <w:pPr>
        <w:tabs>
          <w:tab w:val="left" w:pos="1129"/>
        </w:tabs>
        <w:spacing w:after="0" w:line="240" w:lineRule="auto"/>
        <w:rPr>
          <w:rFonts w:ascii="Times New Roman" w:hAnsi="Times New Roman" w:cs="Times New Roman"/>
          <w:b/>
          <w:bCs/>
          <w:sz w:val="24"/>
          <w:szCs w:val="24"/>
        </w:rPr>
      </w:pPr>
      <w:r w:rsidRPr="00313DBA">
        <w:rPr>
          <w:rFonts w:ascii="Times New Roman" w:hAnsi="Times New Roman" w:cs="Times New Roman"/>
          <w:b/>
          <w:bCs/>
          <w:sz w:val="24"/>
          <w:szCs w:val="24"/>
        </w:rPr>
        <w:t xml:space="preserve">Word Count: </w:t>
      </w:r>
      <w:r w:rsidR="009149EE" w:rsidRPr="00313DBA">
        <w:rPr>
          <w:rFonts w:ascii="Times New Roman" w:hAnsi="Times New Roman" w:cs="Times New Roman"/>
          <w:b/>
          <w:bCs/>
          <w:sz w:val="24"/>
          <w:szCs w:val="24"/>
        </w:rPr>
        <w:t>2,9</w:t>
      </w:r>
      <w:r w:rsidR="00C650F4">
        <w:rPr>
          <w:rFonts w:ascii="Times New Roman" w:hAnsi="Times New Roman" w:cs="Times New Roman"/>
          <w:b/>
          <w:bCs/>
          <w:sz w:val="24"/>
          <w:szCs w:val="24"/>
        </w:rPr>
        <w:t>36</w:t>
      </w:r>
    </w:p>
    <w:p w14:paraId="021BEFE9" w14:textId="77777777" w:rsidR="00642FEA" w:rsidRPr="007D33E4" w:rsidRDefault="00642FEA" w:rsidP="007D33E4">
      <w:pPr>
        <w:tabs>
          <w:tab w:val="left" w:pos="1129"/>
        </w:tabs>
        <w:spacing w:after="0" w:line="240" w:lineRule="auto"/>
        <w:rPr>
          <w:rFonts w:ascii="Times New Roman" w:hAnsi="Times New Roman" w:cs="Times New Roman"/>
          <w:sz w:val="24"/>
          <w:szCs w:val="24"/>
        </w:rPr>
      </w:pPr>
    </w:p>
    <w:p w14:paraId="6AC9895A" w14:textId="77777777" w:rsidR="005E4413" w:rsidRDefault="005E4413" w:rsidP="005E4413">
      <w:pPr>
        <w:tabs>
          <w:tab w:val="left" w:pos="1129"/>
        </w:tabs>
        <w:spacing w:after="0" w:line="240" w:lineRule="auto"/>
        <w:rPr>
          <w:rFonts w:ascii="Times New Roman" w:hAnsi="Times New Roman" w:cs="Times New Roman"/>
          <w:sz w:val="24"/>
          <w:szCs w:val="24"/>
        </w:rPr>
        <w:sectPr w:rsidR="005E4413">
          <w:footerReference w:type="default" r:id="rId9"/>
          <w:pgSz w:w="12240" w:h="15840"/>
          <w:pgMar w:top="1440" w:right="1440" w:bottom="1440" w:left="1440" w:header="720" w:footer="720" w:gutter="0"/>
          <w:cols w:space="720"/>
          <w:docGrid w:linePitch="360"/>
        </w:sectPr>
      </w:pPr>
    </w:p>
    <w:p w14:paraId="01E2C149" w14:textId="77777777" w:rsidR="00642FEA" w:rsidRPr="0078654B" w:rsidRDefault="00642FEA" w:rsidP="00642FEA">
      <w:pPr>
        <w:spacing w:after="0" w:line="240" w:lineRule="auto"/>
        <w:rPr>
          <w:rFonts w:ascii="Times New Roman" w:eastAsia="Times New Roman" w:hAnsi="Times New Roman" w:cs="Times New Roman"/>
          <w:b/>
          <w:bCs/>
          <w:sz w:val="24"/>
          <w:szCs w:val="24"/>
        </w:rPr>
      </w:pPr>
      <w:r w:rsidRPr="008F4C11">
        <w:rPr>
          <w:rFonts w:ascii="Times New Roman" w:eastAsia="Times New Roman" w:hAnsi="Times New Roman" w:cs="Times New Roman"/>
          <w:b/>
          <w:bCs/>
          <w:sz w:val="24"/>
          <w:szCs w:val="24"/>
        </w:rPr>
        <w:lastRenderedPageBreak/>
        <w:t>KEY POINTS</w:t>
      </w:r>
    </w:p>
    <w:p w14:paraId="731DACC3" w14:textId="77777777" w:rsidR="00642FEA" w:rsidRPr="0078654B" w:rsidRDefault="00642FEA" w:rsidP="00642FEA">
      <w:pPr>
        <w:spacing w:after="0" w:line="240" w:lineRule="auto"/>
        <w:rPr>
          <w:rFonts w:ascii="Times New Roman" w:eastAsia="Times New Roman" w:hAnsi="Times New Roman" w:cs="Times New Roman"/>
          <w:sz w:val="24"/>
          <w:szCs w:val="24"/>
        </w:rPr>
      </w:pPr>
    </w:p>
    <w:p w14:paraId="5479AB3A" w14:textId="250DA99B" w:rsidR="00642FEA" w:rsidRPr="00040275" w:rsidRDefault="00642FEA" w:rsidP="00642FEA">
      <w:pPr>
        <w:spacing w:after="0" w:line="240" w:lineRule="auto"/>
        <w:rPr>
          <w:rFonts w:ascii="Times New Roman" w:eastAsia="Times New Roman" w:hAnsi="Times New Roman" w:cs="Times New Roman"/>
          <w:sz w:val="24"/>
          <w:szCs w:val="24"/>
        </w:rPr>
      </w:pPr>
      <w:r w:rsidRPr="00040275">
        <w:rPr>
          <w:rFonts w:ascii="Times New Roman" w:eastAsia="Times New Roman" w:hAnsi="Times New Roman" w:cs="Times New Roman"/>
          <w:b/>
          <w:bCs/>
          <w:sz w:val="24"/>
          <w:szCs w:val="24"/>
        </w:rPr>
        <w:t xml:space="preserve">Question: </w:t>
      </w:r>
      <w:r w:rsidR="00843ABF" w:rsidRPr="00040275">
        <w:rPr>
          <w:rFonts w:ascii="Times New Roman" w:eastAsia="Times New Roman" w:hAnsi="Times New Roman" w:cs="Times New Roman"/>
          <w:sz w:val="24"/>
          <w:szCs w:val="24"/>
        </w:rPr>
        <w:t>Wa</w:t>
      </w:r>
      <w:r w:rsidR="00342E3A" w:rsidRPr="00F2771B">
        <w:rPr>
          <w:rFonts w:ascii="Times New Roman" w:eastAsia="Times New Roman" w:hAnsi="Times New Roman" w:cs="Times New Roman"/>
          <w:sz w:val="24"/>
          <w:szCs w:val="24"/>
        </w:rPr>
        <w:t>s</w:t>
      </w:r>
      <w:r w:rsidR="00342E3A" w:rsidRPr="00040275">
        <w:rPr>
          <w:rFonts w:ascii="Times New Roman" w:eastAsia="Times New Roman" w:hAnsi="Times New Roman" w:cs="Times New Roman"/>
          <w:sz w:val="24"/>
          <w:szCs w:val="24"/>
        </w:rPr>
        <w:t xml:space="preserve"> </w:t>
      </w:r>
      <w:r w:rsidR="00342E3A" w:rsidRPr="00F2771B">
        <w:rPr>
          <w:rFonts w:ascii="Times New Roman" w:hAnsi="Times New Roman" w:cs="Times New Roman"/>
          <w:sz w:val="24"/>
          <w:szCs w:val="24"/>
        </w:rPr>
        <w:t>reinstatement of ADRD hierarchical condition category into the MA risk-adjusted payment model associated with access, affordability, and quality of care for beneficiaries with ADRD?</w:t>
      </w:r>
    </w:p>
    <w:p w14:paraId="5AAAC0B0" w14:textId="77777777" w:rsidR="00642FEA" w:rsidRPr="00040275" w:rsidRDefault="00642FEA" w:rsidP="00642FEA">
      <w:pPr>
        <w:spacing w:after="0" w:line="240" w:lineRule="auto"/>
        <w:rPr>
          <w:rFonts w:ascii="Times New Roman" w:eastAsia="Times New Roman" w:hAnsi="Times New Roman" w:cs="Times New Roman"/>
          <w:sz w:val="24"/>
          <w:szCs w:val="24"/>
        </w:rPr>
      </w:pPr>
    </w:p>
    <w:p w14:paraId="5C3464B8" w14:textId="326D980C" w:rsidR="00843ABF" w:rsidRPr="00040275" w:rsidRDefault="00642FEA" w:rsidP="00642FEA">
      <w:pPr>
        <w:spacing w:after="0" w:line="240" w:lineRule="auto"/>
        <w:rPr>
          <w:rFonts w:ascii="Times New Roman" w:eastAsia="Times New Roman" w:hAnsi="Times New Roman" w:cs="Times New Roman"/>
          <w:sz w:val="24"/>
          <w:szCs w:val="24"/>
        </w:rPr>
      </w:pPr>
      <w:r w:rsidRPr="00040275">
        <w:rPr>
          <w:rFonts w:ascii="Times New Roman" w:eastAsia="Times New Roman" w:hAnsi="Times New Roman" w:cs="Times New Roman"/>
          <w:b/>
          <w:bCs/>
          <w:sz w:val="24"/>
          <w:szCs w:val="24"/>
        </w:rPr>
        <w:t xml:space="preserve">Findings: </w:t>
      </w:r>
      <w:r w:rsidR="002373FB" w:rsidRPr="00F2771B">
        <w:rPr>
          <w:rFonts w:ascii="Times New Roman" w:eastAsia="Times New Roman" w:hAnsi="Times New Roman" w:cs="Times New Roman"/>
          <w:sz w:val="24"/>
          <w:szCs w:val="24"/>
        </w:rPr>
        <w:t xml:space="preserve">Using </w:t>
      </w:r>
      <w:r w:rsidR="00CD4A61" w:rsidRPr="00F2771B">
        <w:rPr>
          <w:rFonts w:ascii="Times New Roman" w:hAnsi="Times New Roman" w:cs="Times New Roman"/>
          <w:sz w:val="24"/>
          <w:szCs w:val="24"/>
        </w:rPr>
        <w:t>Medicare Current Beneficiary Survey</w:t>
      </w:r>
      <w:r w:rsidR="00CE1DA3">
        <w:rPr>
          <w:rFonts w:ascii="Times New Roman" w:hAnsi="Times New Roman" w:cs="Times New Roman"/>
          <w:sz w:val="24"/>
          <w:szCs w:val="24"/>
        </w:rPr>
        <w:t xml:space="preserve"> </w:t>
      </w:r>
      <w:r w:rsidR="00CD4A61" w:rsidRPr="00F2771B">
        <w:rPr>
          <w:rFonts w:ascii="Times New Roman" w:hAnsi="Times New Roman" w:cs="Times New Roman"/>
          <w:sz w:val="24"/>
          <w:szCs w:val="24"/>
        </w:rPr>
        <w:t>(2015–2022), t</w:t>
      </w:r>
      <w:r w:rsidR="00843ABF" w:rsidRPr="00F2771B">
        <w:rPr>
          <w:rFonts w:ascii="Times New Roman" w:hAnsi="Times New Roman" w:cs="Times New Roman"/>
          <w:sz w:val="24"/>
          <w:szCs w:val="24"/>
        </w:rPr>
        <w:t xml:space="preserve">he revised risk-adjusted payment model was associated with </w:t>
      </w:r>
      <w:r w:rsidR="005F31FC" w:rsidRPr="005F31FC">
        <w:rPr>
          <w:rFonts w:ascii="Times New Roman" w:hAnsi="Times New Roman" w:cs="Times New Roman"/>
          <w:sz w:val="24"/>
          <w:szCs w:val="24"/>
        </w:rPr>
        <w:t>i</w:t>
      </w:r>
      <w:r w:rsidR="005F31FC" w:rsidRPr="00F2771B">
        <w:rPr>
          <w:rFonts w:ascii="Times New Roman" w:hAnsi="Times New Roman" w:cs="Times New Roman"/>
          <w:sz w:val="24"/>
          <w:szCs w:val="24"/>
        </w:rPr>
        <w:t xml:space="preserve">mproved </w:t>
      </w:r>
      <w:r w:rsidR="002373FB">
        <w:rPr>
          <w:rFonts w:ascii="Times New Roman" w:hAnsi="Times New Roman" w:cs="Times New Roman"/>
          <w:sz w:val="24"/>
          <w:szCs w:val="24"/>
        </w:rPr>
        <w:t xml:space="preserve">care </w:t>
      </w:r>
      <w:r w:rsidR="005F31FC" w:rsidRPr="00F2771B">
        <w:rPr>
          <w:rFonts w:ascii="Times New Roman" w:hAnsi="Times New Roman" w:cs="Times New Roman"/>
          <w:sz w:val="24"/>
          <w:szCs w:val="24"/>
        </w:rPr>
        <w:t xml:space="preserve">access and reduced financial burden among </w:t>
      </w:r>
      <w:r w:rsidR="002373FB">
        <w:rPr>
          <w:rFonts w:ascii="Times New Roman" w:hAnsi="Times New Roman" w:cs="Times New Roman"/>
          <w:sz w:val="24"/>
          <w:szCs w:val="24"/>
        </w:rPr>
        <w:t xml:space="preserve">MA </w:t>
      </w:r>
      <w:r w:rsidR="005F31FC" w:rsidRPr="00F2771B">
        <w:rPr>
          <w:rFonts w:ascii="Times New Roman" w:hAnsi="Times New Roman" w:cs="Times New Roman"/>
          <w:sz w:val="24"/>
          <w:szCs w:val="24"/>
        </w:rPr>
        <w:t>beneficiaries with ADRD</w:t>
      </w:r>
      <w:r w:rsidR="00843ABF" w:rsidRPr="00F2771B">
        <w:rPr>
          <w:rFonts w:ascii="Times New Roman" w:hAnsi="Times New Roman" w:cs="Times New Roman"/>
          <w:sz w:val="24"/>
          <w:szCs w:val="24"/>
        </w:rPr>
        <w:t>.</w:t>
      </w:r>
      <w:r w:rsidR="002373FB">
        <w:rPr>
          <w:rFonts w:ascii="Times New Roman" w:hAnsi="Times New Roman" w:cs="Times New Roman"/>
          <w:sz w:val="24"/>
          <w:szCs w:val="24"/>
        </w:rPr>
        <w:t xml:space="preserve"> </w:t>
      </w:r>
    </w:p>
    <w:p w14:paraId="4AB9B894" w14:textId="77777777" w:rsidR="00642FEA" w:rsidRPr="00040275" w:rsidRDefault="00642FEA" w:rsidP="00642FEA">
      <w:pPr>
        <w:spacing w:after="0" w:line="240" w:lineRule="auto"/>
        <w:rPr>
          <w:rFonts w:ascii="Times New Roman" w:eastAsia="Times New Roman" w:hAnsi="Times New Roman" w:cs="Times New Roman"/>
          <w:sz w:val="24"/>
          <w:szCs w:val="24"/>
        </w:rPr>
      </w:pPr>
    </w:p>
    <w:p w14:paraId="555FEDB6" w14:textId="56AF90D9" w:rsidR="00CD4A61" w:rsidRPr="00F2771B" w:rsidRDefault="00642FEA" w:rsidP="00F2771B">
      <w:pPr>
        <w:spacing w:after="0" w:line="240" w:lineRule="auto"/>
        <w:rPr>
          <w:rFonts w:ascii="Times New Roman" w:hAnsi="Times New Roman" w:cs="Times New Roman"/>
          <w:sz w:val="24"/>
          <w:szCs w:val="24"/>
        </w:rPr>
      </w:pPr>
      <w:r w:rsidRPr="00040275">
        <w:rPr>
          <w:rFonts w:ascii="Times New Roman" w:eastAsia="Times New Roman" w:hAnsi="Times New Roman" w:cs="Times New Roman"/>
          <w:b/>
          <w:bCs/>
          <w:sz w:val="24"/>
          <w:szCs w:val="24"/>
        </w:rPr>
        <w:t xml:space="preserve">Meaning: </w:t>
      </w:r>
      <w:r w:rsidR="00040275">
        <w:rPr>
          <w:rFonts w:ascii="Times New Roman" w:hAnsi="Times New Roman" w:cs="Times New Roman"/>
          <w:sz w:val="24"/>
          <w:szCs w:val="24"/>
        </w:rPr>
        <w:t>R</w:t>
      </w:r>
      <w:r w:rsidR="00CD4A61" w:rsidRPr="00F2771B">
        <w:rPr>
          <w:rFonts w:ascii="Times New Roman" w:hAnsi="Times New Roman" w:cs="Times New Roman"/>
          <w:sz w:val="24"/>
          <w:szCs w:val="24"/>
        </w:rPr>
        <w:t xml:space="preserve">efining risk adjustment to better capture the costs of chronic and complex conditions can help align MA plan incentives with the needs of vulnerable populations. Beyond ADRD, </w:t>
      </w:r>
      <w:r w:rsidR="002373FB">
        <w:rPr>
          <w:rFonts w:ascii="Times New Roman" w:hAnsi="Times New Roman" w:cs="Times New Roman"/>
          <w:sz w:val="24"/>
          <w:szCs w:val="24"/>
        </w:rPr>
        <w:t>we</w:t>
      </w:r>
      <w:r w:rsidR="00CD4A61" w:rsidRPr="00F2771B">
        <w:rPr>
          <w:rFonts w:ascii="Times New Roman" w:hAnsi="Times New Roman" w:cs="Times New Roman"/>
          <w:sz w:val="24"/>
          <w:szCs w:val="24"/>
        </w:rPr>
        <w:t xml:space="preserve"> highlight the value of more nuanced risk adjustment approaches for improv</w:t>
      </w:r>
      <w:r w:rsidR="00554E38">
        <w:rPr>
          <w:rFonts w:ascii="Times New Roman" w:hAnsi="Times New Roman" w:cs="Times New Roman"/>
          <w:sz w:val="24"/>
          <w:szCs w:val="24"/>
        </w:rPr>
        <w:t>ed</w:t>
      </w:r>
      <w:r w:rsidR="00CD4A61" w:rsidRPr="00F2771B">
        <w:rPr>
          <w:rFonts w:ascii="Times New Roman" w:hAnsi="Times New Roman" w:cs="Times New Roman"/>
          <w:sz w:val="24"/>
          <w:szCs w:val="24"/>
        </w:rPr>
        <w:t xml:space="preserve"> care equity and outcomes for individuals with high-cost, high-need conditions.</w:t>
      </w:r>
      <w:r w:rsidR="00CD4A61" w:rsidRPr="00F2771B" w:rsidDel="00E933A4">
        <w:rPr>
          <w:rFonts w:ascii="Times New Roman" w:hAnsi="Times New Roman" w:cs="Times New Roman"/>
          <w:sz w:val="24"/>
          <w:szCs w:val="24"/>
        </w:rPr>
        <w:t xml:space="preserve"> </w:t>
      </w:r>
    </w:p>
    <w:p w14:paraId="0C8B41EB" w14:textId="77777777" w:rsidR="00CD4A61" w:rsidRPr="007B467C" w:rsidRDefault="00CD4A61" w:rsidP="00642FEA">
      <w:pPr>
        <w:spacing w:after="0" w:line="240" w:lineRule="auto"/>
        <w:rPr>
          <w:rFonts w:ascii="Times New Roman" w:eastAsia="Times New Roman" w:hAnsi="Times New Roman" w:cs="Times New Roman"/>
          <w:sz w:val="24"/>
          <w:szCs w:val="24"/>
        </w:rPr>
      </w:pPr>
    </w:p>
    <w:p w14:paraId="34EC047C" w14:textId="78DA663B" w:rsidR="00A86824" w:rsidRPr="00A86824" w:rsidRDefault="00A86824" w:rsidP="00F508FA">
      <w:pPr>
        <w:tabs>
          <w:tab w:val="left" w:pos="1129"/>
        </w:tabs>
        <w:rPr>
          <w:rFonts w:ascii="Times New Roman" w:hAnsi="Times New Roman" w:cs="Times New Roman"/>
        </w:rPr>
        <w:sectPr w:rsidR="00A86824" w:rsidRPr="00A86824">
          <w:pgSz w:w="12240" w:h="15840"/>
          <w:pgMar w:top="1440" w:right="1440" w:bottom="1440" w:left="1440" w:header="720" w:footer="720" w:gutter="0"/>
          <w:cols w:space="720"/>
          <w:docGrid w:linePitch="360"/>
        </w:sectPr>
      </w:pPr>
      <w:r>
        <w:rPr>
          <w:rFonts w:ascii="Times New Roman" w:hAnsi="Times New Roman" w:cs="Times New Roman"/>
        </w:rPr>
        <w:tab/>
      </w:r>
    </w:p>
    <w:p w14:paraId="3C18DF8E" w14:textId="6FFB2FB0" w:rsidR="0023143C" w:rsidRDefault="00DE0876" w:rsidP="009D3DA4">
      <w:pPr>
        <w:pStyle w:val="Heading2"/>
        <w:spacing w:before="0" w:after="0" w:line="240" w:lineRule="auto"/>
        <w:rPr>
          <w:b/>
          <w:bCs/>
          <w:color w:val="000000" w:themeColor="text1"/>
          <w:sz w:val="24"/>
          <w:szCs w:val="24"/>
        </w:rPr>
      </w:pPr>
      <w:r>
        <w:rPr>
          <w:b/>
          <w:bCs/>
          <w:color w:val="000000" w:themeColor="text1"/>
          <w:sz w:val="24"/>
          <w:szCs w:val="24"/>
        </w:rPr>
        <w:lastRenderedPageBreak/>
        <w:t>ABSTRACT</w:t>
      </w:r>
    </w:p>
    <w:p w14:paraId="6C0A9AC8" w14:textId="77777777" w:rsidR="00EF2C16" w:rsidRPr="00EF2C16" w:rsidRDefault="00EF2C16" w:rsidP="009D3DA4">
      <w:pPr>
        <w:spacing w:after="0" w:line="240" w:lineRule="auto"/>
      </w:pPr>
    </w:p>
    <w:p w14:paraId="678DBB8E" w14:textId="51B26C88" w:rsidR="00B44853" w:rsidRDefault="0023143C" w:rsidP="009D3DA4">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 xml:space="preserve">Importance: </w:t>
      </w:r>
      <w:r w:rsidR="00AE7251" w:rsidRPr="00EF2C16">
        <w:rPr>
          <w:rFonts w:ascii="Times New Roman" w:hAnsi="Times New Roman" w:cs="Times New Roman"/>
          <w:sz w:val="24"/>
          <w:szCs w:val="24"/>
        </w:rPr>
        <w:t xml:space="preserve">Failure </w:t>
      </w:r>
      <w:r w:rsidR="00B44853" w:rsidRPr="00EF2C16">
        <w:rPr>
          <w:rFonts w:ascii="Times New Roman" w:hAnsi="Times New Roman" w:cs="Times New Roman"/>
          <w:sz w:val="24"/>
          <w:szCs w:val="24"/>
        </w:rPr>
        <w:t>to account for the full complexity and costs of high-need populations</w:t>
      </w:r>
      <w:r w:rsidR="00B44853" w:rsidRPr="00EF2C16">
        <w:rPr>
          <w:rFonts w:ascii="Times New Roman" w:hAnsi="Times New Roman" w:cs="Times New Roman" w:hint="eastAsia"/>
          <w:sz w:val="24"/>
          <w:szCs w:val="24"/>
        </w:rPr>
        <w:t xml:space="preserve"> in the risk-adjusted </w:t>
      </w:r>
      <w:r w:rsidR="00B551AD" w:rsidRPr="00EF2C16">
        <w:rPr>
          <w:rFonts w:ascii="Times New Roman" w:hAnsi="Times New Roman" w:cs="Times New Roman" w:hint="eastAsia"/>
          <w:sz w:val="24"/>
          <w:szCs w:val="24"/>
        </w:rPr>
        <w:t xml:space="preserve">capitated </w:t>
      </w:r>
      <w:r w:rsidR="00B44853" w:rsidRPr="00EF2C16">
        <w:rPr>
          <w:rFonts w:ascii="Times New Roman" w:hAnsi="Times New Roman" w:cs="Times New Roman" w:hint="eastAsia"/>
          <w:sz w:val="24"/>
          <w:szCs w:val="24"/>
        </w:rPr>
        <w:t>payment model</w:t>
      </w:r>
      <w:r w:rsidR="00B44853" w:rsidRPr="00EF2C16">
        <w:rPr>
          <w:rFonts w:ascii="Times New Roman" w:hAnsi="Times New Roman" w:cs="Times New Roman"/>
          <w:sz w:val="24"/>
          <w:szCs w:val="24"/>
        </w:rPr>
        <w:t xml:space="preserve"> for Medicare Advantage (MA) plans </w:t>
      </w:r>
      <w:r w:rsidR="00B44853" w:rsidRPr="00EF2C16">
        <w:rPr>
          <w:rFonts w:ascii="Times New Roman" w:hAnsi="Times New Roman" w:cs="Times New Roman" w:hint="eastAsia"/>
          <w:sz w:val="24"/>
          <w:szCs w:val="24"/>
        </w:rPr>
        <w:t>may</w:t>
      </w:r>
      <w:r w:rsidR="00B44853" w:rsidRPr="00EF2C16">
        <w:rPr>
          <w:rFonts w:ascii="Times New Roman" w:hAnsi="Times New Roman" w:cs="Times New Roman"/>
          <w:sz w:val="24"/>
          <w:szCs w:val="24"/>
        </w:rPr>
        <w:t xml:space="preserve"> creat</w:t>
      </w:r>
      <w:r w:rsidR="00B44853" w:rsidRPr="00EF2C16">
        <w:rPr>
          <w:rFonts w:ascii="Times New Roman" w:hAnsi="Times New Roman" w:cs="Times New Roman" w:hint="eastAsia"/>
          <w:sz w:val="24"/>
          <w:szCs w:val="24"/>
        </w:rPr>
        <w:t>e</w:t>
      </w:r>
      <w:r w:rsidR="00B44853" w:rsidRPr="00EF2C16">
        <w:rPr>
          <w:rFonts w:ascii="Times New Roman" w:hAnsi="Times New Roman" w:cs="Times New Roman"/>
          <w:sz w:val="24"/>
          <w:szCs w:val="24"/>
        </w:rPr>
        <w:t xml:space="preserve"> financial disincentives for plans to invest in comprehensive care for affected beneficiaries, </w:t>
      </w:r>
      <w:r w:rsidR="00AE7251" w:rsidRPr="00EF2C16">
        <w:rPr>
          <w:rFonts w:ascii="Times New Roman" w:hAnsi="Times New Roman" w:cs="Times New Roman"/>
          <w:sz w:val="24"/>
          <w:szCs w:val="24"/>
        </w:rPr>
        <w:t xml:space="preserve">potentially exacerbating </w:t>
      </w:r>
      <w:r w:rsidR="00B44853" w:rsidRPr="00EF2C16">
        <w:rPr>
          <w:rFonts w:ascii="Times New Roman" w:hAnsi="Times New Roman" w:cs="Times New Roman"/>
          <w:sz w:val="24"/>
          <w:szCs w:val="24"/>
        </w:rPr>
        <w:t xml:space="preserve">health disparities. </w:t>
      </w:r>
    </w:p>
    <w:p w14:paraId="7E0E9EB0" w14:textId="77777777" w:rsidR="00EF2C16" w:rsidRPr="00EF2C16" w:rsidRDefault="00EF2C16" w:rsidP="00EF2C16">
      <w:pPr>
        <w:spacing w:after="0" w:line="240" w:lineRule="auto"/>
        <w:jc w:val="both"/>
        <w:rPr>
          <w:rFonts w:ascii="Times New Roman" w:hAnsi="Times New Roman" w:cs="Times New Roman"/>
          <w:sz w:val="24"/>
          <w:szCs w:val="24"/>
        </w:rPr>
      </w:pPr>
    </w:p>
    <w:p w14:paraId="43AF62BC" w14:textId="0E7766A8" w:rsidR="0023143C" w:rsidRDefault="0023143C" w:rsidP="00EF2C16">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Objective</w:t>
      </w:r>
      <w:r w:rsidRPr="00EF2C16">
        <w:rPr>
          <w:rFonts w:ascii="Times New Roman" w:hAnsi="Times New Roman" w:cs="Times New Roman"/>
          <w:sz w:val="24"/>
          <w:szCs w:val="24"/>
        </w:rPr>
        <w:t xml:space="preserve">: </w:t>
      </w:r>
      <w:r w:rsidR="00747C1E" w:rsidRPr="00EF2C16">
        <w:rPr>
          <w:rFonts w:ascii="Times New Roman" w:hAnsi="Times New Roman" w:cs="Times New Roman"/>
          <w:sz w:val="24"/>
          <w:szCs w:val="24"/>
        </w:rPr>
        <w:t xml:space="preserve">To evaluate whether the </w:t>
      </w:r>
      <w:r w:rsidR="003713A5" w:rsidRPr="00EF2C16">
        <w:rPr>
          <w:rFonts w:ascii="Times New Roman" w:hAnsi="Times New Roman" w:cs="Times New Roman"/>
          <w:sz w:val="24"/>
          <w:szCs w:val="24"/>
        </w:rPr>
        <w:t>reinstatement</w:t>
      </w:r>
      <w:r w:rsidR="007B059F" w:rsidRPr="00EF2C16">
        <w:rPr>
          <w:rFonts w:ascii="Times New Roman" w:hAnsi="Times New Roman" w:cs="Times New Roman"/>
          <w:sz w:val="24"/>
          <w:szCs w:val="24"/>
        </w:rPr>
        <w:t xml:space="preserve"> </w:t>
      </w:r>
      <w:r w:rsidR="00747C1E" w:rsidRPr="00EF2C16">
        <w:rPr>
          <w:rFonts w:ascii="Times New Roman" w:hAnsi="Times New Roman" w:cs="Times New Roman"/>
          <w:sz w:val="24"/>
          <w:szCs w:val="24"/>
        </w:rPr>
        <w:t xml:space="preserve">of </w:t>
      </w:r>
      <w:r w:rsidR="00B44853" w:rsidRPr="00EF2C16">
        <w:rPr>
          <w:rFonts w:ascii="Times New Roman" w:hAnsi="Times New Roman" w:cs="Times New Roman"/>
          <w:sz w:val="24"/>
          <w:szCs w:val="24"/>
        </w:rPr>
        <w:t xml:space="preserve">Alzheimer’s Disease and Related Dementias (ADRD) </w:t>
      </w:r>
      <w:r w:rsidR="00747C1E" w:rsidRPr="00EF2C16">
        <w:rPr>
          <w:rFonts w:ascii="Times New Roman" w:hAnsi="Times New Roman" w:cs="Times New Roman"/>
          <w:sz w:val="24"/>
          <w:szCs w:val="24"/>
        </w:rPr>
        <w:t>hierarchical condition category</w:t>
      </w:r>
      <w:r w:rsidR="00C24E60" w:rsidRPr="00EF2C16">
        <w:rPr>
          <w:rFonts w:ascii="Times New Roman" w:hAnsi="Times New Roman" w:cs="Times New Roman"/>
          <w:sz w:val="24"/>
          <w:szCs w:val="24"/>
        </w:rPr>
        <w:t xml:space="preserve"> (HCC)</w:t>
      </w:r>
      <w:r w:rsidR="00747C1E" w:rsidRPr="00EF2C16">
        <w:rPr>
          <w:rFonts w:ascii="Times New Roman" w:hAnsi="Times New Roman" w:cs="Times New Roman"/>
          <w:sz w:val="24"/>
          <w:szCs w:val="24"/>
        </w:rPr>
        <w:t xml:space="preserve"> </w:t>
      </w:r>
      <w:r w:rsidR="00B44853" w:rsidRPr="00EF2C16">
        <w:rPr>
          <w:rFonts w:ascii="Times New Roman" w:hAnsi="Times New Roman" w:cs="Times New Roman"/>
          <w:sz w:val="24"/>
          <w:szCs w:val="24"/>
        </w:rPr>
        <w:t xml:space="preserve">into </w:t>
      </w:r>
      <w:r w:rsidR="00544B40" w:rsidRPr="00EF2C16">
        <w:rPr>
          <w:rFonts w:ascii="Times New Roman" w:hAnsi="Times New Roman" w:cs="Times New Roman"/>
          <w:sz w:val="24"/>
          <w:szCs w:val="24"/>
        </w:rPr>
        <w:t xml:space="preserve">the </w:t>
      </w:r>
      <w:r w:rsidR="00B44853" w:rsidRPr="00EF2C16">
        <w:rPr>
          <w:rFonts w:ascii="Times New Roman" w:hAnsi="Times New Roman" w:cs="Times New Roman"/>
          <w:sz w:val="24"/>
          <w:szCs w:val="24"/>
        </w:rPr>
        <w:t>MA risk</w:t>
      </w:r>
      <w:r w:rsidR="006B4943" w:rsidRPr="00EF2C16">
        <w:rPr>
          <w:rFonts w:ascii="Times New Roman" w:hAnsi="Times New Roman" w:cs="Times New Roman"/>
          <w:sz w:val="24"/>
          <w:szCs w:val="24"/>
        </w:rPr>
        <w:t>-</w:t>
      </w:r>
      <w:r w:rsidR="00B44853" w:rsidRPr="00EF2C16">
        <w:rPr>
          <w:rFonts w:ascii="Times New Roman" w:hAnsi="Times New Roman" w:cs="Times New Roman"/>
          <w:sz w:val="24"/>
          <w:szCs w:val="24"/>
        </w:rPr>
        <w:t xml:space="preserve">adjusted payment model </w:t>
      </w:r>
      <w:r w:rsidR="00747C1E" w:rsidRPr="00EF2C16">
        <w:rPr>
          <w:rFonts w:ascii="Times New Roman" w:hAnsi="Times New Roman" w:cs="Times New Roman"/>
          <w:sz w:val="24"/>
          <w:szCs w:val="24"/>
        </w:rPr>
        <w:t xml:space="preserve">in 2020 </w:t>
      </w:r>
      <w:r w:rsidR="00111F16" w:rsidRPr="00EF2C16">
        <w:rPr>
          <w:rFonts w:ascii="Times New Roman" w:hAnsi="Times New Roman" w:cs="Times New Roman"/>
          <w:sz w:val="24"/>
          <w:szCs w:val="24"/>
        </w:rPr>
        <w:t>is associated with</w:t>
      </w:r>
      <w:r w:rsidR="00626B32" w:rsidRPr="00EF2C16">
        <w:rPr>
          <w:rFonts w:ascii="Times New Roman" w:hAnsi="Times New Roman" w:cs="Times New Roman"/>
          <w:sz w:val="24"/>
          <w:szCs w:val="24"/>
        </w:rPr>
        <w:t xml:space="preserve"> improved</w:t>
      </w:r>
      <w:r w:rsidR="00747C1E" w:rsidRPr="00EF2C16">
        <w:rPr>
          <w:rFonts w:ascii="Times New Roman" w:hAnsi="Times New Roman" w:cs="Times New Roman"/>
          <w:sz w:val="24"/>
          <w:szCs w:val="24"/>
        </w:rPr>
        <w:t xml:space="preserve"> </w:t>
      </w:r>
      <w:r w:rsidR="00BD0C25" w:rsidRPr="00EF2C16">
        <w:rPr>
          <w:rFonts w:ascii="Times New Roman" w:hAnsi="Times New Roman" w:cs="Times New Roman" w:hint="eastAsia"/>
          <w:sz w:val="24"/>
          <w:szCs w:val="24"/>
        </w:rPr>
        <w:t>access</w:t>
      </w:r>
      <w:r w:rsidR="0036037D" w:rsidRPr="00EF2C16">
        <w:rPr>
          <w:rFonts w:ascii="Times New Roman" w:hAnsi="Times New Roman" w:cs="Times New Roman" w:hint="eastAsia"/>
          <w:sz w:val="24"/>
          <w:szCs w:val="24"/>
        </w:rPr>
        <w:t xml:space="preserve">, </w:t>
      </w:r>
      <w:r w:rsidR="001164C6" w:rsidRPr="00EF2C16">
        <w:rPr>
          <w:rFonts w:ascii="Times New Roman" w:hAnsi="Times New Roman" w:cs="Times New Roman"/>
          <w:sz w:val="24"/>
          <w:szCs w:val="24"/>
        </w:rPr>
        <w:t>affordability</w:t>
      </w:r>
      <w:r w:rsidR="0036037D" w:rsidRPr="00EF2C16">
        <w:rPr>
          <w:rFonts w:ascii="Times New Roman" w:hAnsi="Times New Roman" w:cs="Times New Roman" w:hint="eastAsia"/>
          <w:sz w:val="24"/>
          <w:szCs w:val="24"/>
        </w:rPr>
        <w:t>, and quality</w:t>
      </w:r>
      <w:r w:rsidR="00974E13" w:rsidRPr="00EF2C16">
        <w:rPr>
          <w:rFonts w:ascii="Times New Roman" w:hAnsi="Times New Roman" w:cs="Times New Roman"/>
          <w:sz w:val="24"/>
          <w:szCs w:val="24"/>
        </w:rPr>
        <w:t xml:space="preserve"> of care</w:t>
      </w:r>
      <w:r w:rsidR="00747C1E" w:rsidRPr="00EF2C16">
        <w:rPr>
          <w:rFonts w:ascii="Times New Roman" w:hAnsi="Times New Roman" w:cs="Times New Roman"/>
          <w:sz w:val="24"/>
          <w:szCs w:val="24"/>
        </w:rPr>
        <w:t xml:space="preserve"> for beneficiaries with ADRD.</w:t>
      </w:r>
    </w:p>
    <w:p w14:paraId="7405A42C" w14:textId="77777777" w:rsidR="00EF2C16" w:rsidRPr="00EF2C16" w:rsidRDefault="00EF2C16" w:rsidP="00EF2C16">
      <w:pPr>
        <w:spacing w:after="0" w:line="240" w:lineRule="auto"/>
        <w:jc w:val="both"/>
        <w:rPr>
          <w:rFonts w:ascii="Times New Roman" w:hAnsi="Times New Roman" w:cs="Times New Roman"/>
          <w:sz w:val="24"/>
          <w:szCs w:val="24"/>
        </w:rPr>
      </w:pPr>
    </w:p>
    <w:p w14:paraId="0016AE62" w14:textId="0F5A7BD2" w:rsidR="0023143C" w:rsidRDefault="0023143C" w:rsidP="00EF2C16">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Design, Setting, and Participants</w:t>
      </w:r>
      <w:r w:rsidRPr="00EF2C16">
        <w:rPr>
          <w:rFonts w:ascii="Times New Roman" w:hAnsi="Times New Roman" w:cs="Times New Roman"/>
          <w:sz w:val="24"/>
          <w:szCs w:val="24"/>
        </w:rPr>
        <w:t xml:space="preserve">: </w:t>
      </w:r>
      <w:r w:rsidR="00273F35" w:rsidRPr="00EF2C16">
        <w:rPr>
          <w:rFonts w:ascii="Times New Roman" w:hAnsi="Times New Roman" w:cs="Times New Roman"/>
          <w:sz w:val="24"/>
          <w:szCs w:val="24"/>
        </w:rPr>
        <w:t>We analyze</w:t>
      </w:r>
      <w:r w:rsidR="00D03578" w:rsidRPr="00EF2C16">
        <w:rPr>
          <w:rFonts w:ascii="Times New Roman" w:hAnsi="Times New Roman" w:cs="Times New Roman"/>
          <w:sz w:val="24"/>
          <w:szCs w:val="24"/>
        </w:rPr>
        <w:t>d</w:t>
      </w:r>
      <w:r w:rsidR="00273F35" w:rsidRPr="00EF2C16">
        <w:rPr>
          <w:rFonts w:ascii="Times New Roman" w:hAnsi="Times New Roman" w:cs="Times New Roman"/>
          <w:sz w:val="24"/>
          <w:szCs w:val="24"/>
        </w:rPr>
        <w:t xml:space="preserve"> data from</w:t>
      </w:r>
      <w:r w:rsidR="00A103E4" w:rsidRPr="00EF2C16">
        <w:rPr>
          <w:rFonts w:ascii="Times New Roman" w:hAnsi="Times New Roman" w:cs="Times New Roman"/>
          <w:sz w:val="24"/>
          <w:szCs w:val="24"/>
        </w:rPr>
        <w:t xml:space="preserve"> 5,353 MA beneficiaries </w:t>
      </w:r>
      <w:r w:rsidR="00273F35" w:rsidRPr="00EF2C16">
        <w:rPr>
          <w:rFonts w:ascii="Times New Roman" w:hAnsi="Times New Roman" w:cs="Times New Roman"/>
          <w:sz w:val="24"/>
          <w:szCs w:val="24"/>
        </w:rPr>
        <w:t xml:space="preserve">in </w:t>
      </w:r>
      <w:r w:rsidR="00B61528" w:rsidRPr="00EF2C16">
        <w:rPr>
          <w:rFonts w:ascii="Times New Roman" w:hAnsi="Times New Roman" w:cs="Times New Roman"/>
          <w:sz w:val="24"/>
          <w:szCs w:val="24"/>
        </w:rPr>
        <w:t xml:space="preserve">the </w:t>
      </w:r>
      <w:r w:rsidR="005D3FFE" w:rsidRPr="00EF2C16">
        <w:rPr>
          <w:rFonts w:ascii="Times New Roman" w:hAnsi="Times New Roman" w:cs="Times New Roman"/>
          <w:sz w:val="24"/>
          <w:szCs w:val="24"/>
        </w:rPr>
        <w:t xml:space="preserve">Medicare Current Beneficiary Survey (2015–2022). Beneficiaries </w:t>
      </w:r>
      <w:r w:rsidR="00D03578" w:rsidRPr="00EF2C16">
        <w:rPr>
          <w:rFonts w:ascii="Times New Roman" w:hAnsi="Times New Roman" w:cs="Times New Roman"/>
          <w:sz w:val="24"/>
          <w:szCs w:val="24"/>
        </w:rPr>
        <w:t>were</w:t>
      </w:r>
      <w:r w:rsidR="00273F35" w:rsidRPr="00EF2C16">
        <w:rPr>
          <w:rFonts w:ascii="Times New Roman" w:hAnsi="Times New Roman" w:cs="Times New Roman"/>
          <w:sz w:val="24"/>
          <w:szCs w:val="24"/>
        </w:rPr>
        <w:t xml:space="preserve"> </w:t>
      </w:r>
      <w:r w:rsidR="005D3FFE" w:rsidRPr="00EF2C16">
        <w:rPr>
          <w:rFonts w:ascii="Times New Roman" w:hAnsi="Times New Roman" w:cs="Times New Roman"/>
          <w:sz w:val="24"/>
          <w:szCs w:val="24"/>
        </w:rPr>
        <w:t xml:space="preserve">stratified into treatment and control groups based on </w:t>
      </w:r>
      <w:r w:rsidR="00B13E6E" w:rsidRPr="00EF2C16">
        <w:rPr>
          <w:rFonts w:ascii="Times New Roman" w:hAnsi="Times New Roman" w:cs="Times New Roman"/>
          <w:sz w:val="24"/>
          <w:szCs w:val="24"/>
        </w:rPr>
        <w:t>their</w:t>
      </w:r>
      <w:r w:rsidR="005D3FFE" w:rsidRPr="00EF2C16">
        <w:rPr>
          <w:rFonts w:ascii="Times New Roman" w:hAnsi="Times New Roman" w:cs="Times New Roman"/>
          <w:sz w:val="24"/>
          <w:szCs w:val="24"/>
        </w:rPr>
        <w:t xml:space="preserve"> diagnosis</w:t>
      </w:r>
      <w:r w:rsidR="00B13E6E" w:rsidRPr="00EF2C16">
        <w:rPr>
          <w:rFonts w:ascii="Times New Roman" w:hAnsi="Times New Roman" w:cs="Times New Roman"/>
          <w:sz w:val="24"/>
          <w:szCs w:val="24"/>
        </w:rPr>
        <w:t xml:space="preserve"> of ADRD</w:t>
      </w:r>
      <w:r w:rsidR="005D3FFE" w:rsidRPr="00EF2C16">
        <w:rPr>
          <w:rFonts w:ascii="Times New Roman" w:hAnsi="Times New Roman" w:cs="Times New Roman"/>
          <w:sz w:val="24"/>
          <w:szCs w:val="24"/>
        </w:rPr>
        <w:t>.</w:t>
      </w:r>
    </w:p>
    <w:p w14:paraId="78CB1907" w14:textId="77777777" w:rsidR="00EF2C16" w:rsidRPr="00EF2C16" w:rsidRDefault="00EF2C16" w:rsidP="00EF2C16">
      <w:pPr>
        <w:spacing w:after="0" w:line="240" w:lineRule="auto"/>
        <w:jc w:val="both"/>
        <w:rPr>
          <w:rFonts w:ascii="Times New Roman" w:hAnsi="Times New Roman" w:cs="Times New Roman"/>
          <w:sz w:val="24"/>
          <w:szCs w:val="24"/>
        </w:rPr>
      </w:pPr>
    </w:p>
    <w:p w14:paraId="249B85BF" w14:textId="70071BA0" w:rsidR="0023143C" w:rsidRDefault="0023143C" w:rsidP="00EF2C16">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Exposures</w:t>
      </w:r>
      <w:r w:rsidRPr="00EF2C16">
        <w:rPr>
          <w:rFonts w:ascii="Times New Roman" w:hAnsi="Times New Roman" w:cs="Times New Roman"/>
          <w:sz w:val="24"/>
          <w:szCs w:val="24"/>
        </w:rPr>
        <w:t xml:space="preserve">: </w:t>
      </w:r>
      <w:r w:rsidR="00340F73" w:rsidRPr="00EF2C16">
        <w:rPr>
          <w:rFonts w:ascii="Times New Roman" w:hAnsi="Times New Roman" w:cs="Times New Roman" w:hint="eastAsia"/>
          <w:sz w:val="24"/>
          <w:szCs w:val="24"/>
        </w:rPr>
        <w:t>Re</w:t>
      </w:r>
      <w:r w:rsidR="00DD59AC" w:rsidRPr="00EF2C16">
        <w:rPr>
          <w:rFonts w:ascii="Times New Roman" w:hAnsi="Times New Roman" w:cs="Times New Roman" w:hint="eastAsia"/>
          <w:sz w:val="24"/>
          <w:szCs w:val="24"/>
        </w:rPr>
        <w:t>in</w:t>
      </w:r>
      <w:r w:rsidR="00340F73" w:rsidRPr="00EF2C16">
        <w:rPr>
          <w:rFonts w:ascii="Times New Roman" w:hAnsi="Times New Roman" w:cs="Times New Roman" w:hint="eastAsia"/>
          <w:sz w:val="24"/>
          <w:szCs w:val="24"/>
        </w:rPr>
        <w:t>state</w:t>
      </w:r>
      <w:r w:rsidR="00544B40" w:rsidRPr="00EF2C16">
        <w:rPr>
          <w:rFonts w:ascii="Times New Roman" w:hAnsi="Times New Roman" w:cs="Times New Roman"/>
          <w:sz w:val="24"/>
          <w:szCs w:val="24"/>
        </w:rPr>
        <w:t>ment</w:t>
      </w:r>
      <w:r w:rsidR="001B64FA" w:rsidRPr="00EF2C16">
        <w:rPr>
          <w:rFonts w:ascii="Times New Roman" w:hAnsi="Times New Roman" w:cs="Times New Roman"/>
          <w:sz w:val="24"/>
          <w:szCs w:val="24"/>
        </w:rPr>
        <w:t xml:space="preserve"> of </w:t>
      </w:r>
      <w:r w:rsidR="0042345F" w:rsidRPr="00EF2C16">
        <w:rPr>
          <w:rFonts w:ascii="Times New Roman" w:hAnsi="Times New Roman" w:cs="Times New Roman"/>
          <w:sz w:val="24"/>
          <w:szCs w:val="24"/>
        </w:rPr>
        <w:t xml:space="preserve">the </w:t>
      </w:r>
      <w:r w:rsidR="001B64FA" w:rsidRPr="00EF2C16">
        <w:rPr>
          <w:rFonts w:ascii="Times New Roman" w:hAnsi="Times New Roman" w:cs="Times New Roman"/>
          <w:sz w:val="24"/>
          <w:szCs w:val="24"/>
        </w:rPr>
        <w:t xml:space="preserve">ADRD HCC into </w:t>
      </w:r>
      <w:r w:rsidR="00343D45" w:rsidRPr="00EF2C16">
        <w:rPr>
          <w:rFonts w:ascii="Times New Roman" w:hAnsi="Times New Roman" w:cs="Times New Roman"/>
          <w:sz w:val="24"/>
          <w:szCs w:val="24"/>
        </w:rPr>
        <w:t xml:space="preserve">the </w:t>
      </w:r>
      <w:r w:rsidR="001B64FA" w:rsidRPr="00EF2C16">
        <w:rPr>
          <w:rFonts w:ascii="Times New Roman" w:hAnsi="Times New Roman" w:cs="Times New Roman"/>
          <w:sz w:val="24"/>
          <w:szCs w:val="24"/>
        </w:rPr>
        <w:t xml:space="preserve">MA risk adjustment </w:t>
      </w:r>
      <w:r w:rsidR="00876ABE" w:rsidRPr="00EF2C16">
        <w:rPr>
          <w:rFonts w:ascii="Times New Roman" w:hAnsi="Times New Roman" w:cs="Times New Roman"/>
          <w:sz w:val="24"/>
          <w:szCs w:val="24"/>
        </w:rPr>
        <w:t xml:space="preserve">formula </w:t>
      </w:r>
      <w:r w:rsidR="001B64FA" w:rsidRPr="00EF2C16">
        <w:rPr>
          <w:rFonts w:ascii="Times New Roman" w:hAnsi="Times New Roman" w:cs="Times New Roman"/>
          <w:sz w:val="24"/>
          <w:szCs w:val="24"/>
        </w:rPr>
        <w:t>in 2020.</w:t>
      </w:r>
    </w:p>
    <w:p w14:paraId="749E5211" w14:textId="77777777" w:rsidR="00EF2C16" w:rsidRPr="00EF2C16" w:rsidRDefault="00EF2C16" w:rsidP="00EF2C16">
      <w:pPr>
        <w:spacing w:after="0" w:line="240" w:lineRule="auto"/>
        <w:jc w:val="both"/>
        <w:rPr>
          <w:rFonts w:ascii="Times New Roman" w:hAnsi="Times New Roman" w:cs="Times New Roman"/>
          <w:sz w:val="24"/>
          <w:szCs w:val="24"/>
        </w:rPr>
      </w:pPr>
    </w:p>
    <w:p w14:paraId="2501F0F9" w14:textId="1D4CDCDE" w:rsidR="00F64C1A" w:rsidRDefault="0023143C" w:rsidP="00EF2C16">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Main Outcomes and Measures</w:t>
      </w:r>
      <w:r w:rsidRPr="00EF2C16">
        <w:rPr>
          <w:rFonts w:ascii="Times New Roman" w:hAnsi="Times New Roman" w:cs="Times New Roman"/>
          <w:sz w:val="24"/>
          <w:szCs w:val="24"/>
        </w:rPr>
        <w:t xml:space="preserve">: </w:t>
      </w:r>
      <w:r w:rsidR="00170864" w:rsidRPr="00EF2C16">
        <w:rPr>
          <w:rFonts w:ascii="Times New Roman" w:hAnsi="Times New Roman" w:cs="Times New Roman"/>
          <w:sz w:val="24"/>
          <w:szCs w:val="24"/>
        </w:rPr>
        <w:t xml:space="preserve">We </w:t>
      </w:r>
      <w:r w:rsidR="00504B9C" w:rsidRPr="00EF2C16">
        <w:rPr>
          <w:rFonts w:ascii="Times New Roman" w:hAnsi="Times New Roman" w:cs="Times New Roman"/>
          <w:sz w:val="24"/>
          <w:szCs w:val="24"/>
        </w:rPr>
        <w:t>examin</w:t>
      </w:r>
      <w:r w:rsidR="00B3093E" w:rsidRPr="00EF2C16">
        <w:rPr>
          <w:rFonts w:ascii="Times New Roman" w:hAnsi="Times New Roman" w:cs="Times New Roman"/>
          <w:sz w:val="24"/>
          <w:szCs w:val="24"/>
        </w:rPr>
        <w:t>e</w:t>
      </w:r>
      <w:r w:rsidR="00D03578" w:rsidRPr="00EF2C16">
        <w:rPr>
          <w:rFonts w:ascii="Times New Roman" w:hAnsi="Times New Roman" w:cs="Times New Roman"/>
          <w:sz w:val="24"/>
          <w:szCs w:val="24"/>
        </w:rPr>
        <w:t>d</w:t>
      </w:r>
      <w:r w:rsidR="00504B9C" w:rsidRPr="00EF2C16">
        <w:rPr>
          <w:rFonts w:ascii="Times New Roman" w:hAnsi="Times New Roman" w:cs="Times New Roman"/>
          <w:sz w:val="24"/>
          <w:szCs w:val="24"/>
        </w:rPr>
        <w:t xml:space="preserve"> </w:t>
      </w:r>
      <w:r w:rsidR="00BD0986" w:rsidRPr="00EF2C16">
        <w:rPr>
          <w:rFonts w:ascii="Times New Roman" w:hAnsi="Times New Roman" w:cs="Times New Roman"/>
          <w:sz w:val="24"/>
          <w:szCs w:val="24"/>
        </w:rPr>
        <w:t>accessibility</w:t>
      </w:r>
      <w:r w:rsidR="00FF3A79" w:rsidRPr="00EF2C16">
        <w:rPr>
          <w:rFonts w:ascii="Times New Roman" w:hAnsi="Times New Roman" w:cs="Times New Roman"/>
          <w:sz w:val="24"/>
          <w:szCs w:val="24"/>
        </w:rPr>
        <w:t xml:space="preserve"> of needed care</w:t>
      </w:r>
      <w:r w:rsidR="00BD0986" w:rsidRPr="00EF2C16">
        <w:rPr>
          <w:rFonts w:ascii="Times New Roman" w:hAnsi="Times New Roman" w:cs="Times New Roman"/>
          <w:sz w:val="24"/>
          <w:szCs w:val="24"/>
        </w:rPr>
        <w:t xml:space="preserve">, </w:t>
      </w:r>
      <w:r w:rsidR="00B72C3F" w:rsidRPr="00EF2C16">
        <w:rPr>
          <w:rFonts w:ascii="Times New Roman" w:hAnsi="Times New Roman" w:cs="Times New Roman"/>
          <w:sz w:val="24"/>
          <w:szCs w:val="24"/>
        </w:rPr>
        <w:t>medical financial burden</w:t>
      </w:r>
      <w:r w:rsidR="00BD0986" w:rsidRPr="00EF2C16">
        <w:rPr>
          <w:rFonts w:ascii="Times New Roman" w:hAnsi="Times New Roman" w:cs="Times New Roman"/>
          <w:sz w:val="24"/>
          <w:szCs w:val="24"/>
        </w:rPr>
        <w:t xml:space="preserve">, satisfaction with </w:t>
      </w:r>
      <w:r w:rsidR="001F22D5" w:rsidRPr="00EF2C16">
        <w:rPr>
          <w:rFonts w:ascii="Times New Roman" w:hAnsi="Times New Roman" w:cs="Times New Roman"/>
          <w:sz w:val="24"/>
          <w:szCs w:val="24"/>
        </w:rPr>
        <w:t>availability of</w:t>
      </w:r>
      <w:r w:rsidR="00BD0986" w:rsidRPr="00EF2C16">
        <w:rPr>
          <w:rFonts w:ascii="Times New Roman" w:hAnsi="Times New Roman" w:cs="Times New Roman"/>
          <w:sz w:val="24"/>
          <w:szCs w:val="24"/>
        </w:rPr>
        <w:t xml:space="preserve"> specialists, and satisfaction with quality of care. </w:t>
      </w:r>
    </w:p>
    <w:p w14:paraId="5B76660B" w14:textId="77777777" w:rsidR="00EF2C16" w:rsidRPr="00EF2C16" w:rsidRDefault="00EF2C16" w:rsidP="00EF2C16">
      <w:pPr>
        <w:spacing w:after="0" w:line="240" w:lineRule="auto"/>
        <w:jc w:val="both"/>
        <w:rPr>
          <w:rFonts w:ascii="Times New Roman" w:hAnsi="Times New Roman" w:cs="Times New Roman"/>
          <w:sz w:val="24"/>
          <w:szCs w:val="24"/>
        </w:rPr>
      </w:pPr>
    </w:p>
    <w:p w14:paraId="7CD468E2" w14:textId="123BA263" w:rsidR="0066731C" w:rsidRDefault="0023143C" w:rsidP="00EF2C16">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Results</w:t>
      </w:r>
      <w:r w:rsidRPr="00EF2C16">
        <w:rPr>
          <w:rFonts w:ascii="Times New Roman" w:hAnsi="Times New Roman" w:cs="Times New Roman"/>
          <w:sz w:val="24"/>
          <w:szCs w:val="24"/>
        </w:rPr>
        <w:t xml:space="preserve">: </w:t>
      </w:r>
      <w:r w:rsidR="00F64C1A" w:rsidRPr="00EF2C16">
        <w:rPr>
          <w:rFonts w:ascii="Times New Roman" w:hAnsi="Times New Roman" w:cs="Times New Roman"/>
          <w:sz w:val="24"/>
          <w:szCs w:val="24"/>
        </w:rPr>
        <w:t xml:space="preserve">The revised risk-adjusted payment model </w:t>
      </w:r>
      <w:r w:rsidR="00D03578" w:rsidRPr="00EF2C16">
        <w:rPr>
          <w:rFonts w:ascii="Times New Roman" w:hAnsi="Times New Roman" w:cs="Times New Roman"/>
          <w:sz w:val="24"/>
          <w:szCs w:val="24"/>
        </w:rPr>
        <w:t>was</w:t>
      </w:r>
      <w:r w:rsidR="00F64C1A" w:rsidRPr="00EF2C16">
        <w:rPr>
          <w:rFonts w:ascii="Times New Roman" w:hAnsi="Times New Roman" w:cs="Times New Roman"/>
          <w:sz w:val="24"/>
          <w:szCs w:val="24"/>
        </w:rPr>
        <w:t xml:space="preserve"> associated with a 6.6 percentage-point </w:t>
      </w:r>
      <w:r w:rsidR="007C7358" w:rsidRPr="00EF2C16">
        <w:rPr>
          <w:rFonts w:ascii="Times New Roman" w:hAnsi="Times New Roman" w:cs="Times New Roman"/>
          <w:sz w:val="24"/>
          <w:szCs w:val="24"/>
        </w:rPr>
        <w:t xml:space="preserve">decrease </w:t>
      </w:r>
      <w:r w:rsidR="00F64C1A" w:rsidRPr="00EF2C16">
        <w:rPr>
          <w:rFonts w:ascii="Times New Roman" w:hAnsi="Times New Roman" w:cs="Times New Roman"/>
          <w:sz w:val="24"/>
          <w:szCs w:val="24"/>
        </w:rPr>
        <w:t xml:space="preserve">in reporting </w:t>
      </w:r>
      <w:r w:rsidR="007C7358" w:rsidRPr="00EF2C16">
        <w:rPr>
          <w:rFonts w:ascii="Times New Roman" w:hAnsi="Times New Roman" w:cs="Times New Roman"/>
          <w:sz w:val="24"/>
          <w:szCs w:val="24"/>
        </w:rPr>
        <w:t xml:space="preserve">any </w:t>
      </w:r>
      <w:r w:rsidR="00F64C1A" w:rsidRPr="00EF2C16">
        <w:rPr>
          <w:rFonts w:ascii="Times New Roman" w:hAnsi="Times New Roman" w:cs="Times New Roman"/>
          <w:sz w:val="24"/>
          <w:szCs w:val="24"/>
        </w:rPr>
        <w:t>trouble</w:t>
      </w:r>
      <w:r w:rsidR="00226C2A" w:rsidRPr="00EF2C16">
        <w:rPr>
          <w:rFonts w:ascii="Times New Roman" w:hAnsi="Times New Roman" w:cs="Times New Roman"/>
          <w:sz w:val="24"/>
          <w:szCs w:val="24"/>
        </w:rPr>
        <w:t>s</w:t>
      </w:r>
      <w:r w:rsidR="00F64C1A" w:rsidRPr="00EF2C16">
        <w:rPr>
          <w:rFonts w:ascii="Times New Roman" w:hAnsi="Times New Roman" w:cs="Times New Roman"/>
          <w:sz w:val="24"/>
          <w:szCs w:val="24"/>
        </w:rPr>
        <w:t xml:space="preserve"> accessing needed care (95% CI, </w:t>
      </w:r>
      <w:r w:rsidR="007C7358" w:rsidRPr="00EF2C16">
        <w:rPr>
          <w:rFonts w:ascii="Times New Roman" w:hAnsi="Times New Roman" w:cs="Times New Roman"/>
          <w:sz w:val="24"/>
          <w:szCs w:val="24"/>
        </w:rPr>
        <w:t>-</w:t>
      </w:r>
      <w:r w:rsidR="00F64C1A" w:rsidRPr="00EF2C16">
        <w:rPr>
          <w:rFonts w:ascii="Times New Roman" w:hAnsi="Times New Roman" w:cs="Times New Roman"/>
          <w:sz w:val="24"/>
          <w:szCs w:val="24"/>
        </w:rPr>
        <w:t>0.</w:t>
      </w:r>
      <w:r w:rsidR="007C7358" w:rsidRPr="00EF2C16">
        <w:rPr>
          <w:rFonts w:ascii="Times New Roman" w:hAnsi="Times New Roman" w:cs="Times New Roman"/>
          <w:sz w:val="24"/>
          <w:szCs w:val="24"/>
        </w:rPr>
        <w:t>112</w:t>
      </w:r>
      <w:r w:rsidR="00F64C1A" w:rsidRPr="00EF2C16">
        <w:rPr>
          <w:rFonts w:ascii="Times New Roman" w:hAnsi="Times New Roman" w:cs="Times New Roman"/>
          <w:sz w:val="24"/>
          <w:szCs w:val="24"/>
        </w:rPr>
        <w:t xml:space="preserve"> to </w:t>
      </w:r>
      <w:r w:rsidR="007C7358" w:rsidRPr="00EF2C16">
        <w:rPr>
          <w:rFonts w:ascii="Times New Roman" w:hAnsi="Times New Roman" w:cs="Times New Roman"/>
          <w:sz w:val="24"/>
          <w:szCs w:val="24"/>
        </w:rPr>
        <w:t>-</w:t>
      </w:r>
      <w:r w:rsidR="00F64C1A" w:rsidRPr="00EF2C16">
        <w:rPr>
          <w:rFonts w:ascii="Times New Roman" w:hAnsi="Times New Roman" w:cs="Times New Roman"/>
          <w:sz w:val="24"/>
          <w:szCs w:val="24"/>
        </w:rPr>
        <w:t>0.</w:t>
      </w:r>
      <w:r w:rsidR="007C7358" w:rsidRPr="00EF2C16">
        <w:rPr>
          <w:rFonts w:ascii="Times New Roman" w:hAnsi="Times New Roman" w:cs="Times New Roman"/>
          <w:sz w:val="24"/>
          <w:szCs w:val="24"/>
        </w:rPr>
        <w:t>02</w:t>
      </w:r>
      <w:r w:rsidR="00F64C1A" w:rsidRPr="00EF2C16">
        <w:rPr>
          <w:rFonts w:ascii="Times New Roman" w:hAnsi="Times New Roman" w:cs="Times New Roman"/>
          <w:sz w:val="24"/>
          <w:szCs w:val="24"/>
        </w:rPr>
        <w:t>; P = 0.005)</w:t>
      </w:r>
      <w:r w:rsidR="00226FCA" w:rsidRPr="00EF2C16">
        <w:rPr>
          <w:rFonts w:ascii="Times New Roman" w:hAnsi="Times New Roman" w:cs="Times New Roman"/>
          <w:sz w:val="24"/>
          <w:szCs w:val="24"/>
        </w:rPr>
        <w:t xml:space="preserve"> </w:t>
      </w:r>
      <w:r w:rsidR="00F64C1A" w:rsidRPr="00EF2C16">
        <w:rPr>
          <w:rFonts w:ascii="Times New Roman" w:hAnsi="Times New Roman" w:cs="Times New Roman"/>
          <w:sz w:val="24"/>
          <w:szCs w:val="24"/>
        </w:rPr>
        <w:t xml:space="preserve">and a 9.2 percentage-point </w:t>
      </w:r>
      <w:r w:rsidR="007C7358" w:rsidRPr="00EF2C16">
        <w:rPr>
          <w:rFonts w:ascii="Times New Roman" w:hAnsi="Times New Roman" w:cs="Times New Roman"/>
          <w:sz w:val="24"/>
          <w:szCs w:val="24"/>
        </w:rPr>
        <w:t xml:space="preserve">decrease </w:t>
      </w:r>
      <w:r w:rsidR="00F64C1A" w:rsidRPr="00EF2C16">
        <w:rPr>
          <w:rFonts w:ascii="Times New Roman" w:hAnsi="Times New Roman" w:cs="Times New Roman"/>
          <w:sz w:val="24"/>
          <w:szCs w:val="24"/>
        </w:rPr>
        <w:t xml:space="preserve">in reporting </w:t>
      </w:r>
      <w:r w:rsidR="007C7358" w:rsidRPr="00EF2C16">
        <w:rPr>
          <w:rFonts w:ascii="Times New Roman" w:hAnsi="Times New Roman" w:cs="Times New Roman"/>
          <w:sz w:val="24"/>
          <w:szCs w:val="24"/>
        </w:rPr>
        <w:t xml:space="preserve">any </w:t>
      </w:r>
      <w:r w:rsidR="00BC3CBD" w:rsidRPr="00EF2C16">
        <w:rPr>
          <w:rFonts w:ascii="Times New Roman" w:hAnsi="Times New Roman" w:cs="Times New Roman"/>
          <w:sz w:val="24"/>
          <w:szCs w:val="24"/>
        </w:rPr>
        <w:t>medical financial burden</w:t>
      </w:r>
      <w:r w:rsidR="00F64C1A" w:rsidRPr="00EF2C16">
        <w:rPr>
          <w:rFonts w:ascii="Times New Roman" w:hAnsi="Times New Roman" w:cs="Times New Roman"/>
          <w:sz w:val="24"/>
          <w:szCs w:val="24"/>
        </w:rPr>
        <w:t xml:space="preserve"> (95% CI, </w:t>
      </w:r>
      <w:r w:rsidR="007C7358" w:rsidRPr="00EF2C16">
        <w:rPr>
          <w:rFonts w:ascii="Times New Roman" w:hAnsi="Times New Roman" w:cs="Times New Roman"/>
          <w:sz w:val="24"/>
          <w:szCs w:val="24"/>
        </w:rPr>
        <w:t>-</w:t>
      </w:r>
      <w:r w:rsidR="00F64C1A" w:rsidRPr="00EF2C16">
        <w:rPr>
          <w:rFonts w:ascii="Times New Roman" w:hAnsi="Times New Roman" w:cs="Times New Roman"/>
          <w:sz w:val="24"/>
          <w:szCs w:val="24"/>
        </w:rPr>
        <w:t>0.</w:t>
      </w:r>
      <w:r w:rsidR="007C7358" w:rsidRPr="00EF2C16">
        <w:rPr>
          <w:rFonts w:ascii="Times New Roman" w:hAnsi="Times New Roman" w:cs="Times New Roman"/>
          <w:sz w:val="24"/>
          <w:szCs w:val="24"/>
        </w:rPr>
        <w:t>161</w:t>
      </w:r>
      <w:r w:rsidR="00F64C1A" w:rsidRPr="00EF2C16">
        <w:rPr>
          <w:rFonts w:ascii="Times New Roman" w:hAnsi="Times New Roman" w:cs="Times New Roman"/>
          <w:sz w:val="24"/>
          <w:szCs w:val="24"/>
        </w:rPr>
        <w:t xml:space="preserve"> to </w:t>
      </w:r>
      <w:r w:rsidR="007C7358" w:rsidRPr="00EF2C16">
        <w:rPr>
          <w:rFonts w:ascii="Times New Roman" w:hAnsi="Times New Roman" w:cs="Times New Roman"/>
          <w:sz w:val="24"/>
          <w:szCs w:val="24"/>
        </w:rPr>
        <w:t>-</w:t>
      </w:r>
      <w:r w:rsidR="00F64C1A" w:rsidRPr="00EF2C16">
        <w:rPr>
          <w:rFonts w:ascii="Times New Roman" w:hAnsi="Times New Roman" w:cs="Times New Roman"/>
          <w:sz w:val="24"/>
          <w:szCs w:val="24"/>
        </w:rPr>
        <w:t>0.</w:t>
      </w:r>
      <w:r w:rsidR="007C7358" w:rsidRPr="00EF2C16">
        <w:rPr>
          <w:rFonts w:ascii="Times New Roman" w:hAnsi="Times New Roman" w:cs="Times New Roman"/>
          <w:sz w:val="24"/>
          <w:szCs w:val="24"/>
        </w:rPr>
        <w:t>023</w:t>
      </w:r>
      <w:r w:rsidR="00F64C1A" w:rsidRPr="00EF2C16">
        <w:rPr>
          <w:rFonts w:ascii="Times New Roman" w:hAnsi="Times New Roman" w:cs="Times New Roman"/>
          <w:sz w:val="24"/>
          <w:szCs w:val="24"/>
        </w:rPr>
        <w:t xml:space="preserve">; P = 0.009) among MA beneficiaries with ADRD. </w:t>
      </w:r>
      <w:r w:rsidR="0066731C" w:rsidRPr="00EF2C16">
        <w:rPr>
          <w:rFonts w:ascii="Times New Roman" w:hAnsi="Times New Roman" w:cs="Times New Roman"/>
          <w:sz w:val="24"/>
          <w:szCs w:val="24"/>
        </w:rPr>
        <w:t xml:space="preserve">The association with satisfaction regarding access to specialists </w:t>
      </w:r>
      <w:r w:rsidR="00D03578" w:rsidRPr="00EF2C16">
        <w:rPr>
          <w:rFonts w:ascii="Times New Roman" w:hAnsi="Times New Roman" w:cs="Times New Roman"/>
          <w:sz w:val="24"/>
          <w:szCs w:val="24"/>
        </w:rPr>
        <w:t>was</w:t>
      </w:r>
      <w:r w:rsidR="0066731C" w:rsidRPr="00EF2C16">
        <w:rPr>
          <w:rFonts w:ascii="Times New Roman" w:hAnsi="Times New Roman" w:cs="Times New Roman"/>
          <w:sz w:val="24"/>
          <w:szCs w:val="24"/>
        </w:rPr>
        <w:t xml:space="preserve"> marginally significant (</w:t>
      </w:r>
      <w:r w:rsidR="00EB7DFD" w:rsidRPr="00EF2C16">
        <w:rPr>
          <w:rFonts w:ascii="Times New Roman" w:hAnsi="Times New Roman" w:cs="Times New Roman"/>
          <w:sz w:val="24"/>
          <w:szCs w:val="24"/>
        </w:rPr>
        <w:t xml:space="preserve">coefficient, 0.04; </w:t>
      </w:r>
      <w:r w:rsidR="0066731C" w:rsidRPr="00EF2C16">
        <w:rPr>
          <w:rFonts w:ascii="Times New Roman" w:hAnsi="Times New Roman" w:cs="Times New Roman"/>
          <w:sz w:val="24"/>
          <w:szCs w:val="24"/>
        </w:rPr>
        <w:t>95% CI, -0.005 to 0.084; P = 0.08</w:t>
      </w:r>
      <w:r w:rsidR="000D0873" w:rsidRPr="00EF2C16">
        <w:rPr>
          <w:rFonts w:ascii="Times New Roman" w:hAnsi="Times New Roman" w:cs="Times New Roman"/>
          <w:sz w:val="24"/>
          <w:szCs w:val="24"/>
        </w:rPr>
        <w:t>3</w:t>
      </w:r>
      <w:r w:rsidR="0066731C" w:rsidRPr="00EF2C16">
        <w:rPr>
          <w:rFonts w:ascii="Times New Roman" w:hAnsi="Times New Roman" w:cs="Times New Roman"/>
          <w:sz w:val="24"/>
          <w:szCs w:val="24"/>
        </w:rPr>
        <w:t>)</w:t>
      </w:r>
      <w:r w:rsidR="00DD5523" w:rsidRPr="00EF2C16">
        <w:rPr>
          <w:rFonts w:ascii="Times New Roman" w:hAnsi="Times New Roman" w:cs="Times New Roman"/>
          <w:sz w:val="24"/>
          <w:szCs w:val="24"/>
        </w:rPr>
        <w:t>,</w:t>
      </w:r>
      <w:r w:rsidR="002A4F12" w:rsidRPr="00EF2C16">
        <w:rPr>
          <w:rFonts w:ascii="Times New Roman" w:hAnsi="Times New Roman" w:cs="Times New Roman"/>
          <w:sz w:val="24"/>
          <w:szCs w:val="24"/>
        </w:rPr>
        <w:t xml:space="preserve"> </w:t>
      </w:r>
      <w:r w:rsidR="00DD5523" w:rsidRPr="00EF2C16">
        <w:rPr>
          <w:rFonts w:ascii="Times New Roman" w:hAnsi="Times New Roman" w:cs="Times New Roman" w:hint="eastAsia"/>
          <w:sz w:val="24"/>
          <w:szCs w:val="24"/>
        </w:rPr>
        <w:t>while</w:t>
      </w:r>
      <w:r w:rsidR="002A4F12" w:rsidRPr="00EF2C16">
        <w:rPr>
          <w:rFonts w:ascii="Times New Roman" w:hAnsi="Times New Roman" w:cs="Times New Roman"/>
          <w:sz w:val="24"/>
          <w:szCs w:val="24"/>
        </w:rPr>
        <w:t xml:space="preserve"> n</w:t>
      </w:r>
      <w:r w:rsidR="0066731C" w:rsidRPr="00EF2C16">
        <w:rPr>
          <w:rFonts w:ascii="Times New Roman" w:hAnsi="Times New Roman" w:cs="Times New Roman"/>
          <w:sz w:val="24"/>
          <w:szCs w:val="24"/>
        </w:rPr>
        <w:t xml:space="preserve">o significant association </w:t>
      </w:r>
      <w:r w:rsidR="00D03578" w:rsidRPr="00EF2C16">
        <w:rPr>
          <w:rFonts w:ascii="Times New Roman" w:hAnsi="Times New Roman" w:cs="Times New Roman"/>
          <w:sz w:val="24"/>
          <w:szCs w:val="24"/>
        </w:rPr>
        <w:t>was</w:t>
      </w:r>
      <w:r w:rsidR="0066731C" w:rsidRPr="00EF2C16">
        <w:rPr>
          <w:rFonts w:ascii="Times New Roman" w:hAnsi="Times New Roman" w:cs="Times New Roman"/>
          <w:sz w:val="24"/>
          <w:szCs w:val="24"/>
        </w:rPr>
        <w:t xml:space="preserve"> observed for satisfaction with overall quality of care (</w:t>
      </w:r>
      <w:r w:rsidR="00EB7DFD" w:rsidRPr="00EF2C16">
        <w:rPr>
          <w:rFonts w:ascii="Times New Roman" w:hAnsi="Times New Roman" w:cs="Times New Roman"/>
          <w:sz w:val="24"/>
          <w:szCs w:val="24"/>
        </w:rPr>
        <w:t>coefficient, -0.014</w:t>
      </w:r>
      <w:r w:rsidR="0066731C" w:rsidRPr="00EF2C16">
        <w:rPr>
          <w:rFonts w:ascii="Times New Roman" w:hAnsi="Times New Roman" w:cs="Times New Roman"/>
          <w:sz w:val="24"/>
          <w:szCs w:val="24"/>
        </w:rPr>
        <w:t>; 95% CI, -</w:t>
      </w:r>
      <w:r w:rsidR="007C7358" w:rsidRPr="00EF2C16">
        <w:rPr>
          <w:rFonts w:ascii="Times New Roman" w:hAnsi="Times New Roman" w:cs="Times New Roman"/>
          <w:sz w:val="24"/>
          <w:szCs w:val="24"/>
        </w:rPr>
        <w:t>0.0</w:t>
      </w:r>
      <w:r w:rsidR="0066731C" w:rsidRPr="00EF2C16">
        <w:rPr>
          <w:rFonts w:ascii="Times New Roman" w:hAnsi="Times New Roman" w:cs="Times New Roman"/>
          <w:sz w:val="24"/>
          <w:szCs w:val="24"/>
        </w:rPr>
        <w:t xml:space="preserve">56 to </w:t>
      </w:r>
      <w:r w:rsidR="007C7358" w:rsidRPr="00EF2C16">
        <w:rPr>
          <w:rFonts w:ascii="Times New Roman" w:hAnsi="Times New Roman" w:cs="Times New Roman"/>
          <w:sz w:val="24"/>
          <w:szCs w:val="24"/>
        </w:rPr>
        <w:t>0.0</w:t>
      </w:r>
      <w:r w:rsidR="0066731C" w:rsidRPr="00EF2C16">
        <w:rPr>
          <w:rFonts w:ascii="Times New Roman" w:hAnsi="Times New Roman" w:cs="Times New Roman"/>
          <w:sz w:val="24"/>
          <w:szCs w:val="24"/>
        </w:rPr>
        <w:t>29; P = 0.53</w:t>
      </w:r>
      <w:r w:rsidR="00F62FA9" w:rsidRPr="00EF2C16">
        <w:rPr>
          <w:rFonts w:ascii="Times New Roman" w:hAnsi="Times New Roman" w:cs="Times New Roman"/>
          <w:sz w:val="24"/>
          <w:szCs w:val="24"/>
        </w:rPr>
        <w:t>0</w:t>
      </w:r>
      <w:r w:rsidR="0066731C" w:rsidRPr="00EF2C16">
        <w:rPr>
          <w:rFonts w:ascii="Times New Roman" w:hAnsi="Times New Roman" w:cs="Times New Roman"/>
          <w:sz w:val="24"/>
          <w:szCs w:val="24"/>
        </w:rPr>
        <w:t>)</w:t>
      </w:r>
      <w:r w:rsidR="00050959" w:rsidRPr="00EF2C16">
        <w:rPr>
          <w:rFonts w:ascii="Times New Roman" w:hAnsi="Times New Roman" w:cs="Times New Roman"/>
          <w:sz w:val="24"/>
          <w:szCs w:val="24"/>
        </w:rPr>
        <w:t xml:space="preserve"> among MA beneficiaries with ADRD.</w:t>
      </w:r>
    </w:p>
    <w:p w14:paraId="6C523C99" w14:textId="77777777" w:rsidR="00EF2C16" w:rsidRPr="00EF2C16" w:rsidRDefault="00EF2C16" w:rsidP="00EF2C16">
      <w:pPr>
        <w:spacing w:after="0" w:line="240" w:lineRule="auto"/>
        <w:jc w:val="both"/>
        <w:rPr>
          <w:rFonts w:ascii="Times New Roman" w:hAnsi="Times New Roman" w:cs="Times New Roman"/>
          <w:sz w:val="24"/>
          <w:szCs w:val="24"/>
        </w:rPr>
      </w:pPr>
    </w:p>
    <w:p w14:paraId="0999C63B" w14:textId="2555B698" w:rsidR="00C4614C" w:rsidRPr="00EF2C16" w:rsidRDefault="0023143C" w:rsidP="00EF2C16">
      <w:pPr>
        <w:spacing w:after="0" w:line="240" w:lineRule="auto"/>
        <w:jc w:val="both"/>
        <w:rPr>
          <w:rFonts w:ascii="Times New Roman" w:hAnsi="Times New Roman" w:cs="Times New Roman"/>
          <w:sz w:val="24"/>
          <w:szCs w:val="24"/>
        </w:rPr>
      </w:pPr>
      <w:r w:rsidRPr="00EF2C16">
        <w:rPr>
          <w:rFonts w:ascii="Times New Roman" w:hAnsi="Times New Roman" w:cs="Times New Roman"/>
          <w:b/>
          <w:bCs/>
          <w:sz w:val="24"/>
          <w:szCs w:val="24"/>
        </w:rPr>
        <w:t>Conclusions and Relevance</w:t>
      </w:r>
      <w:r w:rsidRPr="00EF2C16">
        <w:rPr>
          <w:rFonts w:ascii="Times New Roman" w:hAnsi="Times New Roman" w:cs="Times New Roman"/>
          <w:sz w:val="24"/>
          <w:szCs w:val="24"/>
        </w:rPr>
        <w:t xml:space="preserve">: </w:t>
      </w:r>
      <w:r w:rsidR="00E933A4" w:rsidRPr="00EF2C16">
        <w:rPr>
          <w:rFonts w:ascii="Times New Roman" w:hAnsi="Times New Roman" w:cs="Times New Roman"/>
          <w:sz w:val="24"/>
          <w:szCs w:val="24"/>
        </w:rPr>
        <w:t>Reintroducing ADRD HCCs into the MA risk adjustment model is associated with improved access to care and reduced financial burden among beneficiaries with ADRD. These findings suggest that refining risk adjustment to better capture the costs of chronic and complex conditions can help align MA plan incentives with the needs of vulnerable populations. Beyond ADRD, this work highlights the potential value of more nuanced risk adjustment approaches for improving care equity and outcomes for individuals with high-cost, high-need conditions.</w:t>
      </w:r>
      <w:r w:rsidR="00E933A4" w:rsidRPr="00EF2C16" w:rsidDel="00E933A4">
        <w:rPr>
          <w:rFonts w:ascii="Times New Roman" w:hAnsi="Times New Roman" w:cs="Times New Roman"/>
          <w:sz w:val="24"/>
          <w:szCs w:val="24"/>
        </w:rPr>
        <w:t xml:space="preserve"> </w:t>
      </w:r>
    </w:p>
    <w:p w14:paraId="6E2BFFCF" w14:textId="6B5671CA" w:rsidR="00BD3631" w:rsidRPr="00EF2C16" w:rsidRDefault="00BD3631" w:rsidP="00EF2C16">
      <w:pPr>
        <w:spacing w:after="0" w:line="240" w:lineRule="auto"/>
        <w:rPr>
          <w:rFonts w:ascii="Times New Roman" w:hAnsi="Times New Roman" w:cs="Times New Roman"/>
          <w:sz w:val="24"/>
          <w:szCs w:val="24"/>
        </w:rPr>
      </w:pPr>
    </w:p>
    <w:p w14:paraId="75343406" w14:textId="29019991" w:rsidR="0023143C" w:rsidRPr="00EF2C16" w:rsidRDefault="0023143C" w:rsidP="00EF2C16">
      <w:pPr>
        <w:spacing w:after="0" w:line="240" w:lineRule="auto"/>
        <w:rPr>
          <w:rFonts w:ascii="Times New Roman" w:hAnsi="Times New Roman" w:cs="Times New Roman"/>
          <w:sz w:val="24"/>
          <w:szCs w:val="24"/>
        </w:rPr>
      </w:pPr>
    </w:p>
    <w:p w14:paraId="4F9E7593" w14:textId="77777777" w:rsidR="00E22D57" w:rsidRPr="00EF2C16" w:rsidRDefault="00E22D57" w:rsidP="00EF2C16">
      <w:pPr>
        <w:spacing w:after="0" w:line="240" w:lineRule="auto"/>
        <w:rPr>
          <w:rFonts w:ascii="Times New Roman" w:hAnsi="Times New Roman" w:cs="Times New Roman"/>
          <w:sz w:val="24"/>
          <w:szCs w:val="24"/>
        </w:rPr>
      </w:pPr>
    </w:p>
    <w:p w14:paraId="4ECDBDCF" w14:textId="77777777" w:rsidR="008E2715" w:rsidRPr="00EF2C16" w:rsidRDefault="008E2715" w:rsidP="00EF2C16">
      <w:pPr>
        <w:spacing w:after="0" w:line="240" w:lineRule="auto"/>
        <w:rPr>
          <w:rFonts w:ascii="Times New Roman" w:hAnsi="Times New Roman" w:cs="Times New Roman"/>
          <w:sz w:val="24"/>
          <w:szCs w:val="24"/>
        </w:rPr>
        <w:sectPr w:rsidR="008E2715" w:rsidRPr="00EF2C16">
          <w:pgSz w:w="12240" w:h="15840"/>
          <w:pgMar w:top="1440" w:right="1440" w:bottom="1440" w:left="1440" w:header="720" w:footer="720" w:gutter="0"/>
          <w:cols w:space="720"/>
          <w:docGrid w:linePitch="360"/>
        </w:sectPr>
      </w:pPr>
    </w:p>
    <w:p w14:paraId="234C199B" w14:textId="77777777" w:rsidR="00E22D57" w:rsidRPr="00A11B6C" w:rsidRDefault="00E22D57" w:rsidP="00A11B6C">
      <w:pPr>
        <w:pStyle w:val="Heading2"/>
        <w:spacing w:before="0" w:after="0" w:line="480" w:lineRule="auto"/>
        <w:rPr>
          <w:rFonts w:cs="Times New Roman"/>
          <w:b/>
          <w:bCs/>
          <w:color w:val="000000" w:themeColor="text1"/>
          <w:sz w:val="24"/>
          <w:szCs w:val="24"/>
        </w:rPr>
      </w:pPr>
      <w:r w:rsidRPr="00A11B6C">
        <w:rPr>
          <w:rFonts w:cs="Times New Roman"/>
          <w:b/>
          <w:bCs/>
          <w:color w:val="000000" w:themeColor="text1"/>
          <w:sz w:val="24"/>
          <w:szCs w:val="24"/>
        </w:rPr>
        <w:lastRenderedPageBreak/>
        <w:t>Introduction</w:t>
      </w:r>
    </w:p>
    <w:p w14:paraId="226B2104" w14:textId="77777777" w:rsidR="00A11B6C" w:rsidRDefault="000374E4" w:rsidP="00A11B6C">
      <w:pPr>
        <w:spacing w:after="0" w:line="480" w:lineRule="auto"/>
        <w:jc w:val="both"/>
        <w:rPr>
          <w:rFonts w:ascii="Times New Roman" w:hAnsi="Times New Roman" w:cs="Times New Roman"/>
          <w:sz w:val="24"/>
          <w:szCs w:val="24"/>
        </w:rPr>
      </w:pPr>
      <w:bookmarkStart w:id="2" w:name="_Hlk206950084"/>
      <w:r w:rsidRPr="00A11B6C">
        <w:rPr>
          <w:rFonts w:ascii="Times New Roman" w:hAnsi="Times New Roman" w:cs="Times New Roman"/>
          <w:sz w:val="24"/>
          <w:szCs w:val="24"/>
        </w:rPr>
        <w:t xml:space="preserve">Alzheimer’s Disease </w:t>
      </w:r>
      <w:r w:rsidR="00BD1F54" w:rsidRPr="00A11B6C">
        <w:rPr>
          <w:rFonts w:ascii="Times New Roman" w:hAnsi="Times New Roman" w:cs="Times New Roman"/>
          <w:sz w:val="24"/>
          <w:szCs w:val="24"/>
        </w:rPr>
        <w:t>and</w:t>
      </w:r>
      <w:r w:rsidRPr="00A11B6C">
        <w:rPr>
          <w:rFonts w:ascii="Times New Roman" w:hAnsi="Times New Roman" w:cs="Times New Roman"/>
          <w:sz w:val="24"/>
          <w:szCs w:val="24"/>
        </w:rPr>
        <w:t xml:space="preserve"> Related Dementias (ADRD) are among the leading causes of disability and dependence among older adults, affecting approximately 6.9 million individuals</w:t>
      </w:r>
      <w:r w:rsidR="00AB42A2" w:rsidRPr="00A11B6C">
        <w:rPr>
          <w:rFonts w:ascii="Times New Roman" w:hAnsi="Times New Roman" w:cs="Times New Roman"/>
          <w:sz w:val="24"/>
          <w:szCs w:val="24"/>
        </w:rPr>
        <w:t xml:space="preserve"> in the United States</w:t>
      </w:r>
      <w:r w:rsidRPr="00A11B6C">
        <w:rPr>
          <w:rFonts w:ascii="Times New Roman" w:hAnsi="Times New Roman" w:cs="Times New Roman"/>
          <w:sz w:val="24"/>
          <w:szCs w:val="24"/>
        </w:rPr>
        <w:t>, placing a substantial burden on patients, caregivers, and healthcare system, with annual costs exceeding $300 billion in 2024.</w:t>
      </w:r>
      <w:r w:rsidR="00A44DD5" w:rsidRPr="00A11B6C">
        <w:rPr>
          <w:rFonts w:ascii="Times New Roman" w:hAnsi="Times New Roman" w:cs="Times New Roman"/>
          <w:sz w:val="24"/>
          <w:szCs w:val="24"/>
        </w:rPr>
        <w:fldChar w:fldCharType="begin"/>
      </w:r>
      <w:r w:rsidR="00A44DD5" w:rsidRPr="00A11B6C">
        <w:rPr>
          <w:rFonts w:ascii="Times New Roman" w:hAnsi="Times New Roman" w:cs="Times New Roman"/>
          <w:sz w:val="24"/>
          <w:szCs w:val="24"/>
        </w:rPr>
        <w:instrText xml:space="preserve"> ADDIN ZOTERO_ITEM CSL_CITATION {"citationID":"5Qs6NTk1","properties":{"formattedCitation":"\\super 1\\nosupersub{}","plainCitation":"1","noteIndex":0},"citationItems":[{"id":527,"uris":["http://zotero.org/users/local/Dew19TPH/items/3AMR9MNM"],"itemData":{"id":527,"type":"article-journal","abstract":"Abstract\n            This article describes the public health impact of Alzheimer's disease (AD), including prevalence and incidence, mortality and morbidity, use and costs of care and the ramifications of AD for family caregivers, the dementia workforce and society. The Special Report discusses the larger health care system for older adults with cognitive issues, focusing on the role of caregivers and non‐physician health care professionals. An estimated 6.9 million Americans age 65 and older are living with Alzheimer's dementia today. This number could grow to 13.8 million by 2060, barring the development of medical breakthroughs to prevent or cure AD. Official AD death certificates recorded 119,399 deaths from AD in 2021. In 2020 and 2021, when COVID‐19 entered the ranks of the top ten causes of death, Alzheimer's was the seventh‐leading cause of death in the United States. Official counts for more recent years are still being compiled. Alzheimer's remains the fifth‐leading cause of death among Americans age 65 and older. Between 2000 and 2021, deaths from stroke, heart disease and HIV decreased, whereas reported deaths from AD increased more than 140%. More than 11 million family members and other unpaid caregivers provided an estimated 18.4 billion hours of care to people with Alzheimer's or other dementias in 2023. These figures reflect a decline in the number of caregivers compared with a decade earlier, as well as an increase in the amount of care provided by each remaining caregiver. Unpaid dementia caregiving was valued at $346.6 billion in 2023. Its costs, however, extend to unpaid caregivers’ increased risk for emotional distress and negative mental and physical health outcomes. Members of the paid health care and broader community‐based workforce are involved in diagnosing, treating and caring for people with dementia. However, the United States faces growing shortages across different segments of the dementia care workforce due to a combination of factors, including the absolute increase in the number of people living with dementia. Therefore, targeted programs and care delivery models will be needed to attract, better train and effectively deploy health care and community‐based workers to provide dementia care. Average per‐person Medicare payments for services to beneficiaries age 65 and older with AD or other dementias are almost three times as great as payments for beneficiaries without these conditions, and Medicaid payments are more than 22 times as great. Total payments in 2024 for health care, long‐term care and hospice services for people age 65 and older with dementia are estimated to be $360 billion. The Special Report investigates how caregivers of older adults with cognitive issues interact with the health care system and examines the role non‐physician health care professionals play in facilitating clinical care and access to community‐based services and supports. It includes surveys of caregivers and health care workers, focusing on their experiences, challenges, awareness and perceptions of dementia care navigation.","container-title":"Alzheimer's &amp; Dementia","DOI":"10.1002/alz.13809","ISSN":"1552-5260, 1552-5279","issue":"5","journalAbbreviation":"Alzheimer's &amp; Dementia","language":"en","page":"3708-3821","source":"DOI.org (Crossref)","title":"2024 Alzheimer's disease facts and figures","volume":"20","issued":{"date-parts":[["2024",5]]}}}],"schema":"https://github.com/citation-style-language/schema/raw/master/csl-citation.json"} </w:instrText>
      </w:r>
      <w:r w:rsidR="00A44DD5" w:rsidRPr="00A11B6C">
        <w:rPr>
          <w:rFonts w:ascii="Times New Roman" w:hAnsi="Times New Roman" w:cs="Times New Roman"/>
          <w:sz w:val="24"/>
          <w:szCs w:val="24"/>
        </w:rPr>
        <w:fldChar w:fldCharType="separate"/>
      </w:r>
      <w:r w:rsidR="00A44DD5" w:rsidRPr="00A11B6C">
        <w:rPr>
          <w:rFonts w:ascii="Times New Roman" w:hAnsi="Times New Roman" w:cs="Times New Roman"/>
          <w:kern w:val="0"/>
          <w:sz w:val="24"/>
          <w:szCs w:val="24"/>
          <w:vertAlign w:val="superscript"/>
        </w:rPr>
        <w:t>1</w:t>
      </w:r>
      <w:r w:rsidR="00A44DD5"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w:t>
      </w:r>
      <w:r w:rsidR="00631CB8" w:rsidRPr="00A11B6C">
        <w:rPr>
          <w:rFonts w:ascii="Times New Roman" w:hAnsi="Times New Roman" w:cs="Times New Roman"/>
          <w:sz w:val="24"/>
          <w:szCs w:val="24"/>
        </w:rPr>
        <w:t>Medicare Advantage (MA) plans, which now enroll over half of all Medicare beneficiaries,</w:t>
      </w:r>
      <w:r w:rsidR="00631CB8" w:rsidRPr="00A11B6C">
        <w:rPr>
          <w:rFonts w:ascii="Times New Roman" w:hAnsi="Times New Roman" w:cs="Times New Roman"/>
          <w:sz w:val="24"/>
          <w:szCs w:val="24"/>
        </w:rPr>
        <w:fldChar w:fldCharType="begin"/>
      </w:r>
      <w:r w:rsidR="00631CB8" w:rsidRPr="00A11B6C">
        <w:rPr>
          <w:rFonts w:ascii="Times New Roman" w:hAnsi="Times New Roman" w:cs="Times New Roman"/>
          <w:sz w:val="24"/>
          <w:szCs w:val="24"/>
        </w:rPr>
        <w:instrText xml:space="preserve"> ADDIN ZOTERO_ITEM CSL_CITATION {"citationID":"IwSkTfFd","properties":{"formattedCitation":"\\super 2\\nosupersub{}","plainCitation":"2","noteIndex":0},"citationItems":[{"id":414,"uris":["http://zotero.org/users/local/Dew19TPH/items/7TDG2QAP"],"itemData":{"id":414,"type":"article-journal","abstract":"OBJECTIVE To evaluate patterns in Medicare Advantage enrollment and disenrollment among beneficiaries with or without ADRD. DESIGN, SETTING, AND PARTICIPANTS This cross-sectional study used 6 national data sources between January 1, 2011, and December 31, 2018. Analyses were performed between June 2021 and August 2022. The cohort comprised US Medicare beneficiaries with acute or postacute care utilization between 2013 and 2018. EXPOSURE ADRD diagnosis from an acute or postacute care encounter Medicare data source. MAIN OUTCOMES AND MEASURES Enrollment in Medicare Advantage, disenrollment from Medicare Advantage to traditional Medicare, and contract exit (leaving a Medicare Advantage contract for traditional Medicare or a different Medicare Advantage contract).\nRESULTS The 32 796 872 Medicare beneficiaries in the cohort had a mean (SD) age of 74.0 (12.5) years and included 18 228 513 females (55.6%). Enrollment in Medicare Advantage among beneficiaries with ADRD increased from 24.7% (95% CI, 24.7%-24.8%) in 2013 to 33.0% (95% CI, 32.9%-33.1%) in 2018, an absolute increase of 8.3 percentage points and a 33.4% relative increase after adjusting for demographic characteristics, comorbid conditions, and utilization and including county fixed effects. Among beneficiaries without ADRD, enrollment in Medicare Advantage increased by 8.2 percentage points from 27.6% (95% CI, 27.6%-27.6%) in 2013 to 35.8% (95% CI, 35.8%-35.8%) in 2018, a 29.7% relative increase over the study period. Beneficiaries with ADRD were 1.4 times as likely to disenroll from their Medicare Advantage contract to traditional Medicare (4.4% vs 3.2% in 2017-2018; P &lt; .001) in adjusted analyses. Regardless of ADRD status, beneficiaries had similar rates of switching to a new Medicare Advantage contract. Differences in contract exit rates were associated with higher rates of disenrollment from Medicare Advantage to traditional Medicare among beneficiaries with ADRD vs those without ADRD (16.3% [95% CI, 16.2%-16.3%] vs 15.1% [95% CI, 15.1%-15.1%]). Beneficiaries with ADRD and dual eligibility for Medicaid enrollment had higher rates of contract exit than those without dual eligibility (19.7% [95% CI, 19.6%-19.7%] vs 14.9% [95% CI, 14.8%-14.9%]), and these differences were even greater than those among beneficiaries without ADRD and with and without dual-eligibility status, respectively (18.3% [95% CI, 18.2%-18.3%] vs 13.8% [95% CI, 13.7%-13.8%]).\nCONCLUSIONS AND RELEVANCE In this cross-sectional study of the Medicare population with acute and postacute care use, beneficiaries with ADRD had increasing enrollment in the Medicare","container-title":"JAMA Health Forum","DOI":"10.1001/jamahealthforum.2023.3080","ISSN":"2689-0186","issue":"9","journalAbbreviation":"JAMA Health Forum","language":"en","page":"e233080","source":"DOI.org (Crossref)","title":"Medicare Advantage Enrollment and Disenrollment Among Persons With Alzheimer Disease and Related Dementias","volume":"4","author":[{"family":"James","given":"Hannah O."},{"family":"Trivedi","given":"Amal N."},{"family":"Meyers","given":"David J."}],"issued":{"date-parts":[["2023",9,15]]}}}],"schema":"https://github.com/citation-style-language/schema/raw/master/csl-citation.json"} </w:instrText>
      </w:r>
      <w:r w:rsidR="00631CB8" w:rsidRPr="00A11B6C">
        <w:rPr>
          <w:rFonts w:ascii="Times New Roman" w:hAnsi="Times New Roman" w:cs="Times New Roman"/>
          <w:sz w:val="24"/>
          <w:szCs w:val="24"/>
        </w:rPr>
        <w:fldChar w:fldCharType="separate"/>
      </w:r>
      <w:r w:rsidR="00631CB8" w:rsidRPr="00A11B6C">
        <w:rPr>
          <w:rFonts w:ascii="Times New Roman" w:hAnsi="Times New Roman" w:cs="Times New Roman"/>
          <w:kern w:val="0"/>
          <w:sz w:val="24"/>
          <w:szCs w:val="24"/>
          <w:vertAlign w:val="superscript"/>
        </w:rPr>
        <w:t>2</w:t>
      </w:r>
      <w:r w:rsidR="00631CB8" w:rsidRPr="00A11B6C">
        <w:rPr>
          <w:rFonts w:ascii="Times New Roman" w:hAnsi="Times New Roman" w:cs="Times New Roman"/>
          <w:sz w:val="24"/>
          <w:szCs w:val="24"/>
        </w:rPr>
        <w:fldChar w:fldCharType="end"/>
      </w:r>
      <w:r w:rsidR="00631CB8" w:rsidRPr="00A11B6C">
        <w:rPr>
          <w:rFonts w:ascii="Times New Roman" w:hAnsi="Times New Roman" w:cs="Times New Roman"/>
          <w:sz w:val="24"/>
          <w:szCs w:val="24"/>
        </w:rPr>
        <w:t xml:space="preserve"> offer a unique approach to address</w:t>
      </w:r>
      <w:r w:rsidR="00647460" w:rsidRPr="00A11B6C">
        <w:rPr>
          <w:rFonts w:ascii="Times New Roman" w:hAnsi="Times New Roman" w:cs="Times New Roman"/>
          <w:sz w:val="24"/>
          <w:szCs w:val="24"/>
        </w:rPr>
        <w:t>ing</w:t>
      </w:r>
      <w:r w:rsidR="00631CB8" w:rsidRPr="00A11B6C">
        <w:rPr>
          <w:rFonts w:ascii="Times New Roman" w:hAnsi="Times New Roman" w:cs="Times New Roman"/>
          <w:sz w:val="24"/>
          <w:szCs w:val="24"/>
        </w:rPr>
        <w:t xml:space="preserve"> the needs of this vulnerable population through enhanced care management programs. </w:t>
      </w:r>
      <w:r w:rsidR="00011D37" w:rsidRPr="00A11B6C">
        <w:rPr>
          <w:rFonts w:ascii="Times New Roman" w:hAnsi="Times New Roman" w:cs="Times New Roman"/>
          <w:sz w:val="24"/>
          <w:szCs w:val="24"/>
        </w:rPr>
        <w:t xml:space="preserve">About </w:t>
      </w:r>
      <w:r w:rsidR="00647460" w:rsidRPr="00A11B6C">
        <w:rPr>
          <w:rFonts w:ascii="Times New Roman" w:hAnsi="Times New Roman" w:cs="Times New Roman"/>
          <w:sz w:val="24"/>
          <w:szCs w:val="24"/>
        </w:rPr>
        <w:t>one-</w:t>
      </w:r>
      <w:r w:rsidR="00011D37" w:rsidRPr="00A11B6C">
        <w:rPr>
          <w:rFonts w:ascii="Times New Roman" w:hAnsi="Times New Roman" w:cs="Times New Roman"/>
          <w:sz w:val="24"/>
          <w:szCs w:val="24"/>
        </w:rPr>
        <w:t>third of Medicare</w:t>
      </w:r>
      <w:r w:rsidR="00BC76D9" w:rsidRPr="00A11B6C">
        <w:rPr>
          <w:rFonts w:ascii="Times New Roman" w:hAnsi="Times New Roman" w:cs="Times New Roman"/>
          <w:sz w:val="24"/>
          <w:szCs w:val="24"/>
        </w:rPr>
        <w:t>-</w:t>
      </w:r>
      <w:r w:rsidR="00011D37" w:rsidRPr="00A11B6C">
        <w:rPr>
          <w:rFonts w:ascii="Times New Roman" w:hAnsi="Times New Roman" w:cs="Times New Roman"/>
          <w:sz w:val="24"/>
          <w:szCs w:val="24"/>
        </w:rPr>
        <w:t>eligible beneficiaries with ADRD in 2018</w:t>
      </w:r>
      <w:r w:rsidR="00A04B9B" w:rsidRPr="00A11B6C">
        <w:rPr>
          <w:rFonts w:ascii="Times New Roman" w:hAnsi="Times New Roman" w:cs="Times New Roman"/>
          <w:sz w:val="24"/>
          <w:szCs w:val="24"/>
        </w:rPr>
        <w:t xml:space="preserve"> e</w:t>
      </w:r>
      <w:r w:rsidR="00011D37" w:rsidRPr="00A11B6C">
        <w:rPr>
          <w:rFonts w:ascii="Times New Roman" w:hAnsi="Times New Roman" w:cs="Times New Roman"/>
          <w:sz w:val="24"/>
          <w:szCs w:val="24"/>
        </w:rPr>
        <w:t>nrolled in a MA plan</w:t>
      </w:r>
      <w:r w:rsidR="00A04B9B" w:rsidRPr="00A11B6C">
        <w:rPr>
          <w:rFonts w:ascii="Times New Roman" w:hAnsi="Times New Roman" w:cs="Times New Roman"/>
          <w:sz w:val="24"/>
          <w:szCs w:val="24"/>
        </w:rPr>
        <w:t>, increasing from 22% in 2013</w:t>
      </w:r>
      <w:r w:rsidR="00B24198" w:rsidRPr="00A11B6C">
        <w:rPr>
          <w:rFonts w:ascii="Times New Roman" w:hAnsi="Times New Roman" w:cs="Times New Roman"/>
          <w:sz w:val="24"/>
          <w:szCs w:val="24"/>
        </w:rPr>
        <w:t>.</w:t>
      </w:r>
      <w:r w:rsidR="00011D37" w:rsidRPr="00A11B6C">
        <w:rPr>
          <w:rFonts w:ascii="Times New Roman" w:hAnsi="Times New Roman" w:cs="Times New Roman"/>
          <w:sz w:val="24"/>
          <w:szCs w:val="24"/>
        </w:rPr>
        <w:fldChar w:fldCharType="begin"/>
      </w:r>
      <w:r w:rsidR="00546BDB" w:rsidRPr="00A11B6C">
        <w:rPr>
          <w:rFonts w:ascii="Times New Roman" w:hAnsi="Times New Roman" w:cs="Times New Roman"/>
          <w:sz w:val="24"/>
          <w:szCs w:val="24"/>
        </w:rPr>
        <w:instrText xml:space="preserve"> ADDIN ZOTERO_ITEM CSL_CITATION {"citationID":"CgdEE2zc","properties":{"formattedCitation":"\\super 2\\nosupersub{}","plainCitation":"2","noteIndex":0},"citationItems":[{"id":414,"uris":["http://zotero.org/users/local/Dew19TPH/items/7TDG2QAP"],"itemData":{"id":414,"type":"article-journal","abstract":"OBJECTIVE To evaluate patterns in Medicare Advantage enrollment and disenrollment among beneficiaries with or without ADRD. DESIGN, SETTING, AND PARTICIPANTS This cross-sectional study used 6 national data sources between January 1, 2011, and December 31, 2018. Analyses were performed between June 2021 and August 2022. The cohort comprised US Medicare beneficiaries with acute or postacute care utilization between 2013 and 2018. EXPOSURE ADRD diagnosis from an acute or postacute care encounter Medicare data source. MAIN OUTCOMES AND MEASURES Enrollment in Medicare Advantage, disenrollment from Medicare Advantage to traditional Medicare, and contract exit (leaving a Medicare Advantage contract for traditional Medicare or a different Medicare Advantage contract).\nRESULTS The 32 796 872 Medicare beneficiaries in the cohort had a mean (SD) age of 74.0 (12.5) years and included 18 228 513 females (55.6%). Enrollment in Medicare Advantage among beneficiaries with ADRD increased from 24.7% (95% CI, 24.7%-24.8%) in 2013 to 33.0% (95% CI, 32.9%-33.1%) in 2018, an absolute increase of 8.3 percentage points and a 33.4% relative increase after adjusting for demographic characteristics, comorbid conditions, and utilization and including county fixed effects. Among beneficiaries without ADRD, enrollment in Medicare Advantage increased by 8.2 percentage points from 27.6% (95% CI, 27.6%-27.6%) in 2013 to 35.8% (95% CI, 35.8%-35.8%) in 2018, a 29.7% relative increase over the study period. Beneficiaries with ADRD were 1.4 times as likely to disenroll from their Medicare Advantage contract to traditional Medicare (4.4% vs 3.2% in 2017-2018; P &lt; .001) in adjusted analyses. Regardless of ADRD status, beneficiaries had similar rates of switching to a new Medicare Advantage contract. Differences in contract exit rates were associated with higher rates of disenrollment from Medicare Advantage to traditional Medicare among beneficiaries with ADRD vs those without ADRD (16.3% [95% CI, 16.2%-16.3%] vs 15.1% [95% CI, 15.1%-15.1%]). Beneficiaries with ADRD and dual eligibility for Medicaid enrollment had higher rates of contract exit than those without dual eligibility (19.7% [95% CI, 19.6%-19.7%] vs 14.9% [95% CI, 14.8%-14.9%]), and these differences were even greater than those among beneficiaries without ADRD and with and without dual-eligibility status, respectively (18.3% [95% CI, 18.2%-18.3%] vs 13.8% [95% CI, 13.7%-13.8%]).\nCONCLUSIONS AND RELEVANCE In this cross-sectional study of the Medicare population with acute and postacute care use, beneficiaries with ADRD had increasing enrollment in the Medicare","container-title":"JAMA Health Forum","DOI":"10.1001/jamahealthforum.2023.3080","ISSN":"2689-0186","issue":"9","journalAbbreviation":"JAMA Health Forum","language":"en","page":"e233080","source":"DOI.org (Crossref)","title":"Medicare Advantage Enrollment and Disenrollment Among Persons With Alzheimer Disease and Related Dementias","volume":"4","author":[{"family":"James","given":"Hannah O."},{"family":"Trivedi","given":"Amal N."},{"family":"Meyers","given":"David J."}],"issued":{"date-parts":[["2023",9,15]]}}}],"schema":"https://github.com/citation-style-language/schema/raw/master/csl-citation.json"} </w:instrText>
      </w:r>
      <w:r w:rsidR="00011D37" w:rsidRPr="00A11B6C">
        <w:rPr>
          <w:rFonts w:ascii="Times New Roman" w:hAnsi="Times New Roman" w:cs="Times New Roman"/>
          <w:sz w:val="24"/>
          <w:szCs w:val="24"/>
        </w:rPr>
        <w:fldChar w:fldCharType="separate"/>
      </w:r>
      <w:r w:rsidR="00546BDB" w:rsidRPr="00A11B6C">
        <w:rPr>
          <w:rFonts w:ascii="Times New Roman" w:hAnsi="Times New Roman" w:cs="Times New Roman"/>
          <w:kern w:val="0"/>
          <w:sz w:val="24"/>
          <w:szCs w:val="24"/>
          <w:vertAlign w:val="superscript"/>
        </w:rPr>
        <w:t>2</w:t>
      </w:r>
      <w:r w:rsidR="00011D37" w:rsidRPr="00A11B6C">
        <w:rPr>
          <w:rFonts w:ascii="Times New Roman" w:hAnsi="Times New Roman" w:cs="Times New Roman"/>
          <w:sz w:val="24"/>
          <w:szCs w:val="24"/>
        </w:rPr>
        <w:fldChar w:fldCharType="end"/>
      </w:r>
      <w:r w:rsidR="00011D37" w:rsidRPr="00A11B6C">
        <w:rPr>
          <w:rFonts w:ascii="Times New Roman" w:hAnsi="Times New Roman" w:cs="Times New Roman"/>
          <w:sz w:val="24"/>
          <w:szCs w:val="24"/>
        </w:rPr>
        <w:t xml:space="preserve"> </w:t>
      </w:r>
      <w:r w:rsidR="00BD33C7" w:rsidRPr="00A11B6C">
        <w:rPr>
          <w:rFonts w:ascii="Times New Roman" w:hAnsi="Times New Roman" w:cs="Times New Roman"/>
          <w:sz w:val="24"/>
          <w:szCs w:val="24"/>
        </w:rPr>
        <w:t xml:space="preserve"> However, MA plans historically faced challenges in providing equitable and high-quality care for </w:t>
      </w:r>
      <w:r w:rsidR="00897FFC" w:rsidRPr="00A11B6C">
        <w:rPr>
          <w:rFonts w:ascii="Times New Roman" w:hAnsi="Times New Roman" w:cs="Times New Roman"/>
          <w:sz w:val="24"/>
          <w:szCs w:val="24"/>
        </w:rPr>
        <w:t>beneficiaries with ADRD</w:t>
      </w:r>
      <w:r w:rsidR="00BD33C7" w:rsidRPr="00A11B6C">
        <w:rPr>
          <w:rFonts w:ascii="Times New Roman" w:hAnsi="Times New Roman" w:cs="Times New Roman"/>
          <w:sz w:val="24"/>
          <w:szCs w:val="24"/>
        </w:rPr>
        <w:t>.</w:t>
      </w:r>
      <w:r w:rsidR="00546BDB" w:rsidRPr="00A11B6C">
        <w:rPr>
          <w:rFonts w:ascii="Times New Roman" w:hAnsi="Times New Roman" w:cs="Times New Roman"/>
          <w:sz w:val="24"/>
          <w:szCs w:val="24"/>
        </w:rPr>
        <w:fldChar w:fldCharType="begin"/>
      </w:r>
      <w:r w:rsidR="00546BDB" w:rsidRPr="00A11B6C">
        <w:rPr>
          <w:rFonts w:ascii="Times New Roman" w:hAnsi="Times New Roman" w:cs="Times New Roman"/>
          <w:sz w:val="24"/>
          <w:szCs w:val="24"/>
        </w:rPr>
        <w:instrText xml:space="preserve"> ADDIN ZOTERO_ITEM CSL_CITATION {"citationID":"Z3ubJYSL","properties":{"formattedCitation":"\\super 2\\uc0\\u8211{}7\\nosupersub{}","plainCitation":"2–7","noteIndex":0},"citationItems":[{"id":414,"uris":["http://zotero.org/users/local/Dew19TPH/items/7TDG2QAP"],"itemData":{"id":414,"type":"article-journal","abstract":"OBJECTIVE To evaluate patterns in Medicare Advantage enrollment and disenrollment among beneficiaries with or without ADRD. DESIGN, SETTING, AND PARTICIPANTS This cross-sectional study used 6 national data sources between January 1, 2011, and December 31, 2018. Analyses were performed between June 2021 and August 2022. The cohort comprised US Medicare beneficiaries with acute or postacute care utilization between 2013 and 2018. EXPOSURE ADRD diagnosis from an acute or postacute care encounter Medicare data source. MAIN OUTCOMES AND MEASURES Enrollment in Medicare Advantage, disenrollment from Medicare Advantage to traditional Medicare, and contract exit (leaving a Medicare Advantage contract for traditional Medicare or a different Medicare Advantage contract).\nRESULTS The 32 796 872 Medicare beneficiaries in the cohort had a mean (SD) age of 74.0 (12.5) years and included 18 228 513 females (55.6%). Enrollment in Medicare Advantage among beneficiaries with ADRD increased from 24.7% (95% CI, 24.7%-24.8%) in 2013 to 33.0% (95% CI, 32.9%-33.1%) in 2018, an absolute increase of 8.3 percentage points and a 33.4% relative increase after adjusting for demographic characteristics, comorbid conditions, and utilization and including county fixed effects. Among beneficiaries without ADRD, enrollment in Medicare Advantage increased by 8.2 percentage points from 27.6% (95% CI, 27.6%-27.6%) in 2013 to 35.8% (95% CI, 35.8%-35.8%) in 2018, a 29.7% relative increase over the study period. Beneficiaries with ADRD were 1.4 times as likely to disenroll from their Medicare Advantage contract to traditional Medicare (4.4% vs 3.2% in 2017-2018; P &lt; .001) in adjusted analyses. Regardless of ADRD status, beneficiaries had similar rates of switching to a new Medicare Advantage contract. Differences in contract exit rates were associated with higher rates of disenrollment from Medicare Advantage to traditional Medicare among beneficiaries with ADRD vs those without ADRD (16.3% [95% CI, 16.2%-16.3%] vs 15.1% [95% CI, 15.1%-15.1%]). Beneficiaries with ADRD and dual eligibility for Medicaid enrollment had higher rates of contract exit than those without dual eligibility (19.7% [95% CI, 19.6%-19.7%] vs 14.9% [95% CI, 14.8%-14.9%]), and these differences were even greater than those among beneficiaries without ADRD and with and without dual-eligibility status, respectively (18.3% [95% CI, 18.2%-18.3%] vs 13.8% [95% CI, 13.7%-13.8%]).\nCONCLUSIONS AND RELEVANCE In this cross-sectional study of the Medicare population with acute and postacute care use, beneficiaries with ADRD had increasing enrollment in the Medicare","container-title":"JAMA Health Forum","DOI":"10.1001/jamahealthforum.2023.3080","ISSN":"2689-0186","issue":"9","journalAbbreviation":"JAMA Health Forum","language":"en","page":"e233080","source":"DOI.org (Crossref)","title":"Medicare Advantage Enrollment and Disenrollment Among Persons With Alzheimer Disease and Related Dementias","volume":"4","author":[{"family":"James","given":"Hannah O."},{"family":"Trivedi","given":"Amal N."},{"family":"Meyers","given":"David J."}],"issued":{"date-parts":[["2023",9,15]]}}},{"id":55,"uris":["http://zotero.org/users/local/Dew19TPH/items/ED6K927L"],"itemData":{"id":55,"type":"article-journal","container-title":"Health Affairs","DOI":"10.1377/hlthaff.2015.0272","ISSN":"0278-2715, 1544-5208","issue":"10","journalAbbreviation":"Health Affairs","language":"en","page":"1675-1681","source":"DOI.org (Crossref)","title":"High-Cost Patients Had Substantial Rates Of Leaving Medicare Advantage And Joining Traditional Medicare","volume":"34","author":[{"family":"Rahman","given":"Momotazur"},{"family":"Keohane","given":"Laura"},{"family":"Trivedi","given":"Amal N."},{"family":"Mor","given":"Vincent"}],"issued":{"date-parts":[["2015",10]]}}},{"id":437,"uris":["http://zotero.org/users/local/Dew19TPH/items/CPLZQMZN"],"itemData":{"id":437,"type":"article-journal","abstract":"Introduction: One-third of Medicare beneficiaries are enrolled in Medicare Advantage (MA). Yet, little is known about MA beneficiaries diagnosed with Alzheimer’s disease (AD) and AD-related dementias (AD/ADRD).","container-title":"Alzheimer's &amp; Dementia: Diagnosis, Assessment &amp; Disease Monitoring","DOI":"10.1002/dad2.12048","ISSN":"2352-8729, 2352-8729","issue":"1","journalAbbreviation":"Alzheimer's &amp;amp; Dementia: Diagnosis, Assessment &amp;amp; Disease Monitoring","language":"en","license":"http://creativecommons.org/licenses/by-nc/4.0/","source":"DOI.org (Crossref)","title":"Diagnosed prevalence of Alzheimer's disease and related dementias in Medicare Advantage plans","URL":"https://onlinelibrary.wiley.com/doi/10.1002/dad2.12048","volume":"12","author":[{"family":"Jutkowitz","given":"Eric"},{"family":"Bynum","given":"Julie P.W."},{"family":"Mitchell","given":"Susan L."},{"family":"Cocoros","given":"Noelle M."},{"family":"Shapira","given":"Oren"},{"family":"Haynes","given":"Kevin"},{"family":"Nair","given":"Vinit P."},{"family":"McMahill‐Walraven","given":"Cheryl N."},{"family":"Platt","given":"Richard"},{"family":"McCarthy","given":"Ellen P."}],"accessed":{"date-parts":[["2024",12,24]]},"issued":{"date-parts":[["2020",1]]}}},{"id":435,"uris":["http://zotero.org/users/local/Dew19TPH/items/V4IL3853"],"itemData":{"id":435,"type":"article-journal","abstract":"Introduction: Patients with Alzheimer’s disease and related dementias (ADRD) face substantial challenges in selecting, and remaining enrolled in, health insurance. Little is known about how patients with ADRD experience the Medicare Advantage (MA) program.","container-title":"Alzheimer's &amp; Dementia: Translational Research &amp; Clinical Interventions","DOI":"10.1002/trc2.12150","ISSN":"2352-8737, 2352-8737","issue":"1","journalAbbreviation":"A&amp;D Transl Res &amp; Clin Interv","language":"en","page":"e12150","source":"DOI.org (Crossref)","title":"Plan switching among Medicare Advantage beneficiaries with Alzheimer's disease and other dementias","volume":"7","author":[{"family":"Meyers","given":"David J."},{"family":"Rahman","given":"Momotazur"},{"family":"Rivera‐Hernandez","given":"Maricruz"},{"family":"Trivedi","given":"Amal N."},{"family":"Mor","given":"Vincent"}],"issued":{"date-parts":[["2021",1]]}}},{"id":87,"uris":["http://zotero.org/users/local/Dew19TPH/items/8SDTV4DA"],"itemData":{"id":87,"type":"article-journal","abstract":"Background: The Medicare Advantage (MA) program is rapidly growing. Limited evidence exists about the care experiences of MA beneficiaries with Alzheimer's Disease and Related Dementia (ADRD). Our objective was to compare care experiences for MA beneficiaries with and without ADRD.\nMethods: We examined MA beneficiaries who completed the Medicare Advantage Consumer Assessment of Healthcare Providers and Systems (CAHPS) and used inpatient, nursing home, or home health services in the past 3 years. We classified beneficiaries with ADRD using the presence of diagnosis codes in hospitals, nursing homes, and home health records. Our key measures included overall ratings of care and health plan, and indices of receiving timely care, care coordination, receiving needed care, and customer service. We compared differences between beneficiaries with and without ADRD using regression analysis adjusting for demographic, health, and plan characteristics, and stratifying by proxy response status.\nResults: Among beneficiaries sampled by CAHPS, 22.2% with ADRD completed the survey compared to 38.5% without ADRD. Among proxy responses, beneficiaries with ADRD were 4.2 (95% CI: 0.1–8.4) percentage points less likely to report a high score for receiving needed care, and 3.5 percentage points (95% CI: 0.2–6.9) less likely to report a high score for customer service. Among non-proxy responses, those with ADRD were 9.0 (95% CI: 5.5–12.5) percentage points less likely to report a high score for needed care, and 8.5 (95% CI: 5.4–11.5) percentage points less likely to report a high score for customer service.\nConclusions: ADRD respondents to the CAHPS were more likely to be excluded from CAHPS performance measures because they did not meet eligibility requirements and rates of non-response were higher. Among responders with or without a proxy, MA enrollees with an ADRD diagnosis reported worse care experiences in receiving needed care and in customer service than those without an ADRD diagnosis.","container-title":"Journal of the American Geriatrics Society","DOI":"10.1111/jgs.17817","ISSN":"0002-8614, 1532-5415","issue":"8","journalAbbreviation":"J American Geriatrics Society","language":"en","page":"2344-2353","source":"DOI.org (Crossref)","title":"Comparing the care experiences of Medicare Advantage beneficiaries with and without Alzheimer's disease and related dementias","volume":"70","author":[{"family":"Meyers","given":"David J."},{"family":"Rivera‐Hernandez","given":"Maricruz"},{"family":"Kim","given":"Daeho"},{"family":"Keohane","given":"Laura M."},{"family":"Mor","given":"Vincent"},{"family":"Trivedi","given":"Amal N."}],"issued":{"date-parts":[["2022",8]]}}},{"id":439,"uris":["http://zotero.org/users/local/Dew19TPH/items/XZJDFBAY"],"itemData":{"id":439,"type":"article-journal","abstract":"Enrollment in Medicare Advantage (MA) has been rapidly growing. We examined whether MA enrollment affects the outcomes of post-acute nursing home care among patients with Alzheimer’s disease and related dementias (ADRD). We exploited year-to-year changes in MA penetration rates within counties from 2012 through 2019. After adjusting for patient-level characteristics and county fixed effects, we found that MA enrollment was not associated with days spent at home, nursing home days, likelihood of becoming a long-stay resident, hospital days, hospital readmission, or 1-year mortality. There was a modest increase in successful discharge to the community by 0.73 percentage points (relative increase of 2.4%) associated with a 10-percentage-point increase in MA enrollment. The results are consistent among racial/ethnic subgroups and dual-eligible patients. These findings suggest an imperative need to monitor and improve quality of managed care among enrollees with ADRD.","container-title":"Health Affairs Scholar","DOI":"10.1093/haschl/qxae084","ISSN":"2976-5390","issue":"6","language":"en","license":"https://creativecommons.org/licenses/by/4.0/","page":"qxae084","source":"DOI.org (Crossref)","title":"Medicare Advantage enrollment and outcomes of post-acute nursing home care among patients with dementia","volume":"2","author":[{"family":"Kim","given":"Daeho"},{"family":"Meyers","given":"David J"},{"family":"Keohane","given":"Laura M"},{"family":"Varma","given":"Hiren"},{"family":"Achola","given":"Emma M"},{"family":"Trivedi","given":"Amal N"}],"issued":{"date-parts":[["2024",5,30]]}}}],"schema":"https://github.com/citation-style-language/schema/raw/master/csl-citation.json"} </w:instrText>
      </w:r>
      <w:r w:rsidR="00546BDB" w:rsidRPr="00A11B6C">
        <w:rPr>
          <w:rFonts w:ascii="Times New Roman" w:hAnsi="Times New Roman" w:cs="Times New Roman"/>
          <w:sz w:val="24"/>
          <w:szCs w:val="24"/>
        </w:rPr>
        <w:fldChar w:fldCharType="separate"/>
      </w:r>
      <w:r w:rsidR="00546BDB" w:rsidRPr="00A11B6C">
        <w:rPr>
          <w:rFonts w:ascii="Times New Roman" w:hAnsi="Times New Roman" w:cs="Times New Roman"/>
          <w:kern w:val="0"/>
          <w:sz w:val="24"/>
          <w:szCs w:val="24"/>
          <w:vertAlign w:val="superscript"/>
        </w:rPr>
        <w:t>2–7</w:t>
      </w:r>
      <w:r w:rsidR="00546BDB" w:rsidRPr="00A11B6C">
        <w:rPr>
          <w:rFonts w:ascii="Times New Roman" w:hAnsi="Times New Roman" w:cs="Times New Roman"/>
          <w:sz w:val="24"/>
          <w:szCs w:val="24"/>
        </w:rPr>
        <w:fldChar w:fldCharType="end"/>
      </w:r>
      <w:r w:rsidR="00546BDB" w:rsidRPr="00A11B6C">
        <w:rPr>
          <w:rFonts w:ascii="Times New Roman" w:hAnsi="Times New Roman" w:cs="Times New Roman"/>
          <w:sz w:val="24"/>
          <w:szCs w:val="24"/>
        </w:rPr>
        <w:t xml:space="preserve"> </w:t>
      </w:r>
    </w:p>
    <w:p w14:paraId="28BAD39D" w14:textId="77777777" w:rsidR="00A11B6C" w:rsidRDefault="00A11B6C" w:rsidP="00A11B6C">
      <w:pPr>
        <w:spacing w:after="0" w:line="480" w:lineRule="auto"/>
        <w:jc w:val="both"/>
        <w:rPr>
          <w:rFonts w:ascii="Times New Roman" w:hAnsi="Times New Roman" w:cs="Times New Roman"/>
          <w:sz w:val="24"/>
          <w:szCs w:val="24"/>
        </w:rPr>
      </w:pPr>
    </w:p>
    <w:p w14:paraId="11336F40" w14:textId="77777777" w:rsidR="00087D7E" w:rsidRDefault="0016491A" w:rsidP="00087D7E">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Different from </w:t>
      </w:r>
      <w:r w:rsidR="00CF050E" w:rsidRPr="00A11B6C">
        <w:rPr>
          <w:rFonts w:ascii="Times New Roman" w:hAnsi="Times New Roman" w:cs="Times New Roman"/>
          <w:sz w:val="24"/>
          <w:szCs w:val="24"/>
        </w:rPr>
        <w:t>traditional Medicare</w:t>
      </w:r>
      <w:r w:rsidR="0096695F" w:rsidRPr="00A11B6C">
        <w:rPr>
          <w:rFonts w:ascii="Times New Roman" w:hAnsi="Times New Roman" w:cs="Times New Roman"/>
          <w:sz w:val="24"/>
          <w:szCs w:val="24"/>
        </w:rPr>
        <w:t xml:space="preserve"> (TM),</w:t>
      </w:r>
      <w:r w:rsidRPr="00A11B6C">
        <w:rPr>
          <w:rFonts w:ascii="Times New Roman" w:hAnsi="Times New Roman" w:cs="Times New Roman"/>
          <w:sz w:val="24"/>
          <w:szCs w:val="24"/>
        </w:rPr>
        <w:t xml:space="preserve"> </w:t>
      </w:r>
      <w:r w:rsidR="00C61331" w:rsidRPr="00A11B6C">
        <w:rPr>
          <w:rFonts w:ascii="Times New Roman" w:hAnsi="Times New Roman" w:cs="Times New Roman"/>
          <w:sz w:val="24"/>
          <w:szCs w:val="24"/>
        </w:rPr>
        <w:t xml:space="preserve">the risk adjustment model used by the Centers for Medicare &amp; Medicaid Services (CMS) plays a critical role in incentivizing MA plans to deliver care tailored to beneficiaries’ health needs. MA plans are privately operated and receive prospective, capitated payments from CMS to finance and deliver healthcare services. The capitated payment is predicted through a risk adjustment model that accounts for </w:t>
      </w:r>
      <w:r w:rsidR="0061614D" w:rsidRPr="00A11B6C">
        <w:rPr>
          <w:rFonts w:ascii="Times New Roman" w:hAnsi="Times New Roman" w:cs="Times New Roman"/>
          <w:sz w:val="24"/>
          <w:szCs w:val="24"/>
        </w:rPr>
        <w:t xml:space="preserve">a </w:t>
      </w:r>
      <w:r w:rsidR="00C61331" w:rsidRPr="00A11B6C">
        <w:rPr>
          <w:rFonts w:ascii="Times New Roman" w:hAnsi="Times New Roman" w:cs="Times New Roman"/>
          <w:sz w:val="24"/>
          <w:szCs w:val="24"/>
        </w:rPr>
        <w:t xml:space="preserve">beneficiary’s demographics and a selected set of Hierarchical Condition Categories (HCCs). </w:t>
      </w:r>
      <w:r w:rsidR="00EF2C1B" w:rsidRPr="00A11B6C">
        <w:rPr>
          <w:rFonts w:ascii="Times New Roman" w:hAnsi="Times New Roman" w:cs="Times New Roman"/>
          <w:sz w:val="24"/>
          <w:szCs w:val="24"/>
        </w:rPr>
        <w:t>From 2014 to 2020, ADRD diagnoses were excluded from the risk adjustment model due to concerns about coding and auditing claims accuracy.</w:t>
      </w:r>
      <w:r w:rsidR="00EF2C1B" w:rsidRPr="00A11B6C">
        <w:rPr>
          <w:rFonts w:ascii="Times New Roman" w:hAnsi="Times New Roman" w:cs="Times New Roman"/>
          <w:sz w:val="24"/>
          <w:szCs w:val="24"/>
        </w:rPr>
        <w:fldChar w:fldCharType="begin"/>
      </w:r>
      <w:r w:rsidR="00EF2C1B" w:rsidRPr="00A11B6C">
        <w:rPr>
          <w:rFonts w:ascii="Times New Roman" w:hAnsi="Times New Roman" w:cs="Times New Roman"/>
          <w:sz w:val="24"/>
          <w:szCs w:val="24"/>
        </w:rPr>
        <w:instrText xml:space="preserve"> ADDIN ZOTERO_ITEM CSL_CITATION {"citationID":"znzE4mtV","properties":{"formattedCitation":"\\super 8\\nosupersub{}","plainCitation":"8","noteIndex":0},"citationItems":[{"id":416,"uris":["http://zotero.org/users/local/Dew19TPH/items/9V3JAQT5"],"itemData":{"id":416,"type":"article-journal","abstract":"In 2020 Medicare reintroduced Alzheimer’s disease and related dementias (ADRD) Hierarchical Condition Categories (HCCs) to riskadjust Medicare Advantage and accountable care organization (ACO) payments. The potential for Medicare spending increases from this policy change are not well understood because the baseline accuracy of ADRD HCCs is uncertain. Using linked 2016–18 claims and electronic health record data from a large ACO, we evaluated the accuracy of claims-based ADRD HCCs against a reference standard of clinician-adjudicated disease. An estimated 7.5 percent of beneficiaries had clinician-adjudicated ADRD. Among those with ADRD HCCs, 34 percent did not have clinicianadjudicated disease. The false-negative and false-positive rates were 22.7 percent and 3.2 percent, respectively. Medicare spending for those with false-negative ADRD HCCs exceeded that of true positives by $14,619 per beneficiary. If, after the reintroduction of risk adjustment for ADRD, all false negatives were coded as having ADRD, expenditure benchmarks for beneficiaries with ADRD would increase by 9 percent. Monitoring ADRD coding could become challenging in the setting of concurrent incentives to decrease false-negative rates and increase false-positive rates.","container-title":"Health Affairs","DOI":"10.1377/hlthaff.2022.00185","ISSN":"0278-2715, 1544-5208","issue":"9","journalAbbreviation":"Health Affairs","language":"en","page":"1324-1332","source":"DOI.org (Crossref)","title":"Evaluating The Accuracy Of Medicare Risk Adjustment For Alzheimer’s Disease And Related Dementias: Study examines the accuracy of Medicare Advantage and ACO payments of Alzheimer's Disease and related dementias claims.","title-short":"Evaluating The Accuracy Of Medicare Risk Adjustment For Alzheimer’s Disease And Related Dementias","volume":"41","author":[{"family":"Festa","given":"Natalia"},{"family":"Price","given":"Mary"},{"family":"Weiss","given":"Max"},{"family":"Moura","given":"Lidia M. V. R."},{"family":"Benson","given":"Nicole M."},{"family":"Zafar","given":"Sahar"},{"family":"Blacker","given":"Deborah"},{"family":"Normand","given":"Sharon-Lise T."},{"family":"Newhouse","given":"Joseph P."},{"family":"Hsu","given":"John"}],"issued":{"date-parts":[["2022",9,1]]}}}],"schema":"https://github.com/citation-style-language/schema/raw/master/csl-citation.json"} </w:instrText>
      </w:r>
      <w:r w:rsidR="00EF2C1B" w:rsidRPr="00A11B6C">
        <w:rPr>
          <w:rFonts w:ascii="Times New Roman" w:hAnsi="Times New Roman" w:cs="Times New Roman"/>
          <w:sz w:val="24"/>
          <w:szCs w:val="24"/>
        </w:rPr>
        <w:fldChar w:fldCharType="separate"/>
      </w:r>
      <w:r w:rsidR="00EF2C1B" w:rsidRPr="00A11B6C">
        <w:rPr>
          <w:rFonts w:ascii="Times New Roman" w:hAnsi="Times New Roman" w:cs="Times New Roman"/>
          <w:kern w:val="0"/>
          <w:sz w:val="24"/>
          <w:szCs w:val="24"/>
          <w:vertAlign w:val="superscript"/>
        </w:rPr>
        <w:t>8</w:t>
      </w:r>
      <w:r w:rsidR="00EF2C1B" w:rsidRPr="00A11B6C">
        <w:rPr>
          <w:rFonts w:ascii="Times New Roman" w:hAnsi="Times New Roman" w:cs="Times New Roman"/>
          <w:sz w:val="24"/>
          <w:szCs w:val="24"/>
        </w:rPr>
        <w:fldChar w:fldCharType="end"/>
      </w:r>
      <w:r w:rsidR="00EF2C1B" w:rsidRPr="00A11B6C">
        <w:rPr>
          <w:rFonts w:ascii="Times New Roman" w:hAnsi="Times New Roman" w:cs="Times New Roman"/>
          <w:sz w:val="24"/>
          <w:szCs w:val="24"/>
        </w:rPr>
        <w:t xml:space="preserve"> </w:t>
      </w:r>
      <w:r w:rsidR="008E09FA" w:rsidRPr="00A11B6C">
        <w:rPr>
          <w:rFonts w:ascii="Times New Roman" w:hAnsi="Times New Roman" w:cs="Times New Roman"/>
          <w:sz w:val="24"/>
          <w:szCs w:val="24"/>
        </w:rPr>
        <w:t xml:space="preserve">As insurers bear increasing financial risks, </w:t>
      </w:r>
      <w:r w:rsidR="00AF5BA3" w:rsidRPr="00A11B6C">
        <w:rPr>
          <w:rFonts w:ascii="Times New Roman" w:hAnsi="Times New Roman" w:cs="Times New Roman"/>
          <w:sz w:val="24"/>
          <w:szCs w:val="24"/>
        </w:rPr>
        <w:t xml:space="preserve">for beneficiaries with HCCs not incorporated in </w:t>
      </w:r>
      <w:r w:rsidR="00BC76D9" w:rsidRPr="00A11B6C">
        <w:rPr>
          <w:rFonts w:ascii="Times New Roman" w:hAnsi="Times New Roman" w:cs="Times New Roman"/>
          <w:sz w:val="24"/>
          <w:szCs w:val="24"/>
        </w:rPr>
        <w:t xml:space="preserve">the </w:t>
      </w:r>
      <w:r w:rsidR="00AF5BA3" w:rsidRPr="00A11B6C">
        <w:rPr>
          <w:rFonts w:ascii="Times New Roman" w:hAnsi="Times New Roman" w:cs="Times New Roman"/>
          <w:sz w:val="24"/>
          <w:szCs w:val="24"/>
        </w:rPr>
        <w:t>risk</w:t>
      </w:r>
      <w:r w:rsidR="00BC76D9" w:rsidRPr="00A11B6C">
        <w:rPr>
          <w:rFonts w:ascii="Times New Roman" w:hAnsi="Times New Roman" w:cs="Times New Roman"/>
          <w:sz w:val="24"/>
          <w:szCs w:val="24"/>
        </w:rPr>
        <w:t>-</w:t>
      </w:r>
      <w:r w:rsidR="00AF5BA3" w:rsidRPr="00A11B6C">
        <w:rPr>
          <w:rFonts w:ascii="Times New Roman" w:hAnsi="Times New Roman" w:cs="Times New Roman"/>
          <w:sz w:val="24"/>
          <w:szCs w:val="24"/>
        </w:rPr>
        <w:t xml:space="preserve">adjusted payment model, </w:t>
      </w:r>
      <w:r w:rsidR="008E09FA" w:rsidRPr="00A11B6C">
        <w:rPr>
          <w:rFonts w:ascii="Times New Roman" w:hAnsi="Times New Roman" w:cs="Times New Roman"/>
          <w:sz w:val="24"/>
          <w:szCs w:val="24"/>
        </w:rPr>
        <w:t xml:space="preserve">the capitated payments </w:t>
      </w:r>
      <w:r w:rsidR="00630AED" w:rsidRPr="00A11B6C">
        <w:rPr>
          <w:rFonts w:ascii="Times New Roman" w:hAnsi="Times New Roman" w:cs="Times New Roman"/>
          <w:sz w:val="24"/>
          <w:szCs w:val="24"/>
        </w:rPr>
        <w:t>may incentivize</w:t>
      </w:r>
      <w:r w:rsidR="008E09FA" w:rsidRPr="00A11B6C">
        <w:rPr>
          <w:rFonts w:ascii="Times New Roman" w:hAnsi="Times New Roman" w:cs="Times New Roman"/>
          <w:sz w:val="24"/>
          <w:szCs w:val="24"/>
        </w:rPr>
        <w:t xml:space="preserve"> insurers</w:t>
      </w:r>
      <w:r w:rsidR="00630AED" w:rsidRPr="00A11B6C">
        <w:rPr>
          <w:rFonts w:ascii="Times New Roman" w:hAnsi="Times New Roman" w:cs="Times New Roman"/>
          <w:sz w:val="24"/>
          <w:szCs w:val="24"/>
        </w:rPr>
        <w:t xml:space="preserve"> to manage these beneficiaries’ medical cost</w:t>
      </w:r>
      <w:r w:rsidR="00D56A0A" w:rsidRPr="00A11B6C">
        <w:rPr>
          <w:rFonts w:ascii="Times New Roman" w:hAnsi="Times New Roman" w:cs="Times New Roman"/>
          <w:sz w:val="24"/>
          <w:szCs w:val="24"/>
        </w:rPr>
        <w:t>s</w:t>
      </w:r>
      <w:r w:rsidR="00630AED" w:rsidRPr="00A11B6C">
        <w:rPr>
          <w:rFonts w:ascii="Times New Roman" w:hAnsi="Times New Roman" w:cs="Times New Roman"/>
          <w:sz w:val="24"/>
          <w:szCs w:val="24"/>
        </w:rPr>
        <w:t xml:space="preserve"> by</w:t>
      </w:r>
      <w:r w:rsidR="008E09FA" w:rsidRPr="00A11B6C">
        <w:rPr>
          <w:rFonts w:ascii="Times New Roman" w:hAnsi="Times New Roman" w:cs="Times New Roman"/>
          <w:sz w:val="24"/>
          <w:szCs w:val="24"/>
        </w:rPr>
        <w:t xml:space="preserve"> providing insufficient coverage, restricting physician networks, or requiring prior authorization for care.</w:t>
      </w:r>
      <w:r w:rsidR="008E09FA" w:rsidRPr="00A11B6C">
        <w:rPr>
          <w:rFonts w:ascii="Times New Roman" w:hAnsi="Times New Roman" w:cs="Times New Roman"/>
          <w:sz w:val="24"/>
          <w:szCs w:val="24"/>
        </w:rPr>
        <w:fldChar w:fldCharType="begin"/>
      </w:r>
      <w:r w:rsidR="00EF2C1B" w:rsidRPr="00A11B6C">
        <w:rPr>
          <w:rFonts w:ascii="Times New Roman" w:hAnsi="Times New Roman" w:cs="Times New Roman"/>
          <w:sz w:val="24"/>
          <w:szCs w:val="24"/>
        </w:rPr>
        <w:instrText xml:space="preserve"> ADDIN ZOTERO_ITEM CSL_CITATION {"citationID":"FWYSAzRN","properties":{"formattedCitation":"\\super 9\\nosupersub{}","plainCitation":"9","noteIndex":0},"citationItems":[{"id":407,"uris":["http://zotero.org/users/local/Dew19TPH/items/BB4W3BL3"],"itemData":{"id":407,"type":"article-journal","abstract":"OBJECTIVE To characterize trends in switching to and from MA among high-need beneficiaries and to evaluate the drivers of disenrollment decisions. DESIGN, SETTING, AND PARTICIPANTS This cross-sectional study of MA and traditional Medicare (TM) enrollees from January 1, 2014, through December 31, 2015, used a multinomial logit regression stratified by Medicare-Medicaid eligibility status. All 14 589 645 non–high-need MA enrollees and 1 302 470 high-need enrollees in the United States who survived until the end of 2014 were eligible for the analysis. Data were analyzed from November 1, 2017, through August 1, 2018. EXPOSURES Enrollee dual eligibility and high-need status (based on complex chronic conditions, multiple morbidities, use of health care services, functional impairment, and frailty indicators), MA plan star rating, and cost sharing. MAIN OUTCOMES AND MEASURES The proportion of enrollees who disenrolled into TM, remained in the same MA plan, or who switched plans within the MA program.\nRESULTS A total of 13 901 816 enrollees were included in the analysis (56.2% women; mean [SD] age, 70.9 [9.9] years). Among the 1 302 470 high-need enrollees, an adjusted 4.6% (95% CI, 4.5%-4.6%) of Medicare-only and 14.8% (95% CI, 14.5%-15.0%) of Medicare-Medicaid members switched from MA to TM compared with 3.3% (95% CI, 3.3%-3.3%) and 4.6% (95% CI, 4.5%-4.7%), respectively, among non–high-need enrollees. Among enrollees in low-quality plans, 23.0% (95% CI, 22.3%-23.9%) of Medicare and 42.8% (95% CI, 40.5%-45.1%) of dual-eligible high-need enrollees left MA. Even in high-quality plans, high-need members disenrolled at higher rates than non–high-need members (4.9% [95% CI, 4.6%-5.2%] vs 1.8% [95% CI, 1.8%-1.9%] for Medicare-only enrollees and 11.3% vs 2.4% dual eligible enrollees). Enrollment in a 5.0-star rated plan was associated with a 30.1–percentage point reduction (95% CI, −31.7 to −28.4 percentage points) in the probability of disenrollment among high-need individuals. A $100 increase in monthly premiums was associated with a 33.9–percentage point increase (95% CI, −34.9 to −33.0 percentage points) in the likelihood of switching plans, and a small reduction in the likelihood of disenrolling (−2.7 percentage points; 95% CI, −3.2 to −2.2 percentage points). Among Medicare-Medicaid eligible participants, 14.1% (95% CI, 14.0%-14.2%) of high-need and 16.7% (95% CI, 16.6%-16.7%) of non–high-need enrollees switched from TM to MA.\nCONCLUSIONS AND RELEVANCE Results of this study suggest that substantially higher disenrollment from MA plans occurs among high-need and Medicare-Medicaid eligible enrollees. This study’s findings suggest that star ratings have the strongest association with disenrollment trends, whereas increases in monthly premiums are associated with greater likelihood of switching plans.","container-title":"JAMA Internal Medicine","DOI":"10.1001/jamainternmed.2018.7639","ISSN":"2168-6106","issue":"4","journalAbbreviation":"JAMA Intern Med","language":"en","page":"524","source":"DOI.org (Crossref)","title":"Analysis of Drivers of Disenrollment and Plan Switching Among Medicare Advantage Beneficiaries","volume":"179","author":[{"family":"Meyers","given":"David J."},{"family":"Belanger","given":"Emmanuelle"},{"family":"Joyce","given":"Nina"},{"family":"McHugh","given":"John"},{"family":"Rahman","given":"Momotazur"},{"family":"Mor","given":"Vincent"}],"issued":{"date-parts":[["2019",4,1]]}}}],"schema":"https://github.com/citation-style-language/schema/raw/master/csl-citation.json"} </w:instrText>
      </w:r>
      <w:r w:rsidR="008E09FA" w:rsidRPr="00A11B6C">
        <w:rPr>
          <w:rFonts w:ascii="Times New Roman" w:hAnsi="Times New Roman" w:cs="Times New Roman"/>
          <w:sz w:val="24"/>
          <w:szCs w:val="24"/>
        </w:rPr>
        <w:fldChar w:fldCharType="separate"/>
      </w:r>
      <w:r w:rsidR="00EF2C1B" w:rsidRPr="00A11B6C">
        <w:rPr>
          <w:rFonts w:ascii="Times New Roman" w:hAnsi="Times New Roman" w:cs="Times New Roman"/>
          <w:kern w:val="0"/>
          <w:sz w:val="24"/>
          <w:szCs w:val="24"/>
          <w:vertAlign w:val="superscript"/>
        </w:rPr>
        <w:t>9</w:t>
      </w:r>
      <w:r w:rsidR="008E09FA" w:rsidRPr="00A11B6C">
        <w:rPr>
          <w:rFonts w:ascii="Times New Roman" w:hAnsi="Times New Roman" w:cs="Times New Roman"/>
          <w:sz w:val="24"/>
          <w:szCs w:val="24"/>
        </w:rPr>
        <w:fldChar w:fldCharType="end"/>
      </w:r>
      <w:r w:rsidR="00EF2C1B" w:rsidRPr="00A11B6C">
        <w:rPr>
          <w:rFonts w:ascii="Times New Roman" w:hAnsi="Times New Roman" w:cs="Times New Roman"/>
          <w:sz w:val="24"/>
          <w:szCs w:val="24"/>
        </w:rPr>
        <w:t xml:space="preserve"> </w:t>
      </w:r>
    </w:p>
    <w:p w14:paraId="0F8C77F9" w14:textId="77777777" w:rsidR="00087D7E" w:rsidRDefault="00087D7E" w:rsidP="00087D7E">
      <w:pPr>
        <w:spacing w:after="0" w:line="480" w:lineRule="auto"/>
        <w:jc w:val="both"/>
        <w:rPr>
          <w:rFonts w:ascii="Times New Roman" w:hAnsi="Times New Roman" w:cs="Times New Roman"/>
          <w:sz w:val="24"/>
          <w:szCs w:val="24"/>
        </w:rPr>
      </w:pPr>
    </w:p>
    <w:p w14:paraId="097E068B" w14:textId="7D3FB194" w:rsidR="00EF2C1B" w:rsidRDefault="00EF2C1B" w:rsidP="00087D7E">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lastRenderedPageBreak/>
        <w:t xml:space="preserve">In 2020, CMS reinstated ADRD in the </w:t>
      </w:r>
      <w:r w:rsidR="00B2712D" w:rsidRPr="00A11B6C">
        <w:rPr>
          <w:rFonts w:ascii="Times New Roman" w:hAnsi="Times New Roman" w:cs="Times New Roman"/>
          <w:sz w:val="24"/>
          <w:szCs w:val="24"/>
        </w:rPr>
        <w:t>risk-adjusted payment</w:t>
      </w:r>
      <w:r w:rsidR="0058319F" w:rsidRPr="00A11B6C">
        <w:rPr>
          <w:rFonts w:ascii="Times New Roman" w:hAnsi="Times New Roman" w:cs="Times New Roman"/>
          <w:sz w:val="24"/>
          <w:szCs w:val="24"/>
        </w:rPr>
        <w:t xml:space="preserve"> </w:t>
      </w:r>
      <w:r w:rsidRPr="00A11B6C">
        <w:rPr>
          <w:rFonts w:ascii="Times New Roman" w:hAnsi="Times New Roman" w:cs="Times New Roman"/>
          <w:sz w:val="24"/>
          <w:szCs w:val="24"/>
        </w:rPr>
        <w:t xml:space="preserve">model, marking a significant policy shift. This decision offers a unique opportunity to examine the </w:t>
      </w:r>
      <w:r w:rsidR="00EB0C71" w:rsidRPr="00A11B6C">
        <w:rPr>
          <w:rFonts w:ascii="Times New Roman" w:hAnsi="Times New Roman" w:cs="Times New Roman"/>
          <w:sz w:val="24"/>
          <w:szCs w:val="24"/>
        </w:rPr>
        <w:t>association between</w:t>
      </w:r>
      <w:r w:rsidR="000B295A" w:rsidRPr="00A11B6C">
        <w:rPr>
          <w:rFonts w:ascii="Times New Roman" w:hAnsi="Times New Roman" w:cs="Times New Roman"/>
          <w:sz w:val="24"/>
          <w:szCs w:val="24"/>
        </w:rPr>
        <w:t xml:space="preserve"> the new</w:t>
      </w:r>
      <w:r w:rsidR="00EB0C71" w:rsidRPr="00A11B6C">
        <w:rPr>
          <w:rFonts w:ascii="Times New Roman" w:hAnsi="Times New Roman" w:cs="Times New Roman"/>
          <w:sz w:val="24"/>
          <w:szCs w:val="24"/>
        </w:rPr>
        <w:t xml:space="preserve"> </w:t>
      </w:r>
      <w:r w:rsidRPr="00A11B6C">
        <w:rPr>
          <w:rFonts w:ascii="Times New Roman" w:hAnsi="Times New Roman" w:cs="Times New Roman"/>
          <w:sz w:val="24"/>
          <w:szCs w:val="24"/>
        </w:rPr>
        <w:t>risk</w:t>
      </w:r>
      <w:r w:rsidR="00013E63" w:rsidRPr="00A11B6C">
        <w:rPr>
          <w:rFonts w:ascii="Times New Roman" w:hAnsi="Times New Roman" w:cs="Times New Roman"/>
          <w:sz w:val="24"/>
          <w:szCs w:val="24"/>
        </w:rPr>
        <w:t>-</w:t>
      </w:r>
      <w:r w:rsidRPr="00A11B6C">
        <w:rPr>
          <w:rFonts w:ascii="Times New Roman" w:hAnsi="Times New Roman" w:cs="Times New Roman"/>
          <w:sz w:val="24"/>
          <w:szCs w:val="24"/>
        </w:rPr>
        <w:t xml:space="preserve">adjusted payment </w:t>
      </w:r>
      <w:r w:rsidR="00013E63" w:rsidRPr="00A11B6C">
        <w:rPr>
          <w:rFonts w:ascii="Times New Roman" w:hAnsi="Times New Roman" w:cs="Times New Roman"/>
          <w:sz w:val="24"/>
          <w:szCs w:val="24"/>
        </w:rPr>
        <w:t xml:space="preserve">model </w:t>
      </w:r>
      <w:r w:rsidR="00301149" w:rsidRPr="00A11B6C">
        <w:rPr>
          <w:rFonts w:ascii="Times New Roman" w:hAnsi="Times New Roman" w:cs="Times New Roman"/>
          <w:sz w:val="24"/>
          <w:szCs w:val="24"/>
        </w:rPr>
        <w:t>and</w:t>
      </w:r>
      <w:r w:rsidR="00151904" w:rsidRPr="00A11B6C">
        <w:rPr>
          <w:rFonts w:ascii="Times New Roman" w:hAnsi="Times New Roman" w:cs="Times New Roman"/>
          <w:sz w:val="24"/>
          <w:szCs w:val="24"/>
        </w:rPr>
        <w:t xml:space="preserve"> care experiences</w:t>
      </w:r>
      <w:r w:rsidR="00897FFC" w:rsidRPr="00A11B6C">
        <w:rPr>
          <w:rFonts w:ascii="Times New Roman" w:hAnsi="Times New Roman" w:cs="Times New Roman"/>
          <w:sz w:val="24"/>
          <w:szCs w:val="24"/>
        </w:rPr>
        <w:t xml:space="preserve"> among beneficiaries with ADRD</w:t>
      </w:r>
      <w:r w:rsidRPr="00A11B6C">
        <w:rPr>
          <w:rFonts w:ascii="Times New Roman" w:hAnsi="Times New Roman" w:cs="Times New Roman"/>
          <w:sz w:val="24"/>
          <w:szCs w:val="24"/>
        </w:rPr>
        <w:t xml:space="preserve">. </w:t>
      </w:r>
      <w:r w:rsidR="006D0306" w:rsidRPr="00A11B6C">
        <w:rPr>
          <w:rFonts w:ascii="Times New Roman" w:hAnsi="Times New Roman" w:cs="Times New Roman"/>
          <w:sz w:val="24"/>
          <w:szCs w:val="24"/>
        </w:rPr>
        <w:t>Recent studies have found a significant increase in the ADRD diagnosis rate among MA beneficiaries after this payment model change.</w:t>
      </w:r>
      <w:r w:rsidR="00F4135E"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{"citationID":"zL3fHzon","properties":{"formattedCitation":"\\super 2,8,10\\nosupersub{}","plainCitation":"2,8,10","noteIndex":0},"citationItems":[{"id":414,"uris":["http://zotero.org/users/local/Dew19TPH/items/7TDG2QAP"],"itemData":{"id":414,"type":"article-journal","abstract":"OBJECTIVE To evaluate patterns in Medicare Advantage enrollment and disenrollment among beneficiaries with or without ADRD. DESIGN, SETTING, AND PARTICIPANTS This cross-sectional study used 6 national data sources between January 1, 2011, and December 31, 2018. Analyses were performed between June 2021 and August 2022. The cohort comprised US Medicare beneficiaries with acute or postacute care utilization between 2013 and 2018. EXPOSURE ADRD diagnosis from an acute or postacute care encounter Medicare data source. MAIN OUTCOMES AND MEASURES Enrollment in Medicare Advantage, disenrollment from Medicare Advantage to traditional Medicare, and contract exit (leaving a Medicare Advantage contract for traditional Medicare or a different Medicare Advantage contract).\nRESULTS The 32 796 872 Medicare beneficiaries in the cohort had a mean (SD) age of 74.0 (12.5) years and included 18 228 513 females (55.6%). Enrollment in Medicare Advantage among beneficiaries with ADRD increased from 24.7% (95% CI, 24.7%-24.8%) in 2013 to 33.0% (95% CI, 32.9%-33.1%) in 2018, an absolute increase of 8.3 percentage points and a 33.4% relative increase after adjusting for demographic characteristics, comorbid conditions, and utilization and including county fixed effects. Among beneficiaries without ADRD, enrollment in Medicare Advantage increased by 8.2 percentage points from 27.6% (95% CI, 27.6%-27.6%) in 2013 to 35.8% (95% CI, 35.8%-35.8%) in 2018, a 29.7% relative increase over the study period. Beneficiaries with ADRD were 1.4 times as likely to disenroll from their Medicare Advantage contract to traditional Medicare (4.4% vs 3.2% in 2017-2018; P &lt; .001) in adjusted analyses. Regardless of ADRD status, beneficiaries had similar rates of switching to a new Medicare Advantage contract. Differences in contract exit rates were associated with higher rates of disenrollment from Medicare Advantage to traditional Medicare among beneficiaries with ADRD vs those without ADRD (16.3% [95% CI, 16.2%-16.3%] vs 15.1% [95% CI, 15.1%-15.1%]). Beneficiaries with ADRD and dual eligibility for Medicaid enrollment had higher rates of contract exit than those without dual eligibility (19.7% [95% CI, 19.6%-19.7%] vs 14.9% [95% CI, 14.8%-14.9%]), and these differences were even greater than those among beneficiaries without ADRD and with and without dual-eligibility status, respectively (18.3% [95% CI, 18.2%-18.3%] vs 13.8% [95% CI, 13.7%-13.8%]).\nCONCLUSIONS AND RELEVANCE In this cross-sectional study of the Medicare population with acute and postacute care use, beneficiaries with ADRD had increasing enrollment in the Medicare","container-title":"JAMA Health Forum","DOI":"10.1001/jamahealthforum.2023.3080","ISSN":"2689-0186","issue":"9","journalAbbreviation":"JAMA Health Forum","language":"en","page":"e233080","source":"DOI.org (Crossref)","title":"Medicare Advantage Enrollment and Disenrollment Among Persons With Alzheimer Disease and Related Dementias","volume":"4","author":[{"family":"James","given":"Hannah O."},{"family":"Trivedi","given":"Amal N."},{"family":"Meyers","given":"David J."}],"issued":{"date-parts":[["2023",9,15]]}}},{"id":416,"uris":["http://zotero.org/users/local/Dew19TPH/items/9V3JAQT5"],"itemData":{"id":416,"type":"article-journal","abstract":"In 2020 Medicare reintroduced Alzheimer’s disease and related dementias (ADRD) Hierarchical Condition Categories (HCCs) to riskadjust Medicare Advantage and accountable care organization (ACO) payments. The potential for Medicare spending increases from this policy change are not well understood because the baseline accuracy of ADRD HCCs is uncertain. Using linked 2016–18 claims and electronic health record data from a large ACO, we evaluated the accuracy of claims-based ADRD HCCs against a reference standard of clinician-adjudicated disease. An estimated 7.5 percent of beneficiaries had clinician-adjudicated ADRD. Among those with ADRD HCCs, 34 percent did not have clinicianadjudicated disease. The false-negative and false-positive rates were 22.7 percent and 3.2 percent, respectively. Medicare spending for those with false-negative ADRD HCCs exceeded that of true positives by $14,619 per beneficiary. If, after the reintroduction of risk adjustment for ADRD, all false negatives were coded as having ADRD, expenditure benchmarks for beneficiaries with ADRD would increase by 9 percent. Monitoring ADRD coding could become challenging in the setting of concurrent incentives to decrease false-negative rates and increase false-positive rates.","container-title":"Health Affairs","DOI":"10.1377/hlthaff.2022.00185","ISSN":"0278-2715, 1544-5208","issue":"9","journalAbbreviation":"Health Affairs","language":"en","page":"1324-1332","source":"DOI.org (Crossref)","title":"Evaluating The Accuracy Of Medicare Risk Adjustment For Alzheimer’s Disease And Related Dementias: Study examines the accuracy of Medicare Advantage and ACO payments of Alzheimer's Disease and related dementias claims.","title-short":"Evaluating The Accuracy Of Medicare Risk Adjustment For Alzheimer’s Disease And Related Dementias","volume":"41","author":[{"family":"Festa","given":"Natalia"},{"family":"Price","given":"Mary"},{"family":"Weiss","given":"Max"},{"family":"Moura","given":"Lidia M. V. R."},{"family":"Benson","given":"Nicole M."},{"family":"Zafar","given":"Sahar"},{"family":"Blacker","given":"Deborah"},{"family":"Normand","given":"Sharon-Lise T."},{"family":"Newhouse","given":"Joseph P."},{"family":"Hsu","given":"John"}],"issued":{"date-parts":[["2022",9,1]]}}},{"id":593,"uris":["http://zotero.org/users/local/Dew19TPH/items/X7M6YB2G"],"itemData":{"id":593,"type":"article-journal","abstract":"In 2020, the Centers for Medicare and Medicaid Services reintroduced Alzheimer’s disease and related dementias to its riskadjustment payment model for Medicare Advantage (MA) plans. Using 2017–20 data for 100 percent of community-dwelling beneficiaries enrolled in Medicare, we evaluated how the reintroduction of dementia to the risk-adjustment model affected rates of new (incident) dementia diagnoses among beneficiaries enrolled in MA relative to those enrolled in traditional Medicare. In response to the payment change, annual incident dementia diagnosis rates in MA increased by 11.5 percent relative to traditional Medicare. This increase was concentrated among beneficiaries who were more likely to have undiagnosed dementia—specifically, beneficiaries who were Hispanic or Black, were ages eightyfive and older, or were dually eligible for Medicaid or received a Part D low-income subsidy. Only a third of the increase came through chart reviews. Financial incentives to detect dementia increased dementia diagnoses, particularly among beneficiaries at high risk for dementia and undetected dementia, but questions remain about potential overdiagnosis or upcoding.","container-title":"Health Affairs","DOI":"10.1377/hlthaff.2024.00723","ISSN":"0278-2715, 1544-5208","issue":"1","journalAbbreviation":"Health Affairs","language":"en","page":"81-89","source":"DOI.org (Crossref)","title":"After Risk-Adjustment Change, Dementia Diagnoses Increased In Medicare Advantage Relative To Traditional Medicare: Article examines dementia diagnosis in Medicare Advantage after risk-adjustment change","title-short":"After Risk-Adjustment Change, Dementia Diagnoses Increased In Medicare Advantage Relative To Traditional Medicare","volume":"44","author":[{"family":"Haye","given":"Sidra"},{"family":"Jacobson","given":"Mireille"},{"family":"Joyce","given":"Geoffrey"},{"family":"Zissimopoulos","given":"Julie M."}],"issued":{"date-parts":[["2025",1,1]]}}}],"schema":"https://github.com/citation-style-language/schema/raw/master/csl-citation.json"} </w:instrText>
      </w:r>
      <w:r w:rsidR="00F4135E"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2,8,10</w:t>
      </w:r>
      <w:r w:rsidR="00F4135E" w:rsidRPr="00A11B6C">
        <w:rPr>
          <w:rFonts w:ascii="Times New Roman" w:hAnsi="Times New Roman" w:cs="Times New Roman"/>
          <w:sz w:val="24"/>
          <w:szCs w:val="24"/>
        </w:rPr>
        <w:fldChar w:fldCharType="end"/>
      </w:r>
      <w:r w:rsidR="006D0306" w:rsidRPr="00A11B6C">
        <w:rPr>
          <w:rFonts w:ascii="Times New Roman" w:hAnsi="Times New Roman" w:cs="Times New Roman"/>
          <w:sz w:val="24"/>
          <w:szCs w:val="24"/>
        </w:rPr>
        <w:t xml:space="preserve"> </w:t>
      </w:r>
      <w:r w:rsidRPr="00A11B6C">
        <w:rPr>
          <w:rFonts w:ascii="Times New Roman" w:hAnsi="Times New Roman" w:cs="Times New Roman"/>
          <w:sz w:val="24"/>
          <w:szCs w:val="24"/>
        </w:rPr>
        <w:t>However, there remains limited empirical evidence on the broader implications of this</w:t>
      </w:r>
      <w:r w:rsidR="00D52766" w:rsidRPr="00A11B6C">
        <w:rPr>
          <w:rFonts w:ascii="Times New Roman" w:hAnsi="Times New Roman" w:cs="Times New Roman"/>
          <w:sz w:val="24"/>
          <w:szCs w:val="24"/>
        </w:rPr>
        <w:t xml:space="preserve"> payment</w:t>
      </w:r>
      <w:r w:rsidRPr="00A11B6C">
        <w:rPr>
          <w:rFonts w:ascii="Times New Roman" w:hAnsi="Times New Roman" w:cs="Times New Roman"/>
          <w:sz w:val="24"/>
          <w:szCs w:val="24"/>
        </w:rPr>
        <w:t xml:space="preserve"> </w:t>
      </w:r>
      <w:r w:rsidR="003A2042" w:rsidRPr="00A11B6C">
        <w:rPr>
          <w:rFonts w:ascii="Times New Roman" w:hAnsi="Times New Roman" w:cs="Times New Roman"/>
          <w:sz w:val="24"/>
          <w:szCs w:val="24"/>
        </w:rPr>
        <w:t>model</w:t>
      </w:r>
      <w:r w:rsidR="00D52766" w:rsidRPr="00A11B6C">
        <w:rPr>
          <w:rFonts w:ascii="Times New Roman" w:hAnsi="Times New Roman" w:cs="Times New Roman"/>
          <w:sz w:val="24"/>
          <w:szCs w:val="24"/>
        </w:rPr>
        <w:t xml:space="preserve"> change</w:t>
      </w:r>
      <w:r w:rsidRPr="00A11B6C">
        <w:rPr>
          <w:rFonts w:ascii="Times New Roman" w:hAnsi="Times New Roman" w:cs="Times New Roman"/>
          <w:sz w:val="24"/>
          <w:szCs w:val="24"/>
        </w:rPr>
        <w:t xml:space="preserve"> for care </w:t>
      </w:r>
      <w:r w:rsidR="00015F66" w:rsidRPr="00A11B6C">
        <w:rPr>
          <w:rFonts w:ascii="Times New Roman" w:hAnsi="Times New Roman" w:cs="Times New Roman"/>
          <w:sz w:val="24"/>
          <w:szCs w:val="24"/>
        </w:rPr>
        <w:t>access, affordability, and quality</w:t>
      </w:r>
      <w:r w:rsidR="00E05504" w:rsidRPr="00A11B6C">
        <w:rPr>
          <w:rFonts w:ascii="Times New Roman" w:hAnsi="Times New Roman" w:cs="Times New Roman"/>
          <w:sz w:val="24"/>
          <w:szCs w:val="24"/>
        </w:rPr>
        <w:t xml:space="preserve"> </w:t>
      </w:r>
      <w:r w:rsidRPr="00A11B6C">
        <w:rPr>
          <w:rFonts w:ascii="Times New Roman" w:hAnsi="Times New Roman" w:cs="Times New Roman"/>
          <w:sz w:val="24"/>
          <w:szCs w:val="24"/>
        </w:rPr>
        <w:t xml:space="preserve">among </w:t>
      </w:r>
      <w:r w:rsidR="00897FFC" w:rsidRPr="00A11B6C">
        <w:rPr>
          <w:rFonts w:ascii="Times New Roman" w:hAnsi="Times New Roman" w:cs="Times New Roman"/>
          <w:sz w:val="24"/>
          <w:szCs w:val="24"/>
        </w:rPr>
        <w:t>beneficiaries with ADRD</w:t>
      </w:r>
      <w:r w:rsidRPr="00A11B6C">
        <w:rPr>
          <w:rFonts w:ascii="Times New Roman" w:hAnsi="Times New Roman" w:cs="Times New Roman"/>
          <w:sz w:val="24"/>
          <w:szCs w:val="24"/>
        </w:rPr>
        <w:t xml:space="preserve">. </w:t>
      </w:r>
    </w:p>
    <w:p w14:paraId="0419BA69" w14:textId="77777777" w:rsidR="00A11B6C" w:rsidRPr="00A11B6C" w:rsidRDefault="00A11B6C" w:rsidP="00A11B6C">
      <w:pPr>
        <w:spacing w:after="0" w:line="480" w:lineRule="auto"/>
        <w:ind w:firstLine="360"/>
        <w:jc w:val="both"/>
        <w:rPr>
          <w:rFonts w:ascii="Times New Roman" w:hAnsi="Times New Roman" w:cs="Times New Roman"/>
          <w:sz w:val="24"/>
          <w:szCs w:val="24"/>
        </w:rPr>
      </w:pPr>
    </w:p>
    <w:bookmarkEnd w:id="2"/>
    <w:p w14:paraId="7B1738E3" w14:textId="40AD7CA7" w:rsidR="00E22D57" w:rsidRDefault="00E22D57" w:rsidP="00A11B6C">
      <w:pPr>
        <w:pStyle w:val="Heading2"/>
        <w:spacing w:before="0" w:after="0" w:line="480" w:lineRule="auto"/>
        <w:rPr>
          <w:rFonts w:cs="Times New Roman"/>
          <w:b/>
          <w:bCs/>
          <w:color w:val="000000" w:themeColor="text1"/>
          <w:sz w:val="24"/>
          <w:szCs w:val="24"/>
        </w:rPr>
      </w:pPr>
      <w:r w:rsidRPr="00087D7E">
        <w:rPr>
          <w:rFonts w:cs="Times New Roman"/>
          <w:b/>
          <w:bCs/>
          <w:color w:val="000000" w:themeColor="text1"/>
          <w:sz w:val="24"/>
          <w:szCs w:val="24"/>
        </w:rPr>
        <w:t>Methods</w:t>
      </w:r>
    </w:p>
    <w:p w14:paraId="1B4C9C81" w14:textId="6CA1E5D4" w:rsidR="000C6303" w:rsidRPr="000C6303" w:rsidRDefault="000C6303" w:rsidP="000C6303">
      <w:pPr>
        <w:pStyle w:val="Heading3"/>
        <w:spacing w:before="0" w:after="0" w:line="480" w:lineRule="auto"/>
        <w:rPr>
          <w:rFonts w:cs="Times New Roman"/>
          <w:b w:val="0"/>
          <w:bCs/>
          <w:i/>
          <w:iCs/>
          <w:szCs w:val="24"/>
        </w:rPr>
      </w:pPr>
      <w:r w:rsidRPr="000C6303">
        <w:rPr>
          <w:rFonts w:cs="Times New Roman"/>
          <w:b w:val="0"/>
          <w:bCs/>
          <w:i/>
          <w:iCs/>
          <w:color w:val="000000" w:themeColor="text1"/>
          <w:szCs w:val="24"/>
        </w:rPr>
        <w:t xml:space="preserve">Data and </w:t>
      </w:r>
      <w:r w:rsidRPr="000C6303">
        <w:rPr>
          <w:rFonts w:cs="Times New Roman"/>
          <w:b w:val="0"/>
          <w:bCs/>
          <w:i/>
          <w:iCs/>
          <w:szCs w:val="24"/>
        </w:rPr>
        <w:t xml:space="preserve">Sample </w:t>
      </w:r>
    </w:p>
    <w:p w14:paraId="3FCE7FEB" w14:textId="25FF82E9" w:rsidR="00087D7E" w:rsidRDefault="00675026" w:rsidP="00087D7E">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We use</w:t>
      </w:r>
      <w:r w:rsidR="00A040A1" w:rsidRPr="00A11B6C">
        <w:rPr>
          <w:rFonts w:ascii="Times New Roman" w:hAnsi="Times New Roman" w:cs="Times New Roman"/>
          <w:sz w:val="24"/>
          <w:szCs w:val="24"/>
        </w:rPr>
        <w:t>d</w:t>
      </w:r>
      <w:r w:rsidRPr="00A11B6C">
        <w:rPr>
          <w:rFonts w:ascii="Times New Roman" w:hAnsi="Times New Roman" w:cs="Times New Roman"/>
          <w:sz w:val="24"/>
          <w:szCs w:val="24"/>
        </w:rPr>
        <w:t xml:space="preserve"> </w:t>
      </w:r>
      <w:r w:rsidR="00E9751A" w:rsidRPr="00A11B6C">
        <w:rPr>
          <w:rFonts w:ascii="Times New Roman" w:hAnsi="Times New Roman" w:cs="Times New Roman"/>
          <w:sz w:val="24"/>
          <w:szCs w:val="24"/>
        </w:rPr>
        <w:t xml:space="preserve">data from </w:t>
      </w:r>
      <w:r w:rsidR="00E22D57" w:rsidRPr="00A11B6C">
        <w:rPr>
          <w:rFonts w:ascii="Times New Roman" w:hAnsi="Times New Roman" w:cs="Times New Roman"/>
          <w:sz w:val="24"/>
          <w:szCs w:val="24"/>
        </w:rPr>
        <w:t xml:space="preserve">the </w:t>
      </w:r>
      <w:r w:rsidR="0092078C" w:rsidRPr="00A11B6C">
        <w:rPr>
          <w:rFonts w:ascii="Times New Roman" w:hAnsi="Times New Roman" w:cs="Times New Roman"/>
          <w:sz w:val="24"/>
          <w:szCs w:val="24"/>
        </w:rPr>
        <w:t xml:space="preserve">CMS </w:t>
      </w:r>
      <w:r w:rsidR="00E22D57" w:rsidRPr="00A11B6C">
        <w:rPr>
          <w:rFonts w:ascii="Times New Roman" w:hAnsi="Times New Roman" w:cs="Times New Roman"/>
          <w:sz w:val="24"/>
          <w:szCs w:val="24"/>
        </w:rPr>
        <w:t>Medicare Current Beneficiary Survey</w:t>
      </w:r>
      <w:r w:rsidR="006958C2" w:rsidRPr="00A11B6C">
        <w:rPr>
          <w:rFonts w:ascii="Times New Roman" w:hAnsi="Times New Roman" w:cs="Times New Roman"/>
          <w:sz w:val="24"/>
          <w:szCs w:val="24"/>
        </w:rPr>
        <w:t xml:space="preserve"> (MCBS)</w:t>
      </w:r>
      <w:r w:rsidR="00E22D57" w:rsidRPr="00A11B6C">
        <w:rPr>
          <w:rFonts w:ascii="Times New Roman" w:hAnsi="Times New Roman" w:cs="Times New Roman"/>
          <w:sz w:val="24"/>
          <w:szCs w:val="24"/>
        </w:rPr>
        <w:t xml:space="preserve"> Public Use Files </w:t>
      </w:r>
      <w:r w:rsidR="00E9751A" w:rsidRPr="00A11B6C">
        <w:rPr>
          <w:rFonts w:ascii="Times New Roman" w:hAnsi="Times New Roman" w:cs="Times New Roman"/>
          <w:sz w:val="24"/>
          <w:szCs w:val="24"/>
        </w:rPr>
        <w:t xml:space="preserve">spanning </w:t>
      </w:r>
      <w:r w:rsidR="00E22D57" w:rsidRPr="00A11B6C">
        <w:rPr>
          <w:rFonts w:ascii="Times New Roman" w:hAnsi="Times New Roman" w:cs="Times New Roman"/>
          <w:sz w:val="24"/>
          <w:szCs w:val="24"/>
        </w:rPr>
        <w:t>201</w:t>
      </w:r>
      <w:r w:rsidR="004D3680" w:rsidRPr="00A11B6C">
        <w:rPr>
          <w:rFonts w:ascii="Times New Roman" w:hAnsi="Times New Roman" w:cs="Times New Roman"/>
          <w:sz w:val="24"/>
          <w:szCs w:val="24"/>
        </w:rPr>
        <w:t>5</w:t>
      </w:r>
      <w:r w:rsidR="00E22D57" w:rsidRPr="00A11B6C">
        <w:rPr>
          <w:rFonts w:ascii="Times New Roman" w:hAnsi="Times New Roman" w:cs="Times New Roman"/>
          <w:sz w:val="24"/>
          <w:szCs w:val="24"/>
        </w:rPr>
        <w:t xml:space="preserve"> to 202</w:t>
      </w:r>
      <w:r w:rsidR="009D33DB" w:rsidRPr="00A11B6C">
        <w:rPr>
          <w:rFonts w:ascii="Times New Roman" w:hAnsi="Times New Roman" w:cs="Times New Roman"/>
          <w:sz w:val="24"/>
          <w:szCs w:val="24"/>
        </w:rPr>
        <w:t>2</w:t>
      </w:r>
      <w:r w:rsidR="00467173" w:rsidRPr="00A11B6C">
        <w:rPr>
          <w:rFonts w:ascii="Times New Roman" w:hAnsi="Times New Roman" w:cs="Times New Roman"/>
          <w:sz w:val="24"/>
          <w:szCs w:val="24"/>
        </w:rPr>
        <w:t>.</w:t>
      </w:r>
      <w:r w:rsidR="00E22D57" w:rsidRPr="00A11B6C">
        <w:rPr>
          <w:rFonts w:ascii="Times New Roman" w:hAnsi="Times New Roman" w:cs="Times New Roman"/>
          <w:sz w:val="24"/>
          <w:szCs w:val="24"/>
        </w:rPr>
        <w:t xml:space="preserve"> </w:t>
      </w:r>
      <w:r w:rsidR="003D5342" w:rsidRPr="00A11B6C">
        <w:rPr>
          <w:rFonts w:ascii="Times New Roman" w:hAnsi="Times New Roman" w:cs="Times New Roman"/>
          <w:sz w:val="24"/>
          <w:szCs w:val="24"/>
        </w:rPr>
        <w:t xml:space="preserve">The MCBS </w:t>
      </w:r>
      <w:r w:rsidR="00EA0DF1" w:rsidRPr="00A11B6C">
        <w:rPr>
          <w:rFonts w:ascii="Times New Roman" w:hAnsi="Times New Roman" w:cs="Times New Roman"/>
          <w:sz w:val="24"/>
          <w:szCs w:val="24"/>
        </w:rPr>
        <w:t>include</w:t>
      </w:r>
      <w:r w:rsidR="003D5342" w:rsidRPr="00A11B6C">
        <w:rPr>
          <w:rFonts w:ascii="Times New Roman" w:hAnsi="Times New Roman" w:cs="Times New Roman"/>
          <w:sz w:val="24"/>
          <w:szCs w:val="24"/>
        </w:rPr>
        <w:t xml:space="preserve">s both TM and MA beneficiaries aged 65 and older, as well as beneficiaries under 65 with certain disabling conditions residing in the continental United States. It </w:t>
      </w:r>
      <w:r w:rsidR="00184982" w:rsidRPr="00A11B6C">
        <w:rPr>
          <w:rFonts w:ascii="Times New Roman" w:hAnsi="Times New Roman" w:cs="Times New Roman"/>
          <w:sz w:val="24"/>
          <w:szCs w:val="24"/>
        </w:rPr>
        <w:t xml:space="preserve">provides rich information on beneficiaries’ </w:t>
      </w:r>
      <w:r w:rsidR="003B4758" w:rsidRPr="00A11B6C">
        <w:rPr>
          <w:rFonts w:ascii="Times New Roman" w:hAnsi="Times New Roman" w:cs="Times New Roman"/>
          <w:sz w:val="24"/>
          <w:szCs w:val="24"/>
        </w:rPr>
        <w:t>care</w:t>
      </w:r>
      <w:r w:rsidR="00184982" w:rsidRPr="00A11B6C">
        <w:rPr>
          <w:rFonts w:ascii="Times New Roman" w:hAnsi="Times New Roman" w:cs="Times New Roman"/>
          <w:sz w:val="24"/>
          <w:szCs w:val="24"/>
        </w:rPr>
        <w:t xml:space="preserve"> experiences related to access to services and the obstacles encountere</w:t>
      </w:r>
      <w:r w:rsidR="001D6565" w:rsidRPr="00A11B6C">
        <w:rPr>
          <w:rFonts w:ascii="Times New Roman" w:hAnsi="Times New Roman" w:cs="Times New Roman"/>
          <w:sz w:val="24"/>
          <w:szCs w:val="24"/>
        </w:rPr>
        <w:t>d.</w:t>
      </w:r>
      <w:r w:rsidR="001D342B" w:rsidRPr="00A11B6C">
        <w:rPr>
          <w:rFonts w:ascii="Times New Roman" w:hAnsi="Times New Roman" w:cs="Times New Roman"/>
          <w:sz w:val="24"/>
          <w:szCs w:val="24"/>
        </w:rPr>
        <w:t xml:space="preserve"> </w:t>
      </w:r>
      <w:r w:rsidR="0028765D" w:rsidRPr="00A11B6C">
        <w:rPr>
          <w:rFonts w:ascii="Times New Roman" w:hAnsi="Times New Roman" w:cs="Times New Roman"/>
          <w:sz w:val="24"/>
          <w:szCs w:val="24"/>
        </w:rPr>
        <w:t>Our main sample focus</w:t>
      </w:r>
      <w:r w:rsidR="00A040A1" w:rsidRPr="00A11B6C">
        <w:rPr>
          <w:rFonts w:ascii="Times New Roman" w:hAnsi="Times New Roman" w:cs="Times New Roman"/>
          <w:sz w:val="24"/>
          <w:szCs w:val="24"/>
        </w:rPr>
        <w:t>ed</w:t>
      </w:r>
      <w:r w:rsidR="0028765D" w:rsidRPr="00A11B6C">
        <w:rPr>
          <w:rFonts w:ascii="Times New Roman" w:hAnsi="Times New Roman" w:cs="Times New Roman"/>
          <w:sz w:val="24"/>
          <w:szCs w:val="24"/>
        </w:rPr>
        <w:t xml:space="preserve"> on beneficiaries </w:t>
      </w:r>
      <w:r w:rsidR="00261E3C" w:rsidRPr="00A11B6C">
        <w:rPr>
          <w:rFonts w:ascii="Times New Roman" w:hAnsi="Times New Roman" w:cs="Times New Roman"/>
          <w:sz w:val="24"/>
          <w:szCs w:val="24"/>
        </w:rPr>
        <w:t xml:space="preserve">enrolled </w:t>
      </w:r>
      <w:r w:rsidR="0028765D" w:rsidRPr="00A11B6C">
        <w:rPr>
          <w:rFonts w:ascii="Times New Roman" w:hAnsi="Times New Roman" w:cs="Times New Roman"/>
          <w:sz w:val="24"/>
          <w:szCs w:val="24"/>
        </w:rPr>
        <w:t xml:space="preserve">in any MA plan. To </w:t>
      </w:r>
      <w:r w:rsidR="00A76589" w:rsidRPr="00A11B6C">
        <w:rPr>
          <w:rFonts w:ascii="Times New Roman" w:hAnsi="Times New Roman" w:cs="Times New Roman"/>
          <w:sz w:val="24"/>
          <w:szCs w:val="24"/>
        </w:rPr>
        <w:t>implement the empirical strategy outlined below</w:t>
      </w:r>
      <w:r w:rsidR="0028765D" w:rsidRPr="00A11B6C">
        <w:rPr>
          <w:rFonts w:ascii="Times New Roman" w:hAnsi="Times New Roman" w:cs="Times New Roman"/>
          <w:sz w:val="24"/>
          <w:szCs w:val="24"/>
        </w:rPr>
        <w:t xml:space="preserve">, </w:t>
      </w:r>
      <w:r w:rsidR="006A0C64" w:rsidRPr="00A11B6C">
        <w:rPr>
          <w:rFonts w:ascii="Times New Roman" w:hAnsi="Times New Roman" w:cs="Times New Roman"/>
          <w:sz w:val="24"/>
          <w:szCs w:val="24"/>
        </w:rPr>
        <w:t>our sample include</w:t>
      </w:r>
      <w:r w:rsidR="00A040A1" w:rsidRPr="00A11B6C">
        <w:rPr>
          <w:rFonts w:ascii="Times New Roman" w:hAnsi="Times New Roman" w:cs="Times New Roman"/>
          <w:sz w:val="24"/>
          <w:szCs w:val="24"/>
        </w:rPr>
        <w:t>d</w:t>
      </w:r>
      <w:r w:rsidR="006A0C64" w:rsidRPr="00A11B6C">
        <w:rPr>
          <w:rFonts w:ascii="Times New Roman" w:hAnsi="Times New Roman" w:cs="Times New Roman"/>
          <w:sz w:val="24"/>
          <w:szCs w:val="24"/>
        </w:rPr>
        <w:t xml:space="preserve"> MA enrollees with ADRD as </w:t>
      </w:r>
      <w:r w:rsidR="00A91927" w:rsidRPr="00A11B6C">
        <w:rPr>
          <w:rFonts w:ascii="Times New Roman" w:hAnsi="Times New Roman" w:cs="Times New Roman"/>
          <w:sz w:val="24"/>
          <w:szCs w:val="24"/>
        </w:rPr>
        <w:t xml:space="preserve">the </w:t>
      </w:r>
      <w:r w:rsidR="006A0C64" w:rsidRPr="00A11B6C">
        <w:rPr>
          <w:rFonts w:ascii="Times New Roman" w:hAnsi="Times New Roman" w:cs="Times New Roman"/>
          <w:sz w:val="24"/>
          <w:szCs w:val="24"/>
        </w:rPr>
        <w:t xml:space="preserve">treatment group, and MA enrollees without ADRD but with stroke/brain hemorrhage, complete/partial paralysis, or Parkinson’s disease as </w:t>
      </w:r>
      <w:r w:rsidR="00A91927" w:rsidRPr="00A11B6C">
        <w:rPr>
          <w:rFonts w:ascii="Times New Roman" w:hAnsi="Times New Roman" w:cs="Times New Roman"/>
          <w:sz w:val="24"/>
          <w:szCs w:val="24"/>
        </w:rPr>
        <w:t xml:space="preserve">the </w:t>
      </w:r>
      <w:r w:rsidR="006A0C64" w:rsidRPr="00A11B6C">
        <w:rPr>
          <w:rFonts w:ascii="Times New Roman" w:hAnsi="Times New Roman" w:cs="Times New Roman"/>
          <w:sz w:val="24"/>
          <w:szCs w:val="24"/>
        </w:rPr>
        <w:t xml:space="preserve">control group. </w:t>
      </w:r>
      <w:r w:rsidR="00CC6E35" w:rsidRPr="00A11B6C">
        <w:rPr>
          <w:rFonts w:ascii="Times New Roman" w:hAnsi="Times New Roman" w:cs="Times New Roman"/>
          <w:sz w:val="24"/>
          <w:szCs w:val="24"/>
        </w:rPr>
        <w:t xml:space="preserve">These </w:t>
      </w:r>
      <w:r w:rsidR="00C94C3D" w:rsidRPr="00A11B6C">
        <w:rPr>
          <w:rFonts w:ascii="Times New Roman" w:hAnsi="Times New Roman" w:cs="Times New Roman"/>
          <w:sz w:val="24"/>
          <w:szCs w:val="24"/>
        </w:rPr>
        <w:t xml:space="preserve">control group </w:t>
      </w:r>
      <w:r w:rsidR="00CC6E35" w:rsidRPr="00A11B6C">
        <w:rPr>
          <w:rFonts w:ascii="Times New Roman" w:hAnsi="Times New Roman" w:cs="Times New Roman"/>
          <w:sz w:val="24"/>
          <w:szCs w:val="24"/>
        </w:rPr>
        <w:t xml:space="preserve">conditions </w:t>
      </w:r>
      <w:r w:rsidR="00A040A1" w:rsidRPr="00A11B6C">
        <w:rPr>
          <w:rFonts w:ascii="Times New Roman" w:hAnsi="Times New Roman" w:cs="Times New Roman"/>
          <w:sz w:val="24"/>
          <w:szCs w:val="24"/>
        </w:rPr>
        <w:t>were</w:t>
      </w:r>
      <w:r w:rsidR="003E1C4C" w:rsidRPr="00A11B6C">
        <w:rPr>
          <w:rFonts w:ascii="Times New Roman" w:hAnsi="Times New Roman" w:cs="Times New Roman"/>
          <w:sz w:val="24"/>
          <w:szCs w:val="24"/>
        </w:rPr>
        <w:t xml:space="preserve"> </w:t>
      </w:r>
      <w:r w:rsidR="00A91927" w:rsidRPr="00A11B6C">
        <w:rPr>
          <w:rFonts w:ascii="Times New Roman" w:hAnsi="Times New Roman" w:cs="Times New Roman"/>
          <w:sz w:val="24"/>
          <w:szCs w:val="24"/>
        </w:rPr>
        <w:t>selected</w:t>
      </w:r>
      <w:r w:rsidR="00CC6E35" w:rsidRPr="00A11B6C">
        <w:rPr>
          <w:rFonts w:ascii="Times New Roman" w:hAnsi="Times New Roman" w:cs="Times New Roman"/>
          <w:sz w:val="24"/>
          <w:szCs w:val="24"/>
        </w:rPr>
        <w:t xml:space="preserve"> </w:t>
      </w:r>
      <w:r w:rsidR="006A0C64" w:rsidRPr="00A11B6C">
        <w:rPr>
          <w:rFonts w:ascii="Times New Roman" w:hAnsi="Times New Roman" w:cs="Times New Roman"/>
          <w:sz w:val="24"/>
          <w:szCs w:val="24"/>
        </w:rPr>
        <w:t>because</w:t>
      </w:r>
      <w:r w:rsidR="0028765D" w:rsidRPr="00A11B6C">
        <w:rPr>
          <w:rFonts w:ascii="Times New Roman" w:hAnsi="Times New Roman" w:cs="Times New Roman"/>
          <w:sz w:val="24"/>
          <w:szCs w:val="24"/>
        </w:rPr>
        <w:t xml:space="preserve">, </w:t>
      </w:r>
      <w:proofErr w:type="gramStart"/>
      <w:r w:rsidR="006A0C64" w:rsidRPr="00A11B6C">
        <w:rPr>
          <w:rFonts w:ascii="Times New Roman" w:hAnsi="Times New Roman" w:cs="Times New Roman"/>
          <w:sz w:val="24"/>
          <w:szCs w:val="24"/>
        </w:rPr>
        <w:t>similar to</w:t>
      </w:r>
      <w:proofErr w:type="gramEnd"/>
      <w:r w:rsidR="0028765D" w:rsidRPr="00A11B6C">
        <w:rPr>
          <w:rFonts w:ascii="Times New Roman" w:hAnsi="Times New Roman" w:cs="Times New Roman"/>
          <w:sz w:val="24"/>
          <w:szCs w:val="24"/>
        </w:rPr>
        <w:t xml:space="preserve"> ADRD,</w:t>
      </w:r>
      <w:r w:rsidR="00CC6E35" w:rsidRPr="00A11B6C">
        <w:rPr>
          <w:rFonts w:ascii="Times New Roman" w:hAnsi="Times New Roman" w:cs="Times New Roman"/>
          <w:sz w:val="24"/>
          <w:szCs w:val="24"/>
        </w:rPr>
        <w:t xml:space="preserve"> they </w:t>
      </w:r>
      <w:r w:rsidR="00CC3F46" w:rsidRPr="00A11B6C">
        <w:rPr>
          <w:rFonts w:ascii="Times New Roman" w:hAnsi="Times New Roman" w:cs="Times New Roman"/>
          <w:sz w:val="24"/>
          <w:szCs w:val="24"/>
        </w:rPr>
        <w:t xml:space="preserve">often require </w:t>
      </w:r>
      <w:r w:rsidR="00571DCD" w:rsidRPr="00A11B6C">
        <w:rPr>
          <w:rFonts w:ascii="Times New Roman" w:hAnsi="Times New Roman" w:cs="Times New Roman"/>
          <w:sz w:val="24"/>
          <w:szCs w:val="24"/>
        </w:rPr>
        <w:t>specialized</w:t>
      </w:r>
      <w:r w:rsidR="00CC3F46" w:rsidRPr="00A11B6C">
        <w:rPr>
          <w:rFonts w:ascii="Times New Roman" w:hAnsi="Times New Roman" w:cs="Times New Roman"/>
          <w:sz w:val="24"/>
          <w:szCs w:val="24"/>
        </w:rPr>
        <w:t xml:space="preserve"> neurological care</w:t>
      </w:r>
      <w:r w:rsidR="00353854" w:rsidRPr="00A11B6C">
        <w:rPr>
          <w:rFonts w:ascii="Times New Roman" w:hAnsi="Times New Roman" w:cs="Times New Roman"/>
          <w:sz w:val="24"/>
          <w:szCs w:val="24"/>
        </w:rPr>
        <w:t xml:space="preserve"> and </w:t>
      </w:r>
      <w:r w:rsidR="00C06318" w:rsidRPr="00A11B6C">
        <w:rPr>
          <w:rFonts w:ascii="Times New Roman" w:hAnsi="Times New Roman" w:cs="Times New Roman"/>
          <w:sz w:val="24"/>
          <w:szCs w:val="24"/>
        </w:rPr>
        <w:t xml:space="preserve">are </w:t>
      </w:r>
      <w:r w:rsidR="00353854" w:rsidRPr="00A11B6C">
        <w:rPr>
          <w:rFonts w:ascii="Times New Roman" w:hAnsi="Times New Roman" w:cs="Times New Roman"/>
          <w:sz w:val="24"/>
          <w:szCs w:val="24"/>
        </w:rPr>
        <w:t xml:space="preserve">therefore more comparable to the treatment group </w:t>
      </w:r>
      <w:r w:rsidR="006D2DA2" w:rsidRPr="00A11B6C">
        <w:rPr>
          <w:rFonts w:ascii="Times New Roman" w:hAnsi="Times New Roman" w:cs="Times New Roman"/>
          <w:sz w:val="24"/>
          <w:szCs w:val="24"/>
        </w:rPr>
        <w:t>with respect to patterns of</w:t>
      </w:r>
      <w:r w:rsidR="00CC3F46" w:rsidRPr="00A11B6C">
        <w:rPr>
          <w:rFonts w:ascii="Times New Roman" w:hAnsi="Times New Roman" w:cs="Times New Roman"/>
          <w:sz w:val="24"/>
          <w:szCs w:val="24"/>
        </w:rPr>
        <w:t xml:space="preserve"> health</w:t>
      </w:r>
      <w:r w:rsidR="00C206C5" w:rsidRPr="00A11B6C">
        <w:rPr>
          <w:rFonts w:ascii="Times New Roman" w:hAnsi="Times New Roman" w:cs="Times New Roman"/>
          <w:sz w:val="24"/>
          <w:szCs w:val="24"/>
        </w:rPr>
        <w:t xml:space="preserve"> </w:t>
      </w:r>
      <w:r w:rsidR="00CC3F46" w:rsidRPr="00A11B6C">
        <w:rPr>
          <w:rFonts w:ascii="Times New Roman" w:hAnsi="Times New Roman" w:cs="Times New Roman"/>
          <w:sz w:val="24"/>
          <w:szCs w:val="24"/>
        </w:rPr>
        <w:t xml:space="preserve">care utilization. </w:t>
      </w:r>
      <w:r w:rsidR="00F2195D" w:rsidRPr="00A11B6C">
        <w:rPr>
          <w:rFonts w:ascii="Times New Roman" w:hAnsi="Times New Roman" w:cs="Times New Roman"/>
          <w:sz w:val="24"/>
          <w:szCs w:val="24"/>
        </w:rPr>
        <w:t>U</w:t>
      </w:r>
      <w:r w:rsidR="00CC3F46" w:rsidRPr="00A11B6C">
        <w:rPr>
          <w:rFonts w:ascii="Times New Roman" w:hAnsi="Times New Roman" w:cs="Times New Roman"/>
          <w:sz w:val="24"/>
          <w:szCs w:val="24"/>
        </w:rPr>
        <w:t xml:space="preserve">nlike ADRD, these conditions were already included in the risk-adjustment model </w:t>
      </w:r>
      <w:r w:rsidR="00D133C0" w:rsidRPr="00A11B6C">
        <w:rPr>
          <w:rFonts w:ascii="Times New Roman" w:hAnsi="Times New Roman" w:cs="Times New Roman"/>
          <w:sz w:val="24"/>
          <w:szCs w:val="24"/>
        </w:rPr>
        <w:t>before</w:t>
      </w:r>
      <w:r w:rsidR="00CC3F46" w:rsidRPr="00A11B6C">
        <w:rPr>
          <w:rFonts w:ascii="Times New Roman" w:hAnsi="Times New Roman" w:cs="Times New Roman"/>
          <w:sz w:val="24"/>
          <w:szCs w:val="24"/>
        </w:rPr>
        <w:t xml:space="preserve"> 2020.</w:t>
      </w:r>
      <w:r w:rsidR="00CC3F46" w:rsidRPr="00A11B6C" w:rsidDel="00CC3F46">
        <w:rPr>
          <w:rFonts w:ascii="Times New Roman" w:hAnsi="Times New Roman" w:cs="Times New Roman"/>
          <w:sz w:val="24"/>
          <w:szCs w:val="24"/>
        </w:rPr>
        <w:t xml:space="preserve"> </w:t>
      </w:r>
    </w:p>
    <w:p w14:paraId="6D8DFAEC" w14:textId="77777777" w:rsidR="00087D7E" w:rsidRDefault="00087D7E" w:rsidP="00087D7E">
      <w:pPr>
        <w:spacing w:after="0" w:line="480" w:lineRule="auto"/>
        <w:jc w:val="both"/>
        <w:rPr>
          <w:rFonts w:ascii="Times New Roman" w:hAnsi="Times New Roman" w:cs="Times New Roman"/>
          <w:sz w:val="24"/>
          <w:szCs w:val="24"/>
        </w:rPr>
      </w:pPr>
    </w:p>
    <w:p w14:paraId="1256E57F" w14:textId="49B519CC" w:rsidR="00365C1E" w:rsidRPr="00A11B6C" w:rsidRDefault="00307533" w:rsidP="00087D7E">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lastRenderedPageBreak/>
        <w:t>To address potential confounding due to plan-switching behavior following the inclusion of ADRD in the risk adjustment model in 2020</w:t>
      </w:r>
      <w:r w:rsidR="00E168A0" w:rsidRPr="00A11B6C">
        <w:rPr>
          <w:rFonts w:ascii="Times New Roman" w:hAnsi="Times New Roman" w:cs="Times New Roman"/>
          <w:sz w:val="24"/>
          <w:szCs w:val="24"/>
        </w:rPr>
        <w:t>, we exclude</w:t>
      </w:r>
      <w:r w:rsidR="00A040A1" w:rsidRPr="00A11B6C">
        <w:rPr>
          <w:rFonts w:ascii="Times New Roman" w:hAnsi="Times New Roman" w:cs="Times New Roman"/>
          <w:sz w:val="24"/>
          <w:szCs w:val="24"/>
        </w:rPr>
        <w:t>d</w:t>
      </w:r>
      <w:r w:rsidR="00E168A0" w:rsidRPr="00A11B6C">
        <w:rPr>
          <w:rFonts w:ascii="Times New Roman" w:hAnsi="Times New Roman" w:cs="Times New Roman"/>
          <w:sz w:val="24"/>
          <w:szCs w:val="24"/>
        </w:rPr>
        <w:t xml:space="preserve"> beneficiaries with only partial </w:t>
      </w:r>
      <w:r w:rsidR="004163B4" w:rsidRPr="00A11B6C">
        <w:rPr>
          <w:rFonts w:ascii="Times New Roman" w:hAnsi="Times New Roman" w:cs="Times New Roman"/>
          <w:sz w:val="24"/>
          <w:szCs w:val="24"/>
        </w:rPr>
        <w:t xml:space="preserve">MA </w:t>
      </w:r>
      <w:r w:rsidR="00E168A0" w:rsidRPr="00A11B6C">
        <w:rPr>
          <w:rFonts w:ascii="Times New Roman" w:hAnsi="Times New Roman" w:cs="Times New Roman"/>
          <w:sz w:val="24"/>
          <w:szCs w:val="24"/>
        </w:rPr>
        <w:t xml:space="preserve">enrollment in the </w:t>
      </w:r>
      <w:r w:rsidR="00502E1A" w:rsidRPr="00A11B6C">
        <w:rPr>
          <w:rFonts w:ascii="Times New Roman" w:hAnsi="Times New Roman" w:cs="Times New Roman"/>
          <w:sz w:val="24"/>
          <w:szCs w:val="24"/>
        </w:rPr>
        <w:t xml:space="preserve">year preceding </w:t>
      </w:r>
      <w:r w:rsidR="00E168A0" w:rsidRPr="00A11B6C">
        <w:rPr>
          <w:rFonts w:ascii="Times New Roman" w:hAnsi="Times New Roman" w:cs="Times New Roman"/>
          <w:sz w:val="24"/>
          <w:szCs w:val="24"/>
        </w:rPr>
        <w:t>the survey</w:t>
      </w:r>
      <w:r w:rsidR="00EB3C0B" w:rsidRPr="00A11B6C">
        <w:rPr>
          <w:rFonts w:ascii="Times New Roman" w:hAnsi="Times New Roman" w:cs="Times New Roman"/>
          <w:sz w:val="24"/>
          <w:szCs w:val="24"/>
        </w:rPr>
        <w:t xml:space="preserve">. </w:t>
      </w:r>
      <w:r w:rsidR="003C1C87" w:rsidRPr="00A11B6C">
        <w:rPr>
          <w:rFonts w:ascii="Times New Roman" w:hAnsi="Times New Roman" w:cs="Times New Roman"/>
          <w:sz w:val="24"/>
          <w:szCs w:val="24"/>
        </w:rPr>
        <w:t>We also exclude</w:t>
      </w:r>
      <w:r w:rsidR="00A040A1" w:rsidRPr="00A11B6C">
        <w:rPr>
          <w:rFonts w:ascii="Times New Roman" w:hAnsi="Times New Roman" w:cs="Times New Roman"/>
          <w:sz w:val="24"/>
          <w:szCs w:val="24"/>
        </w:rPr>
        <w:t>d</w:t>
      </w:r>
      <w:r w:rsidR="003C1C87" w:rsidRPr="00A11B6C">
        <w:rPr>
          <w:rFonts w:ascii="Times New Roman" w:hAnsi="Times New Roman" w:cs="Times New Roman"/>
          <w:sz w:val="24"/>
          <w:szCs w:val="24"/>
        </w:rPr>
        <w:t xml:space="preserve"> veterans. </w:t>
      </w:r>
      <w:r w:rsidR="002C5862" w:rsidRPr="00A11B6C">
        <w:rPr>
          <w:rFonts w:ascii="Times New Roman" w:hAnsi="Times New Roman" w:cs="Times New Roman"/>
          <w:sz w:val="24"/>
          <w:szCs w:val="24"/>
        </w:rPr>
        <w:t>Our final sample co</w:t>
      </w:r>
      <w:r w:rsidR="00B52CCB" w:rsidRPr="00A11B6C">
        <w:rPr>
          <w:rFonts w:ascii="Times New Roman" w:hAnsi="Times New Roman" w:cs="Times New Roman"/>
          <w:sz w:val="24"/>
          <w:szCs w:val="24"/>
        </w:rPr>
        <w:t>mprise</w:t>
      </w:r>
      <w:r w:rsidR="00A040A1" w:rsidRPr="00A11B6C">
        <w:rPr>
          <w:rFonts w:ascii="Times New Roman" w:hAnsi="Times New Roman" w:cs="Times New Roman"/>
          <w:sz w:val="24"/>
          <w:szCs w:val="24"/>
        </w:rPr>
        <w:t>d</w:t>
      </w:r>
      <w:r w:rsidR="002C5862" w:rsidRPr="00A11B6C">
        <w:rPr>
          <w:rFonts w:ascii="Times New Roman" w:hAnsi="Times New Roman" w:cs="Times New Roman"/>
          <w:sz w:val="24"/>
          <w:szCs w:val="24"/>
        </w:rPr>
        <w:t xml:space="preserve"> 5,353 MA beneficiaries with complete data on all covariates</w:t>
      </w:r>
      <w:r w:rsidR="0096382D" w:rsidRPr="00A11B6C">
        <w:rPr>
          <w:rFonts w:ascii="Times New Roman" w:hAnsi="Times New Roman" w:cs="Times New Roman"/>
          <w:sz w:val="24"/>
          <w:szCs w:val="24"/>
        </w:rPr>
        <w:t xml:space="preserve"> (</w:t>
      </w:r>
      <w:r w:rsidR="003E3EE6">
        <w:rPr>
          <w:rFonts w:ascii="Times New Roman" w:hAnsi="Times New Roman" w:cs="Times New Roman"/>
          <w:sz w:val="24"/>
          <w:szCs w:val="24"/>
        </w:rPr>
        <w:t>s</w:t>
      </w:r>
      <w:r w:rsidR="0096382D" w:rsidRPr="00A11B6C">
        <w:rPr>
          <w:rFonts w:ascii="Times New Roman" w:hAnsi="Times New Roman" w:cs="Times New Roman"/>
          <w:sz w:val="24"/>
          <w:szCs w:val="24"/>
        </w:rPr>
        <w:t xml:space="preserve">ee </w:t>
      </w:r>
      <w:r w:rsidR="0096382D" w:rsidRPr="00A11B6C">
        <w:rPr>
          <w:rFonts w:ascii="Times New Roman" w:hAnsi="Times New Roman" w:cs="Times New Roman"/>
          <w:b/>
          <w:bCs/>
          <w:sz w:val="24"/>
          <w:szCs w:val="24"/>
        </w:rPr>
        <w:t xml:space="preserve">Figure 1 </w:t>
      </w:r>
      <w:r w:rsidR="0096382D" w:rsidRPr="00A11B6C">
        <w:rPr>
          <w:rFonts w:ascii="Times New Roman" w:hAnsi="Times New Roman" w:cs="Times New Roman"/>
          <w:sz w:val="24"/>
          <w:szCs w:val="24"/>
        </w:rPr>
        <w:t xml:space="preserve">for </w:t>
      </w:r>
      <w:r w:rsidR="00B52CCB" w:rsidRPr="00A11B6C">
        <w:rPr>
          <w:rFonts w:ascii="Times New Roman" w:hAnsi="Times New Roman" w:cs="Times New Roman"/>
          <w:sz w:val="24"/>
          <w:szCs w:val="24"/>
        </w:rPr>
        <w:t xml:space="preserve">the </w:t>
      </w:r>
      <w:r w:rsidR="0096382D" w:rsidRPr="00A11B6C">
        <w:rPr>
          <w:rFonts w:ascii="Times New Roman" w:hAnsi="Times New Roman" w:cs="Times New Roman"/>
          <w:sz w:val="24"/>
          <w:szCs w:val="24"/>
        </w:rPr>
        <w:t>data process</w:t>
      </w:r>
      <w:r w:rsidR="00B52CCB" w:rsidRPr="00A11B6C">
        <w:rPr>
          <w:rFonts w:ascii="Times New Roman" w:hAnsi="Times New Roman" w:cs="Times New Roman"/>
          <w:sz w:val="24"/>
          <w:szCs w:val="24"/>
        </w:rPr>
        <w:t>ing</w:t>
      </w:r>
      <w:r w:rsidR="0096382D" w:rsidRPr="00A11B6C">
        <w:rPr>
          <w:rFonts w:ascii="Times New Roman" w:hAnsi="Times New Roman" w:cs="Times New Roman"/>
          <w:sz w:val="24"/>
          <w:szCs w:val="24"/>
        </w:rPr>
        <w:t xml:space="preserve"> flow)</w:t>
      </w:r>
      <w:r w:rsidR="00365C1E" w:rsidRPr="00A11B6C">
        <w:rPr>
          <w:rFonts w:ascii="Times New Roman" w:hAnsi="Times New Roman" w:cs="Times New Roman"/>
          <w:sz w:val="24"/>
          <w:szCs w:val="24"/>
        </w:rPr>
        <w:t xml:space="preserve">. </w:t>
      </w:r>
    </w:p>
    <w:p w14:paraId="0414ED87" w14:textId="77777777" w:rsidR="00087D7E" w:rsidRDefault="00087D7E" w:rsidP="00A11B6C">
      <w:pPr>
        <w:pStyle w:val="Heading3"/>
        <w:spacing w:before="0" w:after="0" w:line="480" w:lineRule="auto"/>
        <w:rPr>
          <w:rFonts w:cs="Times New Roman"/>
          <w:szCs w:val="24"/>
        </w:rPr>
      </w:pPr>
    </w:p>
    <w:p w14:paraId="65808367" w14:textId="77777777" w:rsidR="00087D7E" w:rsidRDefault="007B17A7" w:rsidP="00087D7E">
      <w:pPr>
        <w:pStyle w:val="Heading3"/>
        <w:spacing w:before="0" w:after="0" w:line="480" w:lineRule="auto"/>
        <w:rPr>
          <w:rFonts w:cs="Times New Roman"/>
          <w:b w:val="0"/>
          <w:bCs/>
          <w:i/>
          <w:iCs/>
          <w:szCs w:val="24"/>
        </w:rPr>
      </w:pPr>
      <w:r w:rsidRPr="00087D7E">
        <w:rPr>
          <w:rFonts w:cs="Times New Roman"/>
          <w:b w:val="0"/>
          <w:bCs/>
          <w:i/>
          <w:iCs/>
          <w:szCs w:val="24"/>
        </w:rPr>
        <w:t xml:space="preserve">Variables </w:t>
      </w:r>
    </w:p>
    <w:p w14:paraId="210F3B61" w14:textId="11FE57F1" w:rsidR="00C67F1B" w:rsidRDefault="00B97DF2" w:rsidP="00087D7E">
      <w:pPr>
        <w:pStyle w:val="Heading3"/>
        <w:spacing w:before="0" w:after="0" w:line="480" w:lineRule="auto"/>
        <w:rPr>
          <w:rFonts w:cs="Times New Roman"/>
          <w:b w:val="0"/>
          <w:bCs/>
          <w:szCs w:val="24"/>
        </w:rPr>
      </w:pPr>
      <w:r w:rsidRPr="00087D7E">
        <w:rPr>
          <w:rFonts w:cs="Times New Roman"/>
          <w:b w:val="0"/>
          <w:bCs/>
          <w:szCs w:val="24"/>
        </w:rPr>
        <w:t>We use</w:t>
      </w:r>
      <w:r w:rsidR="00A7632A" w:rsidRPr="00087D7E">
        <w:rPr>
          <w:rFonts w:cs="Times New Roman"/>
          <w:b w:val="0"/>
          <w:bCs/>
          <w:szCs w:val="24"/>
        </w:rPr>
        <w:t>d</w:t>
      </w:r>
      <w:r w:rsidRPr="00087D7E">
        <w:rPr>
          <w:rFonts w:cs="Times New Roman"/>
          <w:b w:val="0"/>
          <w:bCs/>
          <w:szCs w:val="24"/>
        </w:rPr>
        <w:t xml:space="preserve"> information regarding MA plan enrollment to define MA status.</w:t>
      </w:r>
      <w:r w:rsidR="00FF0F78" w:rsidRPr="00087D7E">
        <w:rPr>
          <w:rFonts w:cs="Times New Roman"/>
          <w:b w:val="0"/>
          <w:bCs/>
          <w:szCs w:val="24"/>
        </w:rPr>
        <w:t xml:space="preserve"> ADRD and conditions for </w:t>
      </w:r>
      <w:r w:rsidR="000F6609" w:rsidRPr="00087D7E">
        <w:rPr>
          <w:rFonts w:cs="Times New Roman"/>
          <w:b w:val="0"/>
          <w:bCs/>
          <w:szCs w:val="24"/>
        </w:rPr>
        <w:t xml:space="preserve">the </w:t>
      </w:r>
      <w:r w:rsidR="00FF0F78" w:rsidRPr="00087D7E">
        <w:rPr>
          <w:rFonts w:cs="Times New Roman"/>
          <w:b w:val="0"/>
          <w:bCs/>
          <w:szCs w:val="24"/>
        </w:rPr>
        <w:t>control group</w:t>
      </w:r>
      <w:r w:rsidR="00093E55" w:rsidRPr="00087D7E">
        <w:rPr>
          <w:rFonts w:cs="Times New Roman"/>
          <w:b w:val="0"/>
          <w:bCs/>
          <w:szCs w:val="24"/>
        </w:rPr>
        <w:t xml:space="preserve"> </w:t>
      </w:r>
      <w:r w:rsidR="00A7632A" w:rsidRPr="00087D7E">
        <w:rPr>
          <w:rFonts w:cs="Times New Roman"/>
          <w:b w:val="0"/>
          <w:bCs/>
          <w:szCs w:val="24"/>
        </w:rPr>
        <w:t>were</w:t>
      </w:r>
      <w:r w:rsidR="00FF0F78" w:rsidRPr="00087D7E">
        <w:rPr>
          <w:rFonts w:cs="Times New Roman"/>
          <w:b w:val="0"/>
          <w:bCs/>
          <w:szCs w:val="24"/>
        </w:rPr>
        <w:t xml:space="preserve"> identified via self-reports of whether a doctor or health professional ever diagnosed the individual with the condition.</w:t>
      </w:r>
      <w:r w:rsidR="00093E55" w:rsidRPr="00087D7E">
        <w:rPr>
          <w:rFonts w:cs="Times New Roman"/>
          <w:b w:val="0"/>
          <w:bCs/>
          <w:szCs w:val="24"/>
        </w:rPr>
        <w:t xml:space="preserve"> </w:t>
      </w:r>
      <w:r w:rsidR="00A170B1" w:rsidRPr="00087D7E">
        <w:rPr>
          <w:rFonts w:cs="Times New Roman"/>
          <w:b w:val="0"/>
          <w:bCs/>
          <w:szCs w:val="24"/>
        </w:rPr>
        <w:t xml:space="preserve">Due to data limitations, we </w:t>
      </w:r>
      <w:r w:rsidR="009D322E" w:rsidRPr="00087D7E">
        <w:rPr>
          <w:rFonts w:cs="Times New Roman"/>
          <w:b w:val="0"/>
          <w:bCs/>
          <w:szCs w:val="24"/>
        </w:rPr>
        <w:t xml:space="preserve">cannot </w:t>
      </w:r>
      <w:r w:rsidR="00A170B1" w:rsidRPr="00087D7E">
        <w:rPr>
          <w:rFonts w:cs="Times New Roman"/>
          <w:b w:val="0"/>
          <w:bCs/>
          <w:szCs w:val="24"/>
        </w:rPr>
        <w:t xml:space="preserve">ascertain the </w:t>
      </w:r>
      <w:r w:rsidR="00143669" w:rsidRPr="00087D7E">
        <w:rPr>
          <w:rFonts w:cs="Times New Roman"/>
          <w:b w:val="0"/>
          <w:bCs/>
          <w:szCs w:val="24"/>
        </w:rPr>
        <w:t xml:space="preserve">timing of </w:t>
      </w:r>
      <w:r w:rsidR="00A170B1" w:rsidRPr="00087D7E">
        <w:rPr>
          <w:rFonts w:cs="Times New Roman"/>
          <w:b w:val="0"/>
          <w:bCs/>
          <w:szCs w:val="24"/>
        </w:rPr>
        <w:t xml:space="preserve">diagnosis </w:t>
      </w:r>
      <w:r w:rsidR="00143669" w:rsidRPr="00087D7E">
        <w:rPr>
          <w:rFonts w:cs="Times New Roman"/>
          <w:b w:val="0"/>
          <w:bCs/>
          <w:szCs w:val="24"/>
        </w:rPr>
        <w:t xml:space="preserve">or </w:t>
      </w:r>
      <w:r w:rsidR="00A170B1" w:rsidRPr="00087D7E">
        <w:rPr>
          <w:rFonts w:cs="Times New Roman"/>
          <w:b w:val="0"/>
          <w:bCs/>
          <w:szCs w:val="24"/>
        </w:rPr>
        <w:t xml:space="preserve">the initial </w:t>
      </w:r>
      <w:r w:rsidR="00091290" w:rsidRPr="00087D7E">
        <w:rPr>
          <w:rFonts w:cs="Times New Roman"/>
          <w:b w:val="0"/>
          <w:bCs/>
          <w:szCs w:val="24"/>
        </w:rPr>
        <w:t xml:space="preserve">MA </w:t>
      </w:r>
      <w:r w:rsidR="00A170B1" w:rsidRPr="00087D7E">
        <w:rPr>
          <w:rFonts w:cs="Times New Roman"/>
          <w:b w:val="0"/>
          <w:bCs/>
          <w:szCs w:val="24"/>
        </w:rPr>
        <w:t xml:space="preserve">enrollment; </w:t>
      </w:r>
      <w:r w:rsidR="00376E96" w:rsidRPr="00087D7E">
        <w:rPr>
          <w:rFonts w:cs="Times New Roman"/>
          <w:b w:val="0"/>
          <w:bCs/>
          <w:szCs w:val="24"/>
        </w:rPr>
        <w:t>we discuss</w:t>
      </w:r>
      <w:r w:rsidR="00A7632A" w:rsidRPr="00087D7E">
        <w:rPr>
          <w:rFonts w:cs="Times New Roman"/>
          <w:b w:val="0"/>
          <w:bCs/>
          <w:szCs w:val="24"/>
        </w:rPr>
        <w:t>ed</w:t>
      </w:r>
      <w:r w:rsidR="00376E96" w:rsidRPr="00087D7E">
        <w:rPr>
          <w:rFonts w:cs="Times New Roman"/>
          <w:b w:val="0"/>
          <w:bCs/>
          <w:szCs w:val="24"/>
        </w:rPr>
        <w:t xml:space="preserve"> potential implications of this limitation in the Discussion section</w:t>
      </w:r>
      <w:r w:rsidR="00A170B1" w:rsidRPr="00087D7E">
        <w:rPr>
          <w:rFonts w:cs="Times New Roman"/>
          <w:b w:val="0"/>
          <w:bCs/>
          <w:szCs w:val="24"/>
        </w:rPr>
        <w:t>.</w:t>
      </w:r>
    </w:p>
    <w:p w14:paraId="3D11B7C0" w14:textId="77777777" w:rsidR="00087D7E" w:rsidRPr="00087D7E" w:rsidRDefault="00087D7E" w:rsidP="00087D7E"/>
    <w:p w14:paraId="0F4EE967" w14:textId="77777777" w:rsidR="00087D7E" w:rsidRDefault="008C01E4" w:rsidP="00087D7E">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We use</w:t>
      </w:r>
      <w:r w:rsidR="00A7632A" w:rsidRPr="00A11B6C">
        <w:rPr>
          <w:rFonts w:ascii="Times New Roman" w:hAnsi="Times New Roman" w:cs="Times New Roman"/>
          <w:sz w:val="24"/>
          <w:szCs w:val="24"/>
        </w:rPr>
        <w:t>d</w:t>
      </w:r>
      <w:r w:rsidRPr="00A11B6C">
        <w:rPr>
          <w:rFonts w:ascii="Times New Roman" w:hAnsi="Times New Roman" w:cs="Times New Roman"/>
          <w:sz w:val="24"/>
          <w:szCs w:val="24"/>
        </w:rPr>
        <w:t xml:space="preserve"> information on whether a respondent reported any </w:t>
      </w:r>
      <w:r w:rsidR="00826AE2" w:rsidRPr="00A11B6C">
        <w:rPr>
          <w:rFonts w:ascii="Times New Roman" w:hAnsi="Times New Roman" w:cs="Times New Roman"/>
          <w:sz w:val="24"/>
          <w:szCs w:val="24"/>
        </w:rPr>
        <w:t>trouble</w:t>
      </w:r>
      <w:r w:rsidRPr="00A11B6C">
        <w:rPr>
          <w:rFonts w:ascii="Times New Roman" w:hAnsi="Times New Roman" w:cs="Times New Roman"/>
          <w:sz w:val="24"/>
          <w:szCs w:val="24"/>
        </w:rPr>
        <w:t xml:space="preserve"> obtaining needed care to measure </w:t>
      </w:r>
      <w:r w:rsidR="00640569" w:rsidRPr="00A11B6C">
        <w:rPr>
          <w:rFonts w:ascii="Times New Roman" w:hAnsi="Times New Roman" w:cs="Times New Roman"/>
          <w:sz w:val="24"/>
          <w:szCs w:val="24"/>
        </w:rPr>
        <w:t>access</w:t>
      </w:r>
      <w:r w:rsidR="005F0FEA" w:rsidRPr="00A11B6C">
        <w:rPr>
          <w:rFonts w:ascii="Times New Roman" w:hAnsi="Times New Roman" w:cs="Times New Roman"/>
          <w:sz w:val="24"/>
          <w:szCs w:val="24"/>
        </w:rPr>
        <w:t>ibility of</w:t>
      </w:r>
      <w:r w:rsidR="00640569" w:rsidRPr="00A11B6C">
        <w:rPr>
          <w:rFonts w:ascii="Times New Roman" w:hAnsi="Times New Roman" w:cs="Times New Roman"/>
          <w:sz w:val="24"/>
          <w:szCs w:val="24"/>
        </w:rPr>
        <w:t xml:space="preserve"> needed care</w:t>
      </w:r>
      <w:r w:rsidRPr="00A11B6C">
        <w:rPr>
          <w:rFonts w:ascii="Times New Roman" w:hAnsi="Times New Roman" w:cs="Times New Roman"/>
          <w:sz w:val="24"/>
          <w:szCs w:val="24"/>
        </w:rPr>
        <w:t xml:space="preserve">. </w:t>
      </w:r>
      <w:r w:rsidR="00B05EB7" w:rsidRPr="00A11B6C">
        <w:rPr>
          <w:rFonts w:ascii="Times New Roman" w:hAnsi="Times New Roman" w:cs="Times New Roman"/>
          <w:sz w:val="24"/>
          <w:szCs w:val="24"/>
        </w:rPr>
        <w:t>We define</w:t>
      </w:r>
      <w:r w:rsidR="00A7632A" w:rsidRPr="00A11B6C">
        <w:rPr>
          <w:rFonts w:ascii="Times New Roman" w:hAnsi="Times New Roman" w:cs="Times New Roman"/>
          <w:sz w:val="24"/>
          <w:szCs w:val="24"/>
        </w:rPr>
        <w:t>d</w:t>
      </w:r>
      <w:r w:rsidR="00B05EB7" w:rsidRPr="00A11B6C">
        <w:rPr>
          <w:rFonts w:ascii="Times New Roman" w:hAnsi="Times New Roman" w:cs="Times New Roman"/>
          <w:sz w:val="24"/>
          <w:szCs w:val="24"/>
        </w:rPr>
        <w:t xml:space="preserve"> a respondent as experiencing a medical financial burden if they reported problems paying medical bills (available </w:t>
      </w:r>
      <w:r w:rsidR="00F55FAC" w:rsidRPr="00A11B6C">
        <w:rPr>
          <w:rFonts w:ascii="Times New Roman" w:hAnsi="Times New Roman" w:cs="Times New Roman"/>
          <w:sz w:val="24"/>
          <w:szCs w:val="24"/>
        </w:rPr>
        <w:t xml:space="preserve">since </w:t>
      </w:r>
      <w:r w:rsidR="00B05EB7" w:rsidRPr="00A11B6C">
        <w:rPr>
          <w:rFonts w:ascii="Times New Roman" w:hAnsi="Times New Roman" w:cs="Times New Roman"/>
          <w:sz w:val="24"/>
          <w:szCs w:val="24"/>
        </w:rPr>
        <w:t xml:space="preserve">2017) or expressed dissatisfaction with their out-of-pocket costs. </w:t>
      </w:r>
      <w:r w:rsidR="0082679E" w:rsidRPr="00A11B6C">
        <w:rPr>
          <w:rFonts w:ascii="Times New Roman" w:hAnsi="Times New Roman" w:cs="Times New Roman"/>
          <w:sz w:val="24"/>
          <w:szCs w:val="24"/>
        </w:rPr>
        <w:t xml:space="preserve">Additionally, we </w:t>
      </w:r>
      <w:r w:rsidR="00CC1FE3" w:rsidRPr="00A11B6C">
        <w:rPr>
          <w:rFonts w:ascii="Times New Roman" w:hAnsi="Times New Roman" w:cs="Times New Roman"/>
          <w:sz w:val="24"/>
          <w:szCs w:val="24"/>
        </w:rPr>
        <w:t>examine</w:t>
      </w:r>
      <w:r w:rsidR="00A7632A" w:rsidRPr="00A11B6C">
        <w:rPr>
          <w:rFonts w:ascii="Times New Roman" w:hAnsi="Times New Roman" w:cs="Times New Roman"/>
          <w:sz w:val="24"/>
          <w:szCs w:val="24"/>
        </w:rPr>
        <w:t>d</w:t>
      </w:r>
      <w:r w:rsidR="00CC1FE3" w:rsidRPr="00A11B6C">
        <w:rPr>
          <w:rFonts w:ascii="Times New Roman" w:hAnsi="Times New Roman" w:cs="Times New Roman"/>
          <w:sz w:val="24"/>
          <w:szCs w:val="24"/>
        </w:rPr>
        <w:t xml:space="preserve"> two </w:t>
      </w:r>
      <w:r w:rsidR="00826AE2" w:rsidRPr="00A11B6C">
        <w:rPr>
          <w:rFonts w:ascii="Times New Roman" w:hAnsi="Times New Roman" w:cs="Times New Roman"/>
          <w:sz w:val="24"/>
          <w:szCs w:val="24"/>
        </w:rPr>
        <w:t xml:space="preserve">binary </w:t>
      </w:r>
      <w:r w:rsidR="00CC1FE3" w:rsidRPr="00A11B6C">
        <w:rPr>
          <w:rFonts w:ascii="Times New Roman" w:hAnsi="Times New Roman" w:cs="Times New Roman"/>
          <w:sz w:val="24"/>
          <w:szCs w:val="24"/>
        </w:rPr>
        <w:t>measures of satisfaction with care: satisfaction with access to specialists</w:t>
      </w:r>
      <w:r w:rsidR="00826AE2" w:rsidRPr="00A11B6C">
        <w:rPr>
          <w:rFonts w:ascii="Times New Roman" w:hAnsi="Times New Roman" w:cs="Times New Roman"/>
          <w:sz w:val="24"/>
          <w:szCs w:val="24"/>
        </w:rPr>
        <w:t xml:space="preserve"> and </w:t>
      </w:r>
      <w:r w:rsidR="00CC1FE3" w:rsidRPr="00A11B6C">
        <w:rPr>
          <w:rFonts w:ascii="Times New Roman" w:hAnsi="Times New Roman" w:cs="Times New Roman"/>
          <w:sz w:val="24"/>
          <w:szCs w:val="24"/>
        </w:rPr>
        <w:t>satisfaction with the quality of care received</w:t>
      </w:r>
      <w:r w:rsidR="002A7173" w:rsidRPr="00A11B6C">
        <w:rPr>
          <w:rFonts w:ascii="Times New Roman" w:hAnsi="Times New Roman" w:cs="Times New Roman"/>
          <w:sz w:val="24"/>
          <w:szCs w:val="24"/>
        </w:rPr>
        <w:t>.</w:t>
      </w:r>
    </w:p>
    <w:p w14:paraId="3F538F07" w14:textId="77777777" w:rsidR="00087D7E" w:rsidRDefault="00087D7E" w:rsidP="00087D7E">
      <w:pPr>
        <w:spacing w:after="0" w:line="480" w:lineRule="auto"/>
        <w:jc w:val="both"/>
        <w:rPr>
          <w:rFonts w:ascii="Times New Roman" w:hAnsi="Times New Roman" w:cs="Times New Roman"/>
          <w:sz w:val="24"/>
          <w:szCs w:val="24"/>
        </w:rPr>
      </w:pPr>
    </w:p>
    <w:p w14:paraId="40A19716" w14:textId="615CC738" w:rsidR="00387EC1" w:rsidRPr="00A11B6C" w:rsidRDefault="00164B49" w:rsidP="00087D7E">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Covariates include</w:t>
      </w:r>
      <w:r w:rsidR="00A7632A" w:rsidRPr="00A11B6C">
        <w:rPr>
          <w:rFonts w:ascii="Times New Roman" w:hAnsi="Times New Roman" w:cs="Times New Roman"/>
          <w:sz w:val="24"/>
          <w:szCs w:val="24"/>
        </w:rPr>
        <w:t>d</w:t>
      </w:r>
      <w:r w:rsidRPr="00A11B6C">
        <w:rPr>
          <w:rFonts w:ascii="Times New Roman" w:hAnsi="Times New Roman" w:cs="Times New Roman"/>
          <w:sz w:val="24"/>
          <w:szCs w:val="24"/>
        </w:rPr>
        <w:t xml:space="preserve"> demographic variables (age, </w:t>
      </w:r>
      <w:r w:rsidR="00A266BB" w:rsidRPr="00A11B6C">
        <w:rPr>
          <w:rFonts w:ascii="Times New Roman" w:hAnsi="Times New Roman" w:cs="Times New Roman"/>
          <w:sz w:val="24"/>
          <w:szCs w:val="24"/>
        </w:rPr>
        <w:t>gender</w:t>
      </w:r>
      <w:r w:rsidRPr="00A11B6C">
        <w:rPr>
          <w:rFonts w:ascii="Times New Roman" w:hAnsi="Times New Roman" w:cs="Times New Roman"/>
          <w:sz w:val="24"/>
          <w:szCs w:val="24"/>
        </w:rPr>
        <w:t xml:space="preserve">, marital status, race/ethnicity, education, </w:t>
      </w:r>
      <w:r w:rsidR="00184D9E" w:rsidRPr="00A11B6C">
        <w:rPr>
          <w:rFonts w:ascii="Times New Roman" w:hAnsi="Times New Roman" w:cs="Times New Roman"/>
          <w:sz w:val="24"/>
          <w:szCs w:val="24"/>
        </w:rPr>
        <w:t xml:space="preserve">and </w:t>
      </w:r>
      <w:r w:rsidRPr="00A11B6C">
        <w:rPr>
          <w:rFonts w:ascii="Times New Roman" w:hAnsi="Times New Roman" w:cs="Times New Roman"/>
          <w:sz w:val="24"/>
          <w:szCs w:val="24"/>
        </w:rPr>
        <w:t xml:space="preserve">household size) and health-related measures (BMI, number of chronic conditions, and indicators for functional limitations). These are summarized in </w:t>
      </w:r>
      <w:r w:rsidRPr="00A11B6C">
        <w:rPr>
          <w:rFonts w:ascii="Times New Roman" w:hAnsi="Times New Roman" w:cs="Times New Roman"/>
          <w:b/>
          <w:bCs/>
          <w:sz w:val="24"/>
          <w:szCs w:val="24"/>
        </w:rPr>
        <w:t>Table 1</w:t>
      </w:r>
      <w:r w:rsidRPr="00A11B6C">
        <w:rPr>
          <w:rFonts w:ascii="Times New Roman" w:hAnsi="Times New Roman" w:cs="Times New Roman"/>
          <w:sz w:val="24"/>
          <w:szCs w:val="24"/>
        </w:rPr>
        <w:t>.</w:t>
      </w:r>
    </w:p>
    <w:p w14:paraId="1CF91156" w14:textId="77777777" w:rsidR="00087D7E" w:rsidRDefault="00004277" w:rsidP="00087D7E">
      <w:pPr>
        <w:pStyle w:val="Heading3"/>
        <w:spacing w:before="0" w:after="0" w:line="480" w:lineRule="auto"/>
        <w:rPr>
          <w:rFonts w:cs="Times New Roman"/>
          <w:b w:val="0"/>
          <w:bCs/>
          <w:i/>
          <w:iCs/>
          <w:szCs w:val="24"/>
        </w:rPr>
      </w:pPr>
      <w:r w:rsidRPr="00087D7E">
        <w:rPr>
          <w:rFonts w:cs="Times New Roman"/>
          <w:b w:val="0"/>
          <w:bCs/>
          <w:i/>
          <w:iCs/>
          <w:szCs w:val="24"/>
        </w:rPr>
        <w:lastRenderedPageBreak/>
        <w:t xml:space="preserve">Statistical Analysis </w:t>
      </w:r>
    </w:p>
    <w:p w14:paraId="46A598BA" w14:textId="31257A8A" w:rsidR="000C6303" w:rsidRDefault="00614C18" w:rsidP="007D06D8">
      <w:pPr>
        <w:spacing w:after="0" w:line="480" w:lineRule="auto"/>
        <w:jc w:val="both"/>
        <w:rPr>
          <w:rFonts w:ascii="Times New Roman" w:hAnsi="Times New Roman" w:cs="Times New Roman"/>
          <w:sz w:val="24"/>
          <w:szCs w:val="24"/>
        </w:rPr>
      </w:pPr>
      <w:r w:rsidRPr="00087D7E">
        <w:rPr>
          <w:rFonts w:ascii="Times New Roman" w:hAnsi="Times New Roman" w:cs="Times New Roman"/>
          <w:sz w:val="24"/>
          <w:szCs w:val="24"/>
        </w:rPr>
        <w:t>We employ</w:t>
      </w:r>
      <w:r w:rsidR="00A7632A" w:rsidRPr="00087D7E">
        <w:rPr>
          <w:rFonts w:ascii="Times New Roman" w:hAnsi="Times New Roman" w:cs="Times New Roman"/>
          <w:sz w:val="24"/>
          <w:szCs w:val="24"/>
        </w:rPr>
        <w:t>ed</w:t>
      </w:r>
      <w:r w:rsidRPr="00087D7E">
        <w:rPr>
          <w:rFonts w:ascii="Times New Roman" w:hAnsi="Times New Roman" w:cs="Times New Roman"/>
          <w:sz w:val="24"/>
          <w:szCs w:val="24"/>
        </w:rPr>
        <w:t xml:space="preserve"> a </w:t>
      </w:r>
      <w:r w:rsidR="00794AC0" w:rsidRPr="00087D7E">
        <w:rPr>
          <w:rFonts w:ascii="Times New Roman" w:hAnsi="Times New Roman" w:cs="Times New Roman"/>
          <w:sz w:val="24"/>
          <w:szCs w:val="24"/>
        </w:rPr>
        <w:t>D</w:t>
      </w:r>
      <w:r w:rsidRPr="00087D7E">
        <w:rPr>
          <w:rFonts w:ascii="Times New Roman" w:hAnsi="Times New Roman" w:cs="Times New Roman"/>
          <w:sz w:val="24"/>
          <w:szCs w:val="24"/>
        </w:rPr>
        <w:t>ifference-in-</w:t>
      </w:r>
      <w:r w:rsidR="00794AC0" w:rsidRPr="00087D7E">
        <w:rPr>
          <w:rFonts w:ascii="Times New Roman" w:hAnsi="Times New Roman" w:cs="Times New Roman"/>
          <w:sz w:val="24"/>
          <w:szCs w:val="24"/>
        </w:rPr>
        <w:t>D</w:t>
      </w:r>
      <w:r w:rsidRPr="00087D7E">
        <w:rPr>
          <w:rFonts w:ascii="Times New Roman" w:hAnsi="Times New Roman" w:cs="Times New Roman"/>
          <w:sz w:val="24"/>
          <w:szCs w:val="24"/>
        </w:rPr>
        <w:t xml:space="preserve">ifferences (DID) model to </w:t>
      </w:r>
      <w:r w:rsidR="00F23F20" w:rsidRPr="00087D7E">
        <w:rPr>
          <w:rFonts w:ascii="Times New Roman" w:hAnsi="Times New Roman" w:cs="Times New Roman"/>
          <w:sz w:val="24"/>
          <w:szCs w:val="24"/>
        </w:rPr>
        <w:t>compare</w:t>
      </w:r>
      <w:r w:rsidR="000A4023" w:rsidRPr="00087D7E">
        <w:rPr>
          <w:rFonts w:ascii="Times New Roman" w:hAnsi="Times New Roman" w:cs="Times New Roman"/>
          <w:sz w:val="24"/>
          <w:szCs w:val="24"/>
        </w:rPr>
        <w:t xml:space="preserve"> changes in</w:t>
      </w:r>
      <w:r w:rsidR="00F23F20" w:rsidRPr="00087D7E">
        <w:rPr>
          <w:rFonts w:ascii="Times New Roman" w:hAnsi="Times New Roman" w:cs="Times New Roman"/>
          <w:sz w:val="24"/>
          <w:szCs w:val="24"/>
        </w:rPr>
        <w:t xml:space="preserve"> </w:t>
      </w:r>
      <w:r w:rsidR="00573B55" w:rsidRPr="00087D7E">
        <w:rPr>
          <w:rFonts w:ascii="Times New Roman" w:hAnsi="Times New Roman" w:cs="Times New Roman"/>
          <w:sz w:val="24"/>
          <w:szCs w:val="24"/>
        </w:rPr>
        <w:t>care</w:t>
      </w:r>
      <w:r w:rsidR="00F23F20" w:rsidRPr="00087D7E">
        <w:rPr>
          <w:rFonts w:ascii="Times New Roman" w:hAnsi="Times New Roman" w:cs="Times New Roman"/>
          <w:sz w:val="24"/>
          <w:szCs w:val="24"/>
        </w:rPr>
        <w:t xml:space="preserve"> experiences </w:t>
      </w:r>
      <w:r w:rsidR="002B189A" w:rsidRPr="00087D7E">
        <w:rPr>
          <w:rFonts w:ascii="Times New Roman" w:hAnsi="Times New Roman" w:cs="Times New Roman"/>
          <w:sz w:val="24"/>
          <w:szCs w:val="24"/>
        </w:rPr>
        <w:t>between</w:t>
      </w:r>
      <w:r w:rsidR="00F23F20" w:rsidRPr="00087D7E">
        <w:rPr>
          <w:rFonts w:ascii="Times New Roman" w:hAnsi="Times New Roman" w:cs="Times New Roman"/>
          <w:sz w:val="24"/>
          <w:szCs w:val="24"/>
        </w:rPr>
        <w:t xml:space="preserve"> </w:t>
      </w:r>
      <w:r w:rsidR="001B106C" w:rsidRPr="00087D7E">
        <w:rPr>
          <w:rFonts w:ascii="Times New Roman" w:hAnsi="Times New Roman" w:cs="Times New Roman"/>
          <w:sz w:val="24"/>
          <w:szCs w:val="24"/>
        </w:rPr>
        <w:t>the</w:t>
      </w:r>
      <w:r w:rsidR="00F23F20" w:rsidRPr="00087D7E">
        <w:rPr>
          <w:rFonts w:ascii="Times New Roman" w:hAnsi="Times New Roman" w:cs="Times New Roman"/>
          <w:sz w:val="24"/>
          <w:szCs w:val="24"/>
        </w:rPr>
        <w:t xml:space="preserve"> treat</w:t>
      </w:r>
      <w:r w:rsidR="004C5175" w:rsidRPr="00087D7E">
        <w:rPr>
          <w:rFonts w:ascii="Times New Roman" w:hAnsi="Times New Roman" w:cs="Times New Roman"/>
          <w:sz w:val="24"/>
          <w:szCs w:val="24"/>
        </w:rPr>
        <w:t>ment</w:t>
      </w:r>
      <w:r w:rsidR="00F23F20" w:rsidRPr="00087D7E">
        <w:rPr>
          <w:rFonts w:ascii="Times New Roman" w:hAnsi="Times New Roman" w:cs="Times New Roman"/>
          <w:sz w:val="24"/>
          <w:szCs w:val="24"/>
        </w:rPr>
        <w:t xml:space="preserve"> and </w:t>
      </w:r>
      <w:r w:rsidR="001B106C" w:rsidRPr="00087D7E">
        <w:rPr>
          <w:rFonts w:ascii="Times New Roman" w:hAnsi="Times New Roman" w:cs="Times New Roman"/>
          <w:sz w:val="24"/>
          <w:szCs w:val="24"/>
        </w:rPr>
        <w:t>the</w:t>
      </w:r>
      <w:r w:rsidR="001A3E9D" w:rsidRPr="00087D7E">
        <w:rPr>
          <w:rFonts w:ascii="Times New Roman" w:hAnsi="Times New Roman" w:cs="Times New Roman"/>
          <w:sz w:val="24"/>
          <w:szCs w:val="24"/>
        </w:rPr>
        <w:t xml:space="preserve"> </w:t>
      </w:r>
      <w:r w:rsidR="00F23F20" w:rsidRPr="00087D7E">
        <w:rPr>
          <w:rFonts w:ascii="Times New Roman" w:hAnsi="Times New Roman" w:cs="Times New Roman"/>
          <w:sz w:val="24"/>
          <w:szCs w:val="24"/>
        </w:rPr>
        <w:t xml:space="preserve">control group before and after the </w:t>
      </w:r>
      <w:r w:rsidR="00AD1631" w:rsidRPr="00087D7E">
        <w:rPr>
          <w:rFonts w:ascii="Times New Roman" w:hAnsi="Times New Roman" w:cs="Times New Roman"/>
          <w:sz w:val="24"/>
          <w:szCs w:val="24"/>
        </w:rPr>
        <w:t xml:space="preserve">inclusion of ADRD HCCs </w:t>
      </w:r>
      <w:r w:rsidR="00AB34B2" w:rsidRPr="00087D7E">
        <w:rPr>
          <w:rFonts w:ascii="Times New Roman" w:hAnsi="Times New Roman" w:cs="Times New Roman"/>
          <w:sz w:val="24"/>
          <w:szCs w:val="24"/>
        </w:rPr>
        <w:t xml:space="preserve">in </w:t>
      </w:r>
      <w:r w:rsidR="00AD1631" w:rsidRPr="00087D7E">
        <w:rPr>
          <w:rFonts w:ascii="Times New Roman" w:hAnsi="Times New Roman" w:cs="Times New Roman"/>
          <w:sz w:val="24"/>
          <w:szCs w:val="24"/>
        </w:rPr>
        <w:t>the</w:t>
      </w:r>
      <w:r w:rsidR="004809D7" w:rsidRPr="00087D7E">
        <w:rPr>
          <w:rFonts w:ascii="Times New Roman" w:hAnsi="Times New Roman" w:cs="Times New Roman"/>
          <w:sz w:val="24"/>
          <w:szCs w:val="24"/>
        </w:rPr>
        <w:t xml:space="preserve"> MA</w:t>
      </w:r>
      <w:r w:rsidR="00AD1631" w:rsidRPr="00087D7E">
        <w:rPr>
          <w:rFonts w:ascii="Times New Roman" w:hAnsi="Times New Roman" w:cs="Times New Roman"/>
          <w:sz w:val="24"/>
          <w:szCs w:val="24"/>
        </w:rPr>
        <w:t xml:space="preserve"> risk adjustment model in 2020 </w:t>
      </w:r>
      <w:r w:rsidR="00686112" w:rsidRPr="00087D7E">
        <w:rPr>
          <w:rFonts w:ascii="Times New Roman" w:hAnsi="Times New Roman" w:cs="Times New Roman"/>
          <w:sz w:val="24"/>
          <w:szCs w:val="24"/>
        </w:rPr>
        <w:t>(</w:t>
      </w:r>
      <w:proofErr w:type="spellStart"/>
      <w:r w:rsidR="003341AA" w:rsidRPr="003341AA">
        <w:rPr>
          <w:rFonts w:ascii="Times New Roman" w:hAnsi="Times New Roman" w:cs="Times New Roman"/>
          <w:b/>
          <w:bCs/>
          <w:sz w:val="24"/>
          <w:szCs w:val="24"/>
        </w:rPr>
        <w:t>eMethods</w:t>
      </w:r>
      <w:proofErr w:type="spellEnd"/>
      <w:r w:rsidR="00686112" w:rsidRPr="003341AA">
        <w:rPr>
          <w:rFonts w:ascii="Times New Roman" w:hAnsi="Times New Roman" w:cs="Times New Roman"/>
          <w:b/>
          <w:bCs/>
          <w:sz w:val="24"/>
          <w:szCs w:val="24"/>
        </w:rPr>
        <w:t xml:space="preserve"> </w:t>
      </w:r>
      <w:r w:rsidR="0062410E" w:rsidRPr="003341AA">
        <w:rPr>
          <w:rFonts w:ascii="Times New Roman" w:hAnsi="Times New Roman" w:cs="Times New Roman"/>
          <w:b/>
          <w:bCs/>
          <w:sz w:val="24"/>
          <w:szCs w:val="24"/>
        </w:rPr>
        <w:t>1</w:t>
      </w:r>
      <w:r w:rsidR="003341AA">
        <w:rPr>
          <w:rFonts w:ascii="Times New Roman" w:hAnsi="Times New Roman" w:cs="Times New Roman"/>
          <w:sz w:val="24"/>
          <w:szCs w:val="24"/>
        </w:rPr>
        <w:t xml:space="preserve"> in the Supplement</w:t>
      </w:r>
      <w:r w:rsidR="00686112" w:rsidRPr="00087D7E">
        <w:rPr>
          <w:rFonts w:ascii="Times New Roman" w:hAnsi="Times New Roman" w:cs="Times New Roman"/>
          <w:sz w:val="24"/>
          <w:szCs w:val="24"/>
        </w:rPr>
        <w:t xml:space="preserve">). </w:t>
      </w:r>
      <w:r w:rsidR="00247E4C" w:rsidRPr="00087D7E">
        <w:rPr>
          <w:rFonts w:ascii="Times New Roman" w:hAnsi="Times New Roman" w:cs="Times New Roman"/>
          <w:sz w:val="24"/>
          <w:szCs w:val="24"/>
        </w:rPr>
        <w:t>The</w:t>
      </w:r>
      <w:r w:rsidRPr="00087D7E">
        <w:rPr>
          <w:rFonts w:ascii="Times New Roman" w:hAnsi="Times New Roman" w:cs="Times New Roman"/>
          <w:sz w:val="24"/>
          <w:szCs w:val="24"/>
        </w:rPr>
        <w:t xml:space="preserve"> treat</w:t>
      </w:r>
      <w:r w:rsidR="00E90519" w:rsidRPr="00087D7E">
        <w:rPr>
          <w:rFonts w:ascii="Times New Roman" w:hAnsi="Times New Roman" w:cs="Times New Roman"/>
          <w:sz w:val="24"/>
          <w:szCs w:val="24"/>
        </w:rPr>
        <w:t>ment</w:t>
      </w:r>
      <w:r w:rsidRPr="00087D7E">
        <w:rPr>
          <w:rFonts w:ascii="Times New Roman" w:hAnsi="Times New Roman" w:cs="Times New Roman"/>
          <w:sz w:val="24"/>
          <w:szCs w:val="24"/>
        </w:rPr>
        <w:t xml:space="preserve"> group </w:t>
      </w:r>
      <w:r w:rsidR="00247E4C" w:rsidRPr="00087D7E">
        <w:rPr>
          <w:rFonts w:ascii="Times New Roman" w:hAnsi="Times New Roman" w:cs="Times New Roman"/>
          <w:sz w:val="24"/>
          <w:szCs w:val="24"/>
        </w:rPr>
        <w:t>consist</w:t>
      </w:r>
      <w:r w:rsidR="00A7632A" w:rsidRPr="00087D7E">
        <w:rPr>
          <w:rFonts w:ascii="Times New Roman" w:hAnsi="Times New Roman" w:cs="Times New Roman"/>
          <w:sz w:val="24"/>
          <w:szCs w:val="24"/>
        </w:rPr>
        <w:t>ed</w:t>
      </w:r>
      <w:r w:rsidR="00247E4C" w:rsidRPr="00087D7E">
        <w:rPr>
          <w:rFonts w:ascii="Times New Roman" w:hAnsi="Times New Roman" w:cs="Times New Roman"/>
          <w:sz w:val="24"/>
          <w:szCs w:val="24"/>
        </w:rPr>
        <w:t xml:space="preserve"> of</w:t>
      </w:r>
      <w:r w:rsidRPr="00087D7E">
        <w:rPr>
          <w:rFonts w:ascii="Times New Roman" w:hAnsi="Times New Roman" w:cs="Times New Roman"/>
          <w:sz w:val="24"/>
          <w:szCs w:val="24"/>
        </w:rPr>
        <w:t xml:space="preserve"> MA enrollees</w:t>
      </w:r>
      <w:r w:rsidR="00A12B3F" w:rsidRPr="00087D7E">
        <w:rPr>
          <w:rFonts w:ascii="Times New Roman" w:hAnsi="Times New Roman" w:cs="Times New Roman"/>
          <w:sz w:val="24"/>
          <w:szCs w:val="24"/>
        </w:rPr>
        <w:t xml:space="preserve"> with ADRD</w:t>
      </w:r>
      <w:r w:rsidR="00DA387D" w:rsidRPr="00087D7E">
        <w:rPr>
          <w:rFonts w:ascii="Times New Roman" w:hAnsi="Times New Roman" w:cs="Times New Roman"/>
          <w:sz w:val="24"/>
          <w:szCs w:val="24"/>
        </w:rPr>
        <w:t xml:space="preserve">, while the </w:t>
      </w:r>
      <w:r w:rsidRPr="00087D7E">
        <w:rPr>
          <w:rFonts w:ascii="Times New Roman" w:hAnsi="Times New Roman" w:cs="Times New Roman"/>
          <w:sz w:val="24"/>
          <w:szCs w:val="24"/>
        </w:rPr>
        <w:t>control group</w:t>
      </w:r>
      <w:r w:rsidR="00BD2631" w:rsidRPr="00087D7E">
        <w:rPr>
          <w:rFonts w:ascii="Times New Roman" w:hAnsi="Times New Roman" w:cs="Times New Roman"/>
          <w:sz w:val="24"/>
          <w:szCs w:val="24"/>
        </w:rPr>
        <w:t xml:space="preserve"> comprise</w:t>
      </w:r>
      <w:r w:rsidR="00A7632A" w:rsidRPr="00087D7E">
        <w:rPr>
          <w:rFonts w:ascii="Times New Roman" w:hAnsi="Times New Roman" w:cs="Times New Roman"/>
          <w:sz w:val="24"/>
          <w:szCs w:val="24"/>
        </w:rPr>
        <w:t>d</w:t>
      </w:r>
      <w:r w:rsidR="00BD2631" w:rsidRPr="00087D7E">
        <w:rPr>
          <w:rFonts w:ascii="Times New Roman" w:hAnsi="Times New Roman" w:cs="Times New Roman"/>
          <w:sz w:val="24"/>
          <w:szCs w:val="24"/>
        </w:rPr>
        <w:t xml:space="preserve"> </w:t>
      </w:r>
      <w:r w:rsidRPr="00087D7E">
        <w:rPr>
          <w:rFonts w:ascii="Times New Roman" w:hAnsi="Times New Roman" w:cs="Times New Roman"/>
          <w:sz w:val="24"/>
          <w:szCs w:val="24"/>
        </w:rPr>
        <w:t>MA enrollees</w:t>
      </w:r>
      <w:r w:rsidR="001C3C65" w:rsidRPr="00087D7E">
        <w:rPr>
          <w:rFonts w:ascii="Times New Roman" w:hAnsi="Times New Roman" w:cs="Times New Roman"/>
          <w:sz w:val="24"/>
          <w:szCs w:val="24"/>
        </w:rPr>
        <w:t xml:space="preserve"> without ADRD but</w:t>
      </w:r>
      <w:r w:rsidR="001662B9" w:rsidRPr="00087D7E">
        <w:rPr>
          <w:rFonts w:ascii="Times New Roman" w:hAnsi="Times New Roman" w:cs="Times New Roman"/>
          <w:sz w:val="24"/>
          <w:szCs w:val="24"/>
        </w:rPr>
        <w:t xml:space="preserve"> </w:t>
      </w:r>
      <w:r w:rsidR="00BF1373" w:rsidRPr="00087D7E">
        <w:rPr>
          <w:rFonts w:ascii="Times New Roman" w:hAnsi="Times New Roman" w:cs="Times New Roman"/>
          <w:sz w:val="24"/>
          <w:szCs w:val="24"/>
        </w:rPr>
        <w:t>with</w:t>
      </w:r>
      <w:r w:rsidRPr="00087D7E">
        <w:rPr>
          <w:rFonts w:ascii="Times New Roman" w:hAnsi="Times New Roman" w:cs="Times New Roman"/>
          <w:sz w:val="24"/>
          <w:szCs w:val="24"/>
        </w:rPr>
        <w:t xml:space="preserve"> stroke/brain hemorrhage, complete/partial paralysis</w:t>
      </w:r>
      <w:r w:rsidR="008A0AD0" w:rsidRPr="00087D7E">
        <w:rPr>
          <w:rFonts w:ascii="Times New Roman" w:hAnsi="Times New Roman" w:cs="Times New Roman"/>
          <w:sz w:val="24"/>
          <w:szCs w:val="24"/>
        </w:rPr>
        <w:t>,</w:t>
      </w:r>
      <w:r w:rsidRPr="00087D7E">
        <w:rPr>
          <w:rFonts w:ascii="Times New Roman" w:hAnsi="Times New Roman" w:cs="Times New Roman"/>
          <w:sz w:val="24"/>
          <w:szCs w:val="24"/>
        </w:rPr>
        <w:t xml:space="preserve"> or Parkinson’s diseases. </w:t>
      </w:r>
      <w:r w:rsidR="001C423C" w:rsidRPr="00087D7E">
        <w:rPr>
          <w:rFonts w:ascii="Times New Roman" w:hAnsi="Times New Roman" w:cs="Times New Roman"/>
          <w:sz w:val="24"/>
          <w:szCs w:val="24"/>
        </w:rPr>
        <w:t>We adjust</w:t>
      </w:r>
      <w:r w:rsidR="00A7632A" w:rsidRPr="00087D7E">
        <w:rPr>
          <w:rFonts w:ascii="Times New Roman" w:hAnsi="Times New Roman" w:cs="Times New Roman"/>
          <w:sz w:val="24"/>
          <w:szCs w:val="24"/>
        </w:rPr>
        <w:t>ed</w:t>
      </w:r>
      <w:r w:rsidR="001C423C" w:rsidRPr="00087D7E">
        <w:rPr>
          <w:rFonts w:ascii="Times New Roman" w:hAnsi="Times New Roman" w:cs="Times New Roman"/>
          <w:sz w:val="24"/>
          <w:szCs w:val="24"/>
        </w:rPr>
        <w:t xml:space="preserve"> the model</w:t>
      </w:r>
      <w:r w:rsidR="0054213B" w:rsidRPr="00087D7E">
        <w:rPr>
          <w:rFonts w:ascii="Times New Roman" w:hAnsi="Times New Roman" w:cs="Times New Roman"/>
          <w:sz w:val="24"/>
          <w:szCs w:val="24"/>
        </w:rPr>
        <w:t xml:space="preserve"> by </w:t>
      </w:r>
      <w:r w:rsidR="00985744" w:rsidRPr="00087D7E">
        <w:rPr>
          <w:rFonts w:ascii="Times New Roman" w:hAnsi="Times New Roman" w:cs="Times New Roman"/>
          <w:sz w:val="24"/>
          <w:szCs w:val="24"/>
        </w:rPr>
        <w:t>interacting</w:t>
      </w:r>
      <w:r w:rsidR="0054213B" w:rsidRPr="00087D7E">
        <w:rPr>
          <w:rFonts w:ascii="Times New Roman" w:hAnsi="Times New Roman" w:cs="Times New Roman"/>
          <w:sz w:val="24"/>
          <w:szCs w:val="24"/>
        </w:rPr>
        <w:t xml:space="preserve"> the covariates list</w:t>
      </w:r>
      <w:r w:rsidR="00D73A88" w:rsidRPr="00087D7E">
        <w:rPr>
          <w:rFonts w:ascii="Times New Roman" w:hAnsi="Times New Roman" w:cs="Times New Roman"/>
          <w:sz w:val="24"/>
          <w:szCs w:val="24"/>
        </w:rPr>
        <w:t>ed</w:t>
      </w:r>
      <w:r w:rsidR="0054213B" w:rsidRPr="00087D7E">
        <w:rPr>
          <w:rFonts w:ascii="Times New Roman" w:hAnsi="Times New Roman" w:cs="Times New Roman"/>
          <w:sz w:val="24"/>
          <w:szCs w:val="24"/>
        </w:rPr>
        <w:t xml:space="preserve"> in Table 1 with year</w:t>
      </w:r>
      <w:r w:rsidR="00887EAF" w:rsidRPr="00087D7E">
        <w:rPr>
          <w:rFonts w:ascii="Times New Roman" w:hAnsi="Times New Roman" w:cs="Times New Roman"/>
          <w:sz w:val="24"/>
          <w:szCs w:val="24"/>
        </w:rPr>
        <w:t xml:space="preserve"> indicators</w:t>
      </w:r>
      <w:r w:rsidR="0054213B" w:rsidRPr="00087D7E">
        <w:rPr>
          <w:rFonts w:ascii="Times New Roman" w:hAnsi="Times New Roman" w:cs="Times New Roman"/>
          <w:sz w:val="24"/>
          <w:szCs w:val="24"/>
        </w:rPr>
        <w:t xml:space="preserve"> to </w:t>
      </w:r>
      <w:r w:rsidR="00BC3D53" w:rsidRPr="00087D7E">
        <w:rPr>
          <w:rFonts w:ascii="Times New Roman" w:hAnsi="Times New Roman" w:cs="Times New Roman"/>
          <w:sz w:val="24"/>
          <w:szCs w:val="24"/>
        </w:rPr>
        <w:t xml:space="preserve">mitigate biases arising from contemporaneous </w:t>
      </w:r>
      <w:r w:rsidR="00887EAF" w:rsidRPr="00087D7E">
        <w:rPr>
          <w:rFonts w:ascii="Times New Roman" w:hAnsi="Times New Roman" w:cs="Times New Roman"/>
          <w:sz w:val="24"/>
          <w:szCs w:val="24"/>
        </w:rPr>
        <w:t>shocks</w:t>
      </w:r>
      <w:r w:rsidR="00AD1BA0" w:rsidRPr="00087D7E">
        <w:rPr>
          <w:rFonts w:ascii="Times New Roman" w:hAnsi="Times New Roman" w:cs="Times New Roman"/>
          <w:sz w:val="24"/>
          <w:szCs w:val="24"/>
        </w:rPr>
        <w:t xml:space="preserve"> (e.g., the onset of COVID-19)</w:t>
      </w:r>
      <w:r w:rsidR="00B04A24" w:rsidRPr="00087D7E">
        <w:rPr>
          <w:rFonts w:ascii="Times New Roman" w:hAnsi="Times New Roman" w:cs="Times New Roman"/>
          <w:sz w:val="24"/>
          <w:szCs w:val="24"/>
        </w:rPr>
        <w:t xml:space="preserve">. </w:t>
      </w:r>
      <w:r w:rsidR="00AD1BA0" w:rsidRPr="00087D7E">
        <w:rPr>
          <w:rFonts w:ascii="Times New Roman" w:hAnsi="Times New Roman" w:cs="Times New Roman"/>
          <w:sz w:val="24"/>
          <w:szCs w:val="24"/>
        </w:rPr>
        <w:t xml:space="preserve">To </w:t>
      </w:r>
      <w:r w:rsidR="00713074" w:rsidRPr="00087D7E">
        <w:rPr>
          <w:rFonts w:ascii="Times New Roman" w:hAnsi="Times New Roman" w:cs="Times New Roman"/>
          <w:sz w:val="24"/>
          <w:szCs w:val="24"/>
        </w:rPr>
        <w:t>address</w:t>
      </w:r>
      <w:r w:rsidR="00AD1BA0" w:rsidRPr="00087D7E">
        <w:rPr>
          <w:rFonts w:ascii="Times New Roman" w:hAnsi="Times New Roman" w:cs="Times New Roman"/>
          <w:sz w:val="24"/>
          <w:szCs w:val="24"/>
        </w:rPr>
        <w:t xml:space="preserve"> potential measurement errors due to self-reported care experiences among beneficiaries</w:t>
      </w:r>
      <w:r w:rsidR="00897FFC" w:rsidRPr="00087D7E">
        <w:rPr>
          <w:rFonts w:ascii="Times New Roman" w:hAnsi="Times New Roman" w:cs="Times New Roman"/>
          <w:sz w:val="24"/>
          <w:szCs w:val="24"/>
        </w:rPr>
        <w:t xml:space="preserve"> with ADRD</w:t>
      </w:r>
      <w:r w:rsidR="00AD1BA0" w:rsidRPr="00087D7E">
        <w:rPr>
          <w:rFonts w:ascii="Times New Roman" w:hAnsi="Times New Roman" w:cs="Times New Roman"/>
          <w:sz w:val="24"/>
          <w:szCs w:val="24"/>
        </w:rPr>
        <w:t xml:space="preserve">, </w:t>
      </w:r>
      <w:r w:rsidR="00713074" w:rsidRPr="00087D7E">
        <w:rPr>
          <w:rFonts w:ascii="Times New Roman" w:hAnsi="Times New Roman" w:cs="Times New Roman"/>
          <w:sz w:val="24"/>
          <w:szCs w:val="24"/>
        </w:rPr>
        <w:t>we interact</w:t>
      </w:r>
      <w:r w:rsidR="00A7632A" w:rsidRPr="00087D7E">
        <w:rPr>
          <w:rFonts w:ascii="Times New Roman" w:hAnsi="Times New Roman" w:cs="Times New Roman"/>
          <w:sz w:val="24"/>
          <w:szCs w:val="24"/>
        </w:rPr>
        <w:t>ed</w:t>
      </w:r>
      <w:r w:rsidR="00713074" w:rsidRPr="00087D7E">
        <w:rPr>
          <w:rFonts w:ascii="Times New Roman" w:hAnsi="Times New Roman" w:cs="Times New Roman"/>
          <w:sz w:val="24"/>
          <w:szCs w:val="24"/>
        </w:rPr>
        <w:t xml:space="preserve"> year indicators with an indicator for surveys completed by proxy (e.g., family members). </w:t>
      </w:r>
      <w:r w:rsidR="00AD1BA0" w:rsidRPr="00087D7E">
        <w:rPr>
          <w:rFonts w:ascii="Times New Roman" w:hAnsi="Times New Roman" w:cs="Times New Roman"/>
          <w:sz w:val="24"/>
          <w:szCs w:val="24"/>
        </w:rPr>
        <w:t xml:space="preserve"> </w:t>
      </w:r>
      <w:r w:rsidR="00CE163B" w:rsidRPr="00087D7E">
        <w:rPr>
          <w:rFonts w:ascii="Times New Roman" w:hAnsi="Times New Roman" w:cs="Times New Roman"/>
          <w:sz w:val="24"/>
          <w:szCs w:val="24"/>
        </w:rPr>
        <w:t>All analyses use</w:t>
      </w:r>
      <w:r w:rsidR="00A7632A" w:rsidRPr="00087D7E">
        <w:rPr>
          <w:rFonts w:ascii="Times New Roman" w:hAnsi="Times New Roman" w:cs="Times New Roman"/>
          <w:sz w:val="24"/>
          <w:szCs w:val="24"/>
        </w:rPr>
        <w:t>d</w:t>
      </w:r>
      <w:r w:rsidR="00CE163B" w:rsidRPr="00087D7E">
        <w:rPr>
          <w:rFonts w:ascii="Times New Roman" w:hAnsi="Times New Roman" w:cs="Times New Roman"/>
          <w:sz w:val="24"/>
          <w:szCs w:val="24"/>
        </w:rPr>
        <w:t xml:space="preserve"> heteroskedasticity-robust standard errors, and robustness checks </w:t>
      </w:r>
      <w:r w:rsidR="00A7632A" w:rsidRPr="00087D7E">
        <w:rPr>
          <w:rFonts w:ascii="Times New Roman" w:hAnsi="Times New Roman" w:cs="Times New Roman"/>
          <w:sz w:val="24"/>
          <w:szCs w:val="24"/>
        </w:rPr>
        <w:t>were</w:t>
      </w:r>
      <w:r w:rsidR="00B04A24" w:rsidRPr="00087D7E">
        <w:rPr>
          <w:rFonts w:ascii="Times New Roman" w:hAnsi="Times New Roman" w:cs="Times New Roman"/>
          <w:sz w:val="24"/>
          <w:szCs w:val="24"/>
        </w:rPr>
        <w:t xml:space="preserve"> conducted </w:t>
      </w:r>
      <w:r w:rsidR="00CE163B" w:rsidRPr="00087D7E">
        <w:rPr>
          <w:rFonts w:ascii="Times New Roman" w:hAnsi="Times New Roman" w:cs="Times New Roman"/>
          <w:sz w:val="24"/>
          <w:szCs w:val="24"/>
        </w:rPr>
        <w:t xml:space="preserve">using </w:t>
      </w:r>
      <w:bookmarkStart w:id="3" w:name="OLE_LINK1"/>
      <w:r w:rsidR="00CE163B" w:rsidRPr="00087D7E">
        <w:rPr>
          <w:rFonts w:ascii="Times New Roman" w:hAnsi="Times New Roman" w:cs="Times New Roman"/>
          <w:sz w:val="24"/>
          <w:szCs w:val="24"/>
        </w:rPr>
        <w:t>balanced repeated replications for standard error estimation.</w:t>
      </w:r>
      <w:bookmarkEnd w:id="3"/>
    </w:p>
    <w:p w14:paraId="23751385" w14:textId="77777777" w:rsidR="000C6303" w:rsidRDefault="000C6303" w:rsidP="007D06D8">
      <w:pPr>
        <w:spacing w:after="0" w:line="480" w:lineRule="auto"/>
        <w:jc w:val="both"/>
        <w:rPr>
          <w:rFonts w:ascii="Times New Roman" w:hAnsi="Times New Roman" w:cs="Times New Roman"/>
          <w:sz w:val="24"/>
          <w:szCs w:val="24"/>
        </w:rPr>
      </w:pPr>
    </w:p>
    <w:p w14:paraId="49B9F4F1" w14:textId="683FB583" w:rsidR="000C6303" w:rsidRDefault="00C13ECC" w:rsidP="007D06D8">
      <w:pPr>
        <w:spacing w:after="0" w:line="480" w:lineRule="auto"/>
        <w:jc w:val="both"/>
        <w:rPr>
          <w:rFonts w:ascii="Times New Roman" w:hAnsi="Times New Roman" w:cs="Times New Roman"/>
          <w:sz w:val="24"/>
          <w:szCs w:val="24"/>
        </w:rPr>
      </w:pPr>
      <w:r w:rsidRPr="007D06D8">
        <w:rPr>
          <w:rFonts w:ascii="Times New Roman" w:hAnsi="Times New Roman" w:cs="Times New Roman"/>
          <w:sz w:val="24"/>
          <w:szCs w:val="24"/>
        </w:rPr>
        <w:t>We conduct</w:t>
      </w:r>
      <w:r w:rsidR="00A7632A" w:rsidRPr="007D06D8">
        <w:rPr>
          <w:rFonts w:ascii="Times New Roman" w:hAnsi="Times New Roman" w:cs="Times New Roman"/>
          <w:sz w:val="24"/>
          <w:szCs w:val="24"/>
        </w:rPr>
        <w:t>ed</w:t>
      </w:r>
      <w:r w:rsidRPr="007D06D8">
        <w:rPr>
          <w:rFonts w:ascii="Times New Roman" w:hAnsi="Times New Roman" w:cs="Times New Roman"/>
          <w:sz w:val="24"/>
          <w:szCs w:val="24"/>
        </w:rPr>
        <w:t xml:space="preserve"> an event study analysis within the same framework, using 2019 as the reference year</w:t>
      </w:r>
      <w:r w:rsidR="00D32C6F" w:rsidRPr="007D06D8">
        <w:rPr>
          <w:rFonts w:ascii="Times New Roman" w:hAnsi="Times New Roman" w:cs="Times New Roman"/>
          <w:sz w:val="24"/>
          <w:szCs w:val="24"/>
        </w:rPr>
        <w:t xml:space="preserve"> - </w:t>
      </w:r>
      <w:r w:rsidRPr="007D06D8">
        <w:rPr>
          <w:rFonts w:ascii="Times New Roman" w:hAnsi="Times New Roman" w:cs="Times New Roman"/>
          <w:sz w:val="24"/>
          <w:szCs w:val="24"/>
        </w:rPr>
        <w:t xml:space="preserve">the final year before the new payment model </w:t>
      </w:r>
      <w:r w:rsidR="00106C0A" w:rsidRPr="007D06D8">
        <w:rPr>
          <w:rFonts w:ascii="Times New Roman" w:hAnsi="Times New Roman" w:cs="Times New Roman"/>
          <w:sz w:val="24"/>
          <w:szCs w:val="24"/>
        </w:rPr>
        <w:t>implemented</w:t>
      </w:r>
      <w:r w:rsidRPr="007D06D8">
        <w:rPr>
          <w:rFonts w:ascii="Times New Roman" w:hAnsi="Times New Roman" w:cs="Times New Roman"/>
          <w:sz w:val="24"/>
          <w:szCs w:val="24"/>
        </w:rPr>
        <w:t xml:space="preserve"> (</w:t>
      </w:r>
      <w:proofErr w:type="spellStart"/>
      <w:r w:rsidR="003341AA" w:rsidRPr="003341AA">
        <w:rPr>
          <w:rFonts w:ascii="Times New Roman" w:hAnsi="Times New Roman" w:cs="Times New Roman"/>
          <w:b/>
          <w:bCs/>
          <w:sz w:val="24"/>
          <w:szCs w:val="24"/>
        </w:rPr>
        <w:t>eMethods</w:t>
      </w:r>
      <w:proofErr w:type="spellEnd"/>
      <w:r w:rsidRPr="003341AA">
        <w:rPr>
          <w:rFonts w:ascii="Times New Roman" w:hAnsi="Times New Roman" w:cs="Times New Roman"/>
          <w:b/>
          <w:bCs/>
          <w:sz w:val="24"/>
          <w:szCs w:val="24"/>
        </w:rPr>
        <w:t xml:space="preserve"> </w:t>
      </w:r>
      <w:r w:rsidR="003341AA" w:rsidRPr="003341AA">
        <w:rPr>
          <w:rFonts w:ascii="Times New Roman" w:hAnsi="Times New Roman" w:cs="Times New Roman"/>
          <w:b/>
          <w:bCs/>
          <w:sz w:val="24"/>
          <w:szCs w:val="24"/>
        </w:rPr>
        <w:t>2</w:t>
      </w:r>
      <w:r w:rsidR="003341AA">
        <w:rPr>
          <w:rFonts w:ascii="Times New Roman" w:hAnsi="Times New Roman" w:cs="Times New Roman"/>
          <w:b/>
          <w:bCs/>
          <w:sz w:val="24"/>
          <w:szCs w:val="24"/>
        </w:rPr>
        <w:t xml:space="preserve"> </w:t>
      </w:r>
      <w:r w:rsidR="003341AA">
        <w:rPr>
          <w:rFonts w:ascii="Times New Roman" w:hAnsi="Times New Roman" w:cs="Times New Roman"/>
          <w:sz w:val="24"/>
          <w:szCs w:val="24"/>
        </w:rPr>
        <w:t>in the Supplement</w:t>
      </w:r>
      <w:r w:rsidRPr="007D06D8">
        <w:rPr>
          <w:rFonts w:ascii="Times New Roman" w:hAnsi="Times New Roman" w:cs="Times New Roman"/>
          <w:sz w:val="24"/>
          <w:szCs w:val="24"/>
        </w:rPr>
        <w:t xml:space="preserve">). </w:t>
      </w:r>
      <w:r w:rsidR="00EC56CA" w:rsidRPr="007D06D8">
        <w:rPr>
          <w:rFonts w:ascii="Times New Roman" w:hAnsi="Times New Roman" w:cs="Times New Roman"/>
          <w:sz w:val="24"/>
          <w:szCs w:val="24"/>
        </w:rPr>
        <w:t xml:space="preserve">This </w:t>
      </w:r>
      <w:r w:rsidR="00B418F1" w:rsidRPr="007D06D8">
        <w:rPr>
          <w:rFonts w:ascii="Times New Roman" w:hAnsi="Times New Roman" w:cs="Times New Roman"/>
          <w:sz w:val="24"/>
          <w:szCs w:val="24"/>
        </w:rPr>
        <w:t>analysis serve</w:t>
      </w:r>
      <w:r w:rsidR="00A7632A" w:rsidRPr="007D06D8">
        <w:rPr>
          <w:rFonts w:ascii="Times New Roman" w:hAnsi="Times New Roman" w:cs="Times New Roman"/>
          <w:sz w:val="24"/>
          <w:szCs w:val="24"/>
        </w:rPr>
        <w:t>d</w:t>
      </w:r>
      <w:r w:rsidR="00B418F1" w:rsidRPr="007D06D8">
        <w:rPr>
          <w:rFonts w:ascii="Times New Roman" w:hAnsi="Times New Roman" w:cs="Times New Roman"/>
          <w:sz w:val="24"/>
          <w:szCs w:val="24"/>
        </w:rPr>
        <w:t xml:space="preserve"> two purposes</w:t>
      </w:r>
      <w:r w:rsidR="008F048A" w:rsidRPr="007D06D8">
        <w:rPr>
          <w:rFonts w:ascii="Times New Roman" w:hAnsi="Times New Roman" w:cs="Times New Roman"/>
          <w:sz w:val="24"/>
          <w:szCs w:val="24"/>
        </w:rPr>
        <w:t>:</w:t>
      </w:r>
      <w:r w:rsidR="001C7C3C" w:rsidRPr="007D06D8">
        <w:rPr>
          <w:rFonts w:ascii="Times New Roman" w:hAnsi="Times New Roman" w:cs="Times New Roman"/>
          <w:sz w:val="24"/>
          <w:szCs w:val="24"/>
        </w:rPr>
        <w:t xml:space="preserve"> first, </w:t>
      </w:r>
      <w:r w:rsidR="00FC3413" w:rsidRPr="007D06D8">
        <w:rPr>
          <w:rFonts w:ascii="Times New Roman" w:hAnsi="Times New Roman" w:cs="Times New Roman"/>
          <w:sz w:val="24"/>
          <w:szCs w:val="24"/>
        </w:rPr>
        <w:t>to provide</w:t>
      </w:r>
      <w:r w:rsidR="00B418F1" w:rsidRPr="007D06D8">
        <w:rPr>
          <w:rFonts w:ascii="Times New Roman" w:hAnsi="Times New Roman" w:cs="Times New Roman"/>
          <w:sz w:val="24"/>
          <w:szCs w:val="24"/>
        </w:rPr>
        <w:t xml:space="preserve"> suggestive evidence for the parallel</w:t>
      </w:r>
      <w:r w:rsidR="00E23D97" w:rsidRPr="007D06D8">
        <w:rPr>
          <w:rFonts w:ascii="Times New Roman" w:hAnsi="Times New Roman" w:cs="Times New Roman"/>
          <w:sz w:val="24"/>
          <w:szCs w:val="24"/>
        </w:rPr>
        <w:t>-</w:t>
      </w:r>
      <w:r w:rsidR="00B418F1" w:rsidRPr="007D06D8">
        <w:rPr>
          <w:rFonts w:ascii="Times New Roman" w:hAnsi="Times New Roman" w:cs="Times New Roman"/>
          <w:sz w:val="24"/>
          <w:szCs w:val="24"/>
        </w:rPr>
        <w:t>trend</w:t>
      </w:r>
      <w:r w:rsidR="000C7F5E" w:rsidRPr="007D06D8">
        <w:rPr>
          <w:rFonts w:ascii="Times New Roman" w:hAnsi="Times New Roman" w:cs="Times New Roman"/>
          <w:sz w:val="24"/>
          <w:szCs w:val="24"/>
        </w:rPr>
        <w:t>s</w:t>
      </w:r>
      <w:r w:rsidR="00B418F1" w:rsidRPr="007D06D8">
        <w:rPr>
          <w:rFonts w:ascii="Times New Roman" w:hAnsi="Times New Roman" w:cs="Times New Roman"/>
          <w:sz w:val="24"/>
          <w:szCs w:val="24"/>
        </w:rPr>
        <w:t xml:space="preserve"> assumption</w:t>
      </w:r>
      <w:r w:rsidR="001C4D38" w:rsidRPr="007D06D8">
        <w:rPr>
          <w:rFonts w:ascii="Times New Roman" w:hAnsi="Times New Roman" w:cs="Times New Roman"/>
          <w:sz w:val="24"/>
          <w:szCs w:val="24"/>
        </w:rPr>
        <w:t xml:space="preserve"> </w:t>
      </w:r>
      <w:r w:rsidR="00FC3413" w:rsidRPr="007D06D8">
        <w:rPr>
          <w:rFonts w:ascii="Times New Roman" w:hAnsi="Times New Roman" w:cs="Times New Roman"/>
          <w:sz w:val="24"/>
          <w:szCs w:val="24"/>
        </w:rPr>
        <w:t>of</w:t>
      </w:r>
      <w:r w:rsidR="001C4D38" w:rsidRPr="007D06D8">
        <w:rPr>
          <w:rFonts w:ascii="Times New Roman" w:hAnsi="Times New Roman" w:cs="Times New Roman"/>
          <w:sz w:val="24"/>
          <w:szCs w:val="24"/>
        </w:rPr>
        <w:t xml:space="preserve"> the DID </w:t>
      </w:r>
      <w:r w:rsidR="00DB1B2A" w:rsidRPr="007D06D8">
        <w:rPr>
          <w:rFonts w:ascii="Times New Roman" w:hAnsi="Times New Roman" w:cs="Times New Roman"/>
          <w:sz w:val="24"/>
          <w:szCs w:val="24"/>
        </w:rPr>
        <w:t>model;</w:t>
      </w:r>
      <w:r w:rsidR="001C7C3C" w:rsidRPr="007D06D8">
        <w:rPr>
          <w:rFonts w:ascii="Times New Roman" w:hAnsi="Times New Roman" w:cs="Times New Roman"/>
          <w:sz w:val="24"/>
          <w:szCs w:val="24"/>
        </w:rPr>
        <w:t xml:space="preserve"> </w:t>
      </w:r>
      <w:r w:rsidR="00CE764B" w:rsidRPr="007D06D8">
        <w:rPr>
          <w:rFonts w:ascii="Times New Roman" w:hAnsi="Times New Roman" w:cs="Times New Roman"/>
          <w:sz w:val="24"/>
          <w:szCs w:val="24"/>
        </w:rPr>
        <w:t xml:space="preserve">and </w:t>
      </w:r>
      <w:r w:rsidR="001C7C3C" w:rsidRPr="007D06D8">
        <w:rPr>
          <w:rFonts w:ascii="Times New Roman" w:hAnsi="Times New Roman" w:cs="Times New Roman"/>
          <w:sz w:val="24"/>
          <w:szCs w:val="24"/>
        </w:rPr>
        <w:t>s</w:t>
      </w:r>
      <w:r w:rsidR="00F95052" w:rsidRPr="007D06D8">
        <w:rPr>
          <w:rFonts w:ascii="Times New Roman" w:hAnsi="Times New Roman" w:cs="Times New Roman"/>
          <w:sz w:val="24"/>
          <w:szCs w:val="24"/>
        </w:rPr>
        <w:t xml:space="preserve">econd, </w:t>
      </w:r>
      <w:r w:rsidR="0021661C" w:rsidRPr="007D06D8">
        <w:rPr>
          <w:rFonts w:ascii="Times New Roman" w:hAnsi="Times New Roman" w:cs="Times New Roman"/>
          <w:sz w:val="24"/>
          <w:szCs w:val="24"/>
        </w:rPr>
        <w:t>to examine</w:t>
      </w:r>
      <w:r w:rsidR="00856A13" w:rsidRPr="007D06D8">
        <w:rPr>
          <w:rFonts w:ascii="Times New Roman" w:hAnsi="Times New Roman" w:cs="Times New Roman"/>
          <w:sz w:val="24"/>
          <w:szCs w:val="24"/>
        </w:rPr>
        <w:t xml:space="preserve"> temporal</w:t>
      </w:r>
      <w:r w:rsidR="0044235B" w:rsidRPr="007D06D8">
        <w:rPr>
          <w:rFonts w:ascii="Times New Roman" w:hAnsi="Times New Roman" w:cs="Times New Roman"/>
          <w:sz w:val="24"/>
          <w:szCs w:val="24"/>
        </w:rPr>
        <w:t xml:space="preserve"> association</w:t>
      </w:r>
      <w:r w:rsidR="00F95052" w:rsidRPr="007D06D8">
        <w:rPr>
          <w:rFonts w:ascii="Times New Roman" w:hAnsi="Times New Roman" w:cs="Times New Roman"/>
          <w:sz w:val="24"/>
          <w:szCs w:val="24"/>
        </w:rPr>
        <w:t xml:space="preserve"> dynamics following the </w:t>
      </w:r>
      <w:r w:rsidR="00E937CD" w:rsidRPr="007D06D8">
        <w:rPr>
          <w:rFonts w:ascii="Times New Roman" w:hAnsi="Times New Roman" w:cs="Times New Roman"/>
          <w:sz w:val="24"/>
          <w:szCs w:val="24"/>
        </w:rPr>
        <w:t>new payment model</w:t>
      </w:r>
      <w:r w:rsidR="00B418F1" w:rsidRPr="007D06D8">
        <w:rPr>
          <w:rFonts w:ascii="Times New Roman" w:hAnsi="Times New Roman" w:cs="Times New Roman"/>
          <w:sz w:val="24"/>
          <w:szCs w:val="24"/>
        </w:rPr>
        <w:t xml:space="preserve">. </w:t>
      </w:r>
    </w:p>
    <w:p w14:paraId="7A018DFF" w14:textId="77777777" w:rsidR="000C6303" w:rsidRDefault="000C6303" w:rsidP="007D06D8">
      <w:pPr>
        <w:spacing w:after="0" w:line="480" w:lineRule="auto"/>
        <w:jc w:val="both"/>
        <w:rPr>
          <w:rFonts w:ascii="Times New Roman" w:hAnsi="Times New Roman" w:cs="Times New Roman"/>
          <w:sz w:val="24"/>
          <w:szCs w:val="24"/>
        </w:rPr>
      </w:pPr>
    </w:p>
    <w:p w14:paraId="2E92DE04" w14:textId="61175EA0" w:rsidR="000C6303" w:rsidRDefault="00EF1C93" w:rsidP="000C6303">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We</w:t>
      </w:r>
      <w:r w:rsidR="00531A51" w:rsidRPr="00A11B6C">
        <w:rPr>
          <w:rFonts w:ascii="Times New Roman" w:hAnsi="Times New Roman" w:cs="Times New Roman"/>
          <w:sz w:val="24"/>
          <w:szCs w:val="24"/>
        </w:rPr>
        <w:t xml:space="preserve"> </w:t>
      </w:r>
      <w:r w:rsidR="00890DC6" w:rsidRPr="00A11B6C">
        <w:rPr>
          <w:rFonts w:ascii="Times New Roman" w:hAnsi="Times New Roman" w:cs="Times New Roman"/>
          <w:sz w:val="24"/>
          <w:szCs w:val="24"/>
        </w:rPr>
        <w:t>conduct</w:t>
      </w:r>
      <w:r w:rsidR="00A7632A" w:rsidRPr="00A11B6C">
        <w:rPr>
          <w:rFonts w:ascii="Times New Roman" w:hAnsi="Times New Roman" w:cs="Times New Roman"/>
          <w:sz w:val="24"/>
          <w:szCs w:val="24"/>
        </w:rPr>
        <w:t>ed</w:t>
      </w:r>
      <w:r w:rsidR="00531A51" w:rsidRPr="00A11B6C">
        <w:rPr>
          <w:rFonts w:ascii="Times New Roman" w:hAnsi="Times New Roman" w:cs="Times New Roman"/>
          <w:sz w:val="24"/>
          <w:szCs w:val="24"/>
        </w:rPr>
        <w:t xml:space="preserve"> a series of placebo tests within the DID framework</w:t>
      </w:r>
      <w:r w:rsidR="00511932" w:rsidRPr="00A11B6C">
        <w:rPr>
          <w:rFonts w:ascii="Times New Roman" w:hAnsi="Times New Roman" w:cs="Times New Roman"/>
          <w:sz w:val="24"/>
          <w:szCs w:val="24"/>
        </w:rPr>
        <w:t xml:space="preserve"> (</w:t>
      </w:r>
      <w:proofErr w:type="spellStart"/>
      <w:r w:rsidR="003341AA" w:rsidRPr="003341AA">
        <w:rPr>
          <w:rFonts w:ascii="Times New Roman" w:hAnsi="Times New Roman" w:cs="Times New Roman"/>
          <w:b/>
          <w:bCs/>
          <w:sz w:val="24"/>
          <w:szCs w:val="24"/>
        </w:rPr>
        <w:t>eMethods</w:t>
      </w:r>
      <w:proofErr w:type="spellEnd"/>
      <w:r w:rsidR="003341AA" w:rsidRPr="003341AA">
        <w:rPr>
          <w:rFonts w:ascii="Times New Roman" w:hAnsi="Times New Roman" w:cs="Times New Roman"/>
          <w:b/>
          <w:bCs/>
          <w:sz w:val="24"/>
          <w:szCs w:val="24"/>
        </w:rPr>
        <w:t xml:space="preserve"> 3</w:t>
      </w:r>
      <w:r w:rsidR="003341AA">
        <w:rPr>
          <w:rFonts w:ascii="Times New Roman" w:hAnsi="Times New Roman" w:cs="Times New Roman"/>
          <w:sz w:val="24"/>
          <w:szCs w:val="24"/>
        </w:rPr>
        <w:t xml:space="preserve"> in the Supplement</w:t>
      </w:r>
      <w:r w:rsidR="00511932" w:rsidRPr="00A11B6C">
        <w:rPr>
          <w:rFonts w:ascii="Times New Roman" w:hAnsi="Times New Roman" w:cs="Times New Roman"/>
          <w:sz w:val="24"/>
          <w:szCs w:val="24"/>
        </w:rPr>
        <w:t>)</w:t>
      </w:r>
      <w:r w:rsidR="00531A51" w:rsidRPr="00A11B6C">
        <w:rPr>
          <w:rFonts w:ascii="Times New Roman" w:hAnsi="Times New Roman" w:cs="Times New Roman"/>
          <w:sz w:val="24"/>
          <w:szCs w:val="24"/>
        </w:rPr>
        <w:t xml:space="preserve">. </w:t>
      </w:r>
      <w:r w:rsidR="006A14EE" w:rsidRPr="00A11B6C">
        <w:rPr>
          <w:rFonts w:ascii="Times New Roman" w:hAnsi="Times New Roman" w:cs="Times New Roman"/>
          <w:sz w:val="24"/>
          <w:szCs w:val="24"/>
        </w:rPr>
        <w:t>In o</w:t>
      </w:r>
      <w:r w:rsidR="00531A51" w:rsidRPr="00A11B6C">
        <w:rPr>
          <w:rFonts w:ascii="Times New Roman" w:hAnsi="Times New Roman" w:cs="Times New Roman"/>
          <w:sz w:val="24"/>
          <w:szCs w:val="24"/>
        </w:rPr>
        <w:t>ne illustrative placebo test</w:t>
      </w:r>
      <w:r w:rsidR="006A14EE" w:rsidRPr="00A11B6C">
        <w:rPr>
          <w:rFonts w:ascii="Times New Roman" w:hAnsi="Times New Roman" w:cs="Times New Roman"/>
          <w:sz w:val="24"/>
          <w:szCs w:val="24"/>
        </w:rPr>
        <w:t xml:space="preserve">, we </w:t>
      </w:r>
      <w:r w:rsidR="00531A51" w:rsidRPr="00A11B6C">
        <w:rPr>
          <w:rFonts w:ascii="Times New Roman" w:hAnsi="Times New Roman" w:cs="Times New Roman"/>
          <w:sz w:val="24"/>
          <w:szCs w:val="24"/>
        </w:rPr>
        <w:t>designat</w:t>
      </w:r>
      <w:r w:rsidR="00FE39AC" w:rsidRPr="00A11B6C">
        <w:rPr>
          <w:rFonts w:ascii="Times New Roman" w:hAnsi="Times New Roman" w:cs="Times New Roman"/>
          <w:sz w:val="24"/>
          <w:szCs w:val="24"/>
        </w:rPr>
        <w:t>e</w:t>
      </w:r>
      <w:r w:rsidR="00A7632A" w:rsidRPr="00A11B6C">
        <w:rPr>
          <w:rFonts w:ascii="Times New Roman" w:hAnsi="Times New Roman" w:cs="Times New Roman"/>
          <w:sz w:val="24"/>
          <w:szCs w:val="24"/>
        </w:rPr>
        <w:t>d</w:t>
      </w:r>
      <w:r w:rsidR="006A14EE" w:rsidRPr="00A11B6C">
        <w:rPr>
          <w:rFonts w:ascii="Times New Roman" w:hAnsi="Times New Roman" w:cs="Times New Roman"/>
          <w:sz w:val="24"/>
          <w:szCs w:val="24"/>
        </w:rPr>
        <w:t xml:space="preserve"> MA enrollees with diabetes (but without ADRD) as a placebo treatment group and MA enrollees without either condition as the control group, hypothesizing no association between the 2020 risk adjustment change and their care experiences. </w:t>
      </w:r>
      <w:r w:rsidR="006A14EE" w:rsidRPr="00A11B6C">
        <w:rPr>
          <w:rFonts w:ascii="Times New Roman" w:hAnsi="Times New Roman" w:cs="Times New Roman"/>
          <w:sz w:val="24"/>
          <w:szCs w:val="24"/>
        </w:rPr>
        <w:lastRenderedPageBreak/>
        <w:t>We extend</w:t>
      </w:r>
      <w:r w:rsidR="00A7632A" w:rsidRPr="00A11B6C">
        <w:rPr>
          <w:rFonts w:ascii="Times New Roman" w:hAnsi="Times New Roman" w:cs="Times New Roman"/>
          <w:sz w:val="24"/>
          <w:szCs w:val="24"/>
        </w:rPr>
        <w:t>ed</w:t>
      </w:r>
      <w:r w:rsidR="006A14EE" w:rsidRPr="00A11B6C">
        <w:rPr>
          <w:rFonts w:ascii="Times New Roman" w:hAnsi="Times New Roman" w:cs="Times New Roman"/>
          <w:sz w:val="24"/>
          <w:szCs w:val="24"/>
        </w:rPr>
        <w:t xml:space="preserve"> this strategy to additional placebo conditions, including hypertension, myocardial infarction, and stroke, among others.</w:t>
      </w:r>
    </w:p>
    <w:p w14:paraId="0AD0D722" w14:textId="77777777" w:rsidR="000C6303" w:rsidRDefault="000C6303" w:rsidP="000C6303">
      <w:pPr>
        <w:spacing w:after="0" w:line="480" w:lineRule="auto"/>
        <w:jc w:val="both"/>
        <w:rPr>
          <w:rFonts w:ascii="Times New Roman" w:hAnsi="Times New Roman" w:cs="Times New Roman"/>
          <w:sz w:val="24"/>
          <w:szCs w:val="24"/>
        </w:rPr>
      </w:pPr>
    </w:p>
    <w:p w14:paraId="090517C3" w14:textId="535BFB9F" w:rsidR="00A4280A" w:rsidRPr="00A11B6C" w:rsidRDefault="00A4280A" w:rsidP="000C6303">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Finally, we replicate</w:t>
      </w:r>
      <w:r w:rsidR="00A7632A" w:rsidRPr="00A11B6C">
        <w:rPr>
          <w:rFonts w:ascii="Times New Roman" w:hAnsi="Times New Roman" w:cs="Times New Roman"/>
          <w:sz w:val="24"/>
          <w:szCs w:val="24"/>
        </w:rPr>
        <w:t>d</w:t>
      </w:r>
      <w:r w:rsidRPr="00A11B6C">
        <w:rPr>
          <w:rFonts w:ascii="Times New Roman" w:hAnsi="Times New Roman" w:cs="Times New Roman"/>
          <w:sz w:val="24"/>
          <w:szCs w:val="24"/>
        </w:rPr>
        <w:t xml:space="preserve"> the baseline DID design in a TM sample, using TM beneficiaries with ADRD as the placebo treatment group and TM beneficiaries with other neurological conditions (stroke, paralysis, Parkinson’s) but not ADRD as the placebo control group.</w:t>
      </w:r>
    </w:p>
    <w:p w14:paraId="2D8141C5" w14:textId="77777777" w:rsidR="000C6303" w:rsidRDefault="000C6303" w:rsidP="00A11B6C">
      <w:pPr>
        <w:pStyle w:val="Heading2"/>
        <w:spacing w:before="0" w:after="0" w:line="480" w:lineRule="auto"/>
        <w:rPr>
          <w:rFonts w:cs="Times New Roman"/>
          <w:sz w:val="24"/>
          <w:szCs w:val="24"/>
        </w:rPr>
      </w:pPr>
    </w:p>
    <w:p w14:paraId="3A7B9112" w14:textId="283C3368" w:rsidR="00346B14" w:rsidRPr="001671C0" w:rsidRDefault="000C6303" w:rsidP="00A11B6C">
      <w:pPr>
        <w:pStyle w:val="Heading2"/>
        <w:spacing w:before="0" w:after="0" w:line="480" w:lineRule="auto"/>
        <w:rPr>
          <w:rFonts w:cs="Times New Roman"/>
          <w:b/>
          <w:bCs/>
          <w:color w:val="000000" w:themeColor="text1"/>
          <w:sz w:val="24"/>
          <w:szCs w:val="24"/>
        </w:rPr>
      </w:pPr>
      <w:r w:rsidRPr="001671C0">
        <w:rPr>
          <w:rFonts w:cs="Times New Roman"/>
          <w:b/>
          <w:bCs/>
          <w:color w:val="000000" w:themeColor="text1"/>
          <w:sz w:val="24"/>
          <w:szCs w:val="24"/>
        </w:rPr>
        <w:t>R</w:t>
      </w:r>
      <w:r w:rsidR="00346B14" w:rsidRPr="001671C0">
        <w:rPr>
          <w:rFonts w:cs="Times New Roman"/>
          <w:b/>
          <w:bCs/>
          <w:color w:val="000000" w:themeColor="text1"/>
          <w:sz w:val="24"/>
          <w:szCs w:val="24"/>
        </w:rPr>
        <w:t>esults</w:t>
      </w:r>
    </w:p>
    <w:p w14:paraId="4D6E6EA8" w14:textId="511D22ED" w:rsidR="00AC7E5A" w:rsidRPr="001671C0" w:rsidRDefault="00B36709" w:rsidP="00A11B6C">
      <w:pPr>
        <w:pStyle w:val="Heading3"/>
        <w:spacing w:before="0" w:after="0" w:line="480" w:lineRule="auto"/>
        <w:rPr>
          <w:rFonts w:cs="Times New Roman"/>
          <w:b w:val="0"/>
          <w:bCs/>
          <w:i/>
          <w:iCs/>
          <w:szCs w:val="24"/>
        </w:rPr>
      </w:pPr>
      <w:r w:rsidRPr="001671C0">
        <w:rPr>
          <w:rFonts w:cs="Times New Roman"/>
          <w:b w:val="0"/>
          <w:bCs/>
          <w:i/>
          <w:iCs/>
          <w:szCs w:val="24"/>
        </w:rPr>
        <w:t xml:space="preserve">Sample </w:t>
      </w:r>
      <w:r w:rsidR="00292DAD" w:rsidRPr="001671C0">
        <w:rPr>
          <w:rFonts w:cs="Times New Roman"/>
          <w:b w:val="0"/>
          <w:bCs/>
          <w:i/>
          <w:iCs/>
          <w:szCs w:val="24"/>
        </w:rPr>
        <w:t>Characteristics</w:t>
      </w:r>
      <w:r w:rsidRPr="001671C0">
        <w:rPr>
          <w:rFonts w:cs="Times New Roman"/>
          <w:b w:val="0"/>
          <w:bCs/>
          <w:i/>
          <w:iCs/>
          <w:szCs w:val="24"/>
        </w:rPr>
        <w:t xml:space="preserve"> </w:t>
      </w:r>
    </w:p>
    <w:p w14:paraId="10E612E8" w14:textId="17334AC2" w:rsidR="00880FD4" w:rsidRPr="00A11B6C" w:rsidRDefault="00D56F42"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In</w:t>
      </w:r>
      <w:r w:rsidR="00880FD4" w:rsidRPr="00A11B6C">
        <w:rPr>
          <w:rFonts w:ascii="Times New Roman" w:hAnsi="Times New Roman" w:cs="Times New Roman"/>
          <w:sz w:val="24"/>
          <w:szCs w:val="24"/>
        </w:rPr>
        <w:t xml:space="preserve"> Table 1, </w:t>
      </w:r>
      <w:r w:rsidR="00C479F4" w:rsidRPr="00A11B6C">
        <w:rPr>
          <w:rFonts w:ascii="Times New Roman" w:hAnsi="Times New Roman" w:cs="Times New Roman"/>
          <w:sz w:val="24"/>
          <w:szCs w:val="24"/>
        </w:rPr>
        <w:t>among the</w:t>
      </w:r>
      <w:r w:rsidR="002335F6" w:rsidRPr="00A11B6C">
        <w:rPr>
          <w:rFonts w:ascii="Times New Roman" w:hAnsi="Times New Roman" w:cs="Times New Roman"/>
          <w:sz w:val="24"/>
          <w:szCs w:val="24"/>
        </w:rPr>
        <w:t xml:space="preserve"> 5,353 MA beneficiaries</w:t>
      </w:r>
      <w:r w:rsidR="00C479F4" w:rsidRPr="00A11B6C">
        <w:rPr>
          <w:rFonts w:ascii="Times New Roman" w:hAnsi="Times New Roman" w:cs="Times New Roman"/>
          <w:sz w:val="24"/>
          <w:szCs w:val="24"/>
        </w:rPr>
        <w:t xml:space="preserve"> in our sample</w:t>
      </w:r>
      <w:r w:rsidR="0081664C" w:rsidRPr="00A11B6C">
        <w:rPr>
          <w:rFonts w:ascii="Times New Roman" w:hAnsi="Times New Roman" w:cs="Times New Roman"/>
          <w:sz w:val="24"/>
          <w:szCs w:val="24"/>
        </w:rPr>
        <w:t xml:space="preserve">, </w:t>
      </w:r>
      <w:r w:rsidR="00C72CBF" w:rsidRPr="00A11B6C">
        <w:rPr>
          <w:rFonts w:ascii="Times New Roman" w:hAnsi="Times New Roman" w:cs="Times New Roman"/>
          <w:sz w:val="24"/>
          <w:szCs w:val="24"/>
        </w:rPr>
        <w:t>1,629</w:t>
      </w:r>
      <w:r w:rsidR="00742C7B" w:rsidRPr="00A11B6C">
        <w:rPr>
          <w:rFonts w:ascii="Times New Roman" w:hAnsi="Times New Roman" w:cs="Times New Roman"/>
          <w:sz w:val="24"/>
          <w:szCs w:val="24"/>
        </w:rPr>
        <w:t xml:space="preserve"> (</w:t>
      </w:r>
      <w:r w:rsidR="00880FD4" w:rsidRPr="00A11B6C">
        <w:rPr>
          <w:rFonts w:ascii="Times New Roman" w:hAnsi="Times New Roman" w:cs="Times New Roman"/>
          <w:sz w:val="24"/>
          <w:szCs w:val="24"/>
        </w:rPr>
        <w:t>30.4%</w:t>
      </w:r>
      <w:r w:rsidR="00742C7B" w:rsidRPr="00A11B6C">
        <w:rPr>
          <w:rFonts w:ascii="Times New Roman" w:hAnsi="Times New Roman" w:cs="Times New Roman"/>
          <w:sz w:val="24"/>
          <w:szCs w:val="24"/>
        </w:rPr>
        <w:t>)</w:t>
      </w:r>
      <w:r w:rsidR="00880FD4" w:rsidRPr="00A11B6C">
        <w:rPr>
          <w:rFonts w:ascii="Times New Roman" w:hAnsi="Times New Roman" w:cs="Times New Roman"/>
          <w:sz w:val="24"/>
          <w:szCs w:val="24"/>
        </w:rPr>
        <w:t xml:space="preserve"> </w:t>
      </w:r>
      <w:r w:rsidR="008C2963" w:rsidRPr="00A11B6C">
        <w:rPr>
          <w:rFonts w:ascii="Times New Roman" w:hAnsi="Times New Roman" w:cs="Times New Roman"/>
          <w:sz w:val="24"/>
          <w:szCs w:val="24"/>
        </w:rPr>
        <w:t>had</w:t>
      </w:r>
      <w:r w:rsidR="00EC43CB" w:rsidRPr="00A11B6C">
        <w:rPr>
          <w:rFonts w:ascii="Times New Roman" w:hAnsi="Times New Roman" w:cs="Times New Roman"/>
          <w:sz w:val="24"/>
          <w:szCs w:val="24"/>
        </w:rPr>
        <w:t xml:space="preserve"> </w:t>
      </w:r>
      <w:r w:rsidR="001F2EFB" w:rsidRPr="00A11B6C">
        <w:rPr>
          <w:rFonts w:ascii="Times New Roman" w:hAnsi="Times New Roman" w:cs="Times New Roman"/>
          <w:sz w:val="24"/>
          <w:szCs w:val="24"/>
        </w:rPr>
        <w:t>been</w:t>
      </w:r>
      <w:r w:rsidR="00EC43CB" w:rsidRPr="00A11B6C">
        <w:rPr>
          <w:rFonts w:ascii="Times New Roman" w:hAnsi="Times New Roman" w:cs="Times New Roman"/>
          <w:sz w:val="24"/>
          <w:szCs w:val="24"/>
        </w:rPr>
        <w:t xml:space="preserve"> diagnosed</w:t>
      </w:r>
      <w:r w:rsidR="00880FD4" w:rsidRPr="00A11B6C">
        <w:rPr>
          <w:rFonts w:ascii="Times New Roman" w:hAnsi="Times New Roman" w:cs="Times New Roman"/>
          <w:sz w:val="24"/>
          <w:szCs w:val="24"/>
        </w:rPr>
        <w:t xml:space="preserve"> with AD</w:t>
      </w:r>
      <w:r w:rsidR="009F449E" w:rsidRPr="00A11B6C">
        <w:rPr>
          <w:rFonts w:ascii="Times New Roman" w:hAnsi="Times New Roman" w:cs="Times New Roman"/>
          <w:sz w:val="24"/>
          <w:szCs w:val="24"/>
        </w:rPr>
        <w:t>RD</w:t>
      </w:r>
      <w:r w:rsidR="0081664C" w:rsidRPr="00A11B6C">
        <w:rPr>
          <w:rFonts w:ascii="Times New Roman" w:hAnsi="Times New Roman" w:cs="Times New Roman"/>
          <w:sz w:val="24"/>
          <w:szCs w:val="24"/>
        </w:rPr>
        <w:t>, while the remaining 3,724 ha</w:t>
      </w:r>
      <w:r w:rsidR="008C2963" w:rsidRPr="00A11B6C">
        <w:rPr>
          <w:rFonts w:ascii="Times New Roman" w:hAnsi="Times New Roman" w:cs="Times New Roman"/>
          <w:sz w:val="24"/>
          <w:szCs w:val="24"/>
        </w:rPr>
        <w:t>d</w:t>
      </w:r>
      <w:r w:rsidR="0081664C" w:rsidRPr="00A11B6C">
        <w:rPr>
          <w:rFonts w:ascii="Times New Roman" w:hAnsi="Times New Roman" w:cs="Times New Roman"/>
          <w:sz w:val="24"/>
          <w:szCs w:val="24"/>
        </w:rPr>
        <w:t xml:space="preserve"> </w:t>
      </w:r>
      <w:r w:rsidR="00A96718" w:rsidRPr="00A11B6C">
        <w:rPr>
          <w:rFonts w:ascii="Times New Roman" w:hAnsi="Times New Roman" w:cs="Times New Roman"/>
          <w:sz w:val="24"/>
          <w:szCs w:val="24"/>
        </w:rPr>
        <w:t xml:space="preserve">a </w:t>
      </w:r>
      <w:r w:rsidR="0081664C" w:rsidRPr="00A11B6C">
        <w:rPr>
          <w:rFonts w:ascii="Times New Roman" w:hAnsi="Times New Roman" w:cs="Times New Roman"/>
          <w:sz w:val="24"/>
          <w:szCs w:val="24"/>
        </w:rPr>
        <w:t>stroke</w:t>
      </w:r>
      <w:r w:rsidR="00A96718" w:rsidRPr="00A11B6C">
        <w:rPr>
          <w:rFonts w:ascii="Times New Roman" w:hAnsi="Times New Roman" w:cs="Times New Roman"/>
          <w:sz w:val="24"/>
          <w:szCs w:val="24"/>
        </w:rPr>
        <w:t xml:space="preserve">, </w:t>
      </w:r>
      <w:r w:rsidR="0081664C" w:rsidRPr="00A11B6C">
        <w:rPr>
          <w:rFonts w:ascii="Times New Roman" w:hAnsi="Times New Roman" w:cs="Times New Roman"/>
          <w:sz w:val="24"/>
          <w:szCs w:val="24"/>
        </w:rPr>
        <w:t>paralysis</w:t>
      </w:r>
      <w:r w:rsidR="00A96718" w:rsidRPr="00A11B6C">
        <w:rPr>
          <w:rFonts w:ascii="Times New Roman" w:hAnsi="Times New Roman" w:cs="Times New Roman"/>
          <w:sz w:val="24"/>
          <w:szCs w:val="24"/>
        </w:rPr>
        <w:t>,</w:t>
      </w:r>
      <w:r w:rsidR="0081664C" w:rsidRPr="00A11B6C">
        <w:rPr>
          <w:rFonts w:ascii="Times New Roman" w:hAnsi="Times New Roman" w:cs="Times New Roman"/>
          <w:sz w:val="24"/>
          <w:szCs w:val="24"/>
        </w:rPr>
        <w:t xml:space="preserve"> or Parkinson’s </w:t>
      </w:r>
      <w:r w:rsidR="00591B88" w:rsidRPr="00A11B6C">
        <w:rPr>
          <w:rFonts w:ascii="Times New Roman" w:hAnsi="Times New Roman" w:cs="Times New Roman"/>
          <w:sz w:val="24"/>
          <w:szCs w:val="24"/>
        </w:rPr>
        <w:t>d</w:t>
      </w:r>
      <w:r w:rsidR="0081664C" w:rsidRPr="00A11B6C">
        <w:rPr>
          <w:rFonts w:ascii="Times New Roman" w:hAnsi="Times New Roman" w:cs="Times New Roman"/>
          <w:sz w:val="24"/>
          <w:szCs w:val="24"/>
        </w:rPr>
        <w:t xml:space="preserve">isease. </w:t>
      </w:r>
      <w:r w:rsidR="00A707E6" w:rsidRPr="00A11B6C">
        <w:rPr>
          <w:rFonts w:ascii="Times New Roman" w:hAnsi="Times New Roman" w:cs="Times New Roman"/>
          <w:sz w:val="24"/>
          <w:szCs w:val="24"/>
        </w:rPr>
        <w:t>Approximately</w:t>
      </w:r>
      <w:r w:rsidR="00960A09" w:rsidRPr="00A11B6C">
        <w:rPr>
          <w:rFonts w:ascii="Times New Roman" w:hAnsi="Times New Roman" w:cs="Times New Roman"/>
          <w:sz w:val="24"/>
          <w:szCs w:val="24"/>
        </w:rPr>
        <w:t xml:space="preserve"> 18.4% of </w:t>
      </w:r>
      <w:r w:rsidR="00487713" w:rsidRPr="00A11B6C">
        <w:rPr>
          <w:rFonts w:ascii="Times New Roman" w:hAnsi="Times New Roman" w:cs="Times New Roman"/>
          <w:sz w:val="24"/>
          <w:szCs w:val="24"/>
        </w:rPr>
        <w:t>the sample</w:t>
      </w:r>
      <w:r w:rsidR="006551B9" w:rsidRPr="00A11B6C">
        <w:rPr>
          <w:rFonts w:ascii="Times New Roman" w:hAnsi="Times New Roman" w:cs="Times New Roman"/>
          <w:sz w:val="24"/>
          <w:szCs w:val="24"/>
        </w:rPr>
        <w:t xml:space="preserve"> </w:t>
      </w:r>
      <w:r w:rsidR="00A7632A" w:rsidRPr="00A11B6C">
        <w:rPr>
          <w:rFonts w:ascii="Times New Roman" w:hAnsi="Times New Roman" w:cs="Times New Roman"/>
          <w:sz w:val="24"/>
          <w:szCs w:val="24"/>
        </w:rPr>
        <w:t>was</w:t>
      </w:r>
      <w:r w:rsidR="00960A09" w:rsidRPr="00A11B6C">
        <w:rPr>
          <w:rFonts w:ascii="Times New Roman" w:hAnsi="Times New Roman" w:cs="Times New Roman"/>
          <w:sz w:val="24"/>
          <w:szCs w:val="24"/>
        </w:rPr>
        <w:t xml:space="preserve"> under 65, </w:t>
      </w:r>
      <w:r w:rsidR="00B32E06" w:rsidRPr="00A11B6C">
        <w:rPr>
          <w:rFonts w:ascii="Times New Roman" w:hAnsi="Times New Roman" w:cs="Times New Roman"/>
          <w:sz w:val="24"/>
          <w:szCs w:val="24"/>
        </w:rPr>
        <w:t>and</w:t>
      </w:r>
      <w:r w:rsidR="00960A09" w:rsidRPr="00A11B6C">
        <w:rPr>
          <w:rFonts w:ascii="Times New Roman" w:hAnsi="Times New Roman" w:cs="Times New Roman"/>
          <w:sz w:val="24"/>
          <w:szCs w:val="24"/>
        </w:rPr>
        <w:t xml:space="preserve"> a significant proportion</w:t>
      </w:r>
      <w:r w:rsidR="001202E2" w:rsidRPr="00A11B6C">
        <w:rPr>
          <w:rFonts w:ascii="Times New Roman" w:hAnsi="Times New Roman" w:cs="Times New Roman"/>
          <w:sz w:val="24"/>
          <w:szCs w:val="24"/>
        </w:rPr>
        <w:t xml:space="preserve"> (</w:t>
      </w:r>
      <w:r w:rsidR="00960A09" w:rsidRPr="00A11B6C">
        <w:rPr>
          <w:rFonts w:ascii="Times New Roman" w:hAnsi="Times New Roman" w:cs="Times New Roman"/>
          <w:sz w:val="24"/>
          <w:szCs w:val="24"/>
        </w:rPr>
        <w:t>58.4%</w:t>
      </w:r>
      <w:r w:rsidR="001202E2" w:rsidRPr="00A11B6C">
        <w:rPr>
          <w:rFonts w:ascii="Times New Roman" w:hAnsi="Times New Roman" w:cs="Times New Roman"/>
          <w:sz w:val="24"/>
          <w:szCs w:val="24"/>
        </w:rPr>
        <w:t>)</w:t>
      </w:r>
      <w:r w:rsidR="00960A09" w:rsidRPr="00A11B6C">
        <w:rPr>
          <w:rFonts w:ascii="Times New Roman" w:hAnsi="Times New Roman" w:cs="Times New Roman"/>
          <w:sz w:val="24"/>
          <w:szCs w:val="24"/>
        </w:rPr>
        <w:t xml:space="preserve"> </w:t>
      </w:r>
      <w:r w:rsidR="00A13C72" w:rsidRPr="00A11B6C">
        <w:rPr>
          <w:rFonts w:ascii="Times New Roman" w:hAnsi="Times New Roman" w:cs="Times New Roman"/>
          <w:sz w:val="24"/>
          <w:szCs w:val="24"/>
        </w:rPr>
        <w:t xml:space="preserve">is </w:t>
      </w:r>
      <w:r w:rsidR="00960A09" w:rsidRPr="00A11B6C">
        <w:rPr>
          <w:rFonts w:ascii="Times New Roman" w:hAnsi="Times New Roman" w:cs="Times New Roman"/>
          <w:sz w:val="24"/>
          <w:szCs w:val="24"/>
        </w:rPr>
        <w:t xml:space="preserve">75 </w:t>
      </w:r>
      <w:r w:rsidR="00720318" w:rsidRPr="00A11B6C">
        <w:rPr>
          <w:rFonts w:ascii="Times New Roman" w:hAnsi="Times New Roman" w:cs="Times New Roman"/>
          <w:sz w:val="24"/>
          <w:szCs w:val="24"/>
        </w:rPr>
        <w:t>or</w:t>
      </w:r>
      <w:r w:rsidR="002F3FF7" w:rsidRPr="00A11B6C">
        <w:rPr>
          <w:rFonts w:ascii="Times New Roman" w:hAnsi="Times New Roman" w:cs="Times New Roman"/>
          <w:sz w:val="24"/>
          <w:szCs w:val="24"/>
        </w:rPr>
        <w:t xml:space="preserve"> old</w:t>
      </w:r>
      <w:r w:rsidR="00720318" w:rsidRPr="00A11B6C">
        <w:rPr>
          <w:rFonts w:ascii="Times New Roman" w:hAnsi="Times New Roman" w:cs="Times New Roman"/>
          <w:sz w:val="24"/>
          <w:szCs w:val="24"/>
        </w:rPr>
        <w:t>er</w:t>
      </w:r>
      <w:r w:rsidR="00960A09" w:rsidRPr="00A11B6C">
        <w:rPr>
          <w:rFonts w:ascii="Times New Roman" w:hAnsi="Times New Roman" w:cs="Times New Roman"/>
          <w:sz w:val="24"/>
          <w:szCs w:val="24"/>
        </w:rPr>
        <w:t xml:space="preserve">. The racial composition </w:t>
      </w:r>
      <w:r w:rsidR="00A7632A" w:rsidRPr="00A11B6C">
        <w:rPr>
          <w:rFonts w:ascii="Times New Roman" w:hAnsi="Times New Roman" w:cs="Times New Roman"/>
          <w:sz w:val="24"/>
          <w:szCs w:val="24"/>
        </w:rPr>
        <w:t>was</w:t>
      </w:r>
      <w:r w:rsidR="00960A09" w:rsidRPr="00A11B6C">
        <w:rPr>
          <w:rFonts w:ascii="Times New Roman" w:hAnsi="Times New Roman" w:cs="Times New Roman"/>
          <w:sz w:val="24"/>
          <w:szCs w:val="24"/>
        </w:rPr>
        <w:t xml:space="preserve"> predominantly non-Hispanic white</w:t>
      </w:r>
      <w:r w:rsidR="00A175F7" w:rsidRPr="00A11B6C">
        <w:rPr>
          <w:rFonts w:ascii="Times New Roman" w:hAnsi="Times New Roman" w:cs="Times New Roman"/>
          <w:sz w:val="24"/>
          <w:szCs w:val="24"/>
        </w:rPr>
        <w:t xml:space="preserve"> (</w:t>
      </w:r>
      <w:r w:rsidR="00960A09" w:rsidRPr="00A11B6C">
        <w:rPr>
          <w:rFonts w:ascii="Times New Roman" w:hAnsi="Times New Roman" w:cs="Times New Roman"/>
          <w:sz w:val="24"/>
          <w:szCs w:val="24"/>
        </w:rPr>
        <w:t>6</w:t>
      </w:r>
      <w:r w:rsidR="00A42808" w:rsidRPr="00A11B6C">
        <w:rPr>
          <w:rFonts w:ascii="Times New Roman" w:hAnsi="Times New Roman" w:cs="Times New Roman"/>
          <w:sz w:val="24"/>
          <w:szCs w:val="24"/>
        </w:rPr>
        <w:t>1</w:t>
      </w:r>
      <w:r w:rsidR="00960A09" w:rsidRPr="00A11B6C">
        <w:rPr>
          <w:rFonts w:ascii="Times New Roman" w:hAnsi="Times New Roman" w:cs="Times New Roman"/>
          <w:sz w:val="24"/>
          <w:szCs w:val="24"/>
        </w:rPr>
        <w:t>.7%</w:t>
      </w:r>
      <w:r w:rsidR="00A175F7" w:rsidRPr="00A11B6C">
        <w:rPr>
          <w:rFonts w:ascii="Times New Roman" w:hAnsi="Times New Roman" w:cs="Times New Roman"/>
          <w:sz w:val="24"/>
          <w:szCs w:val="24"/>
        </w:rPr>
        <w:t>)</w:t>
      </w:r>
      <w:r w:rsidR="00960A09" w:rsidRPr="00A11B6C">
        <w:rPr>
          <w:rFonts w:ascii="Times New Roman" w:hAnsi="Times New Roman" w:cs="Times New Roman"/>
          <w:sz w:val="24"/>
          <w:szCs w:val="24"/>
        </w:rPr>
        <w:t xml:space="preserve">, </w:t>
      </w:r>
      <w:r w:rsidR="0010618B" w:rsidRPr="00A11B6C">
        <w:rPr>
          <w:rFonts w:ascii="Times New Roman" w:hAnsi="Times New Roman" w:cs="Times New Roman"/>
          <w:sz w:val="24"/>
          <w:szCs w:val="24"/>
        </w:rPr>
        <w:t>followed by</w:t>
      </w:r>
      <w:r w:rsidR="00960A09" w:rsidRPr="00A11B6C">
        <w:rPr>
          <w:rFonts w:ascii="Times New Roman" w:hAnsi="Times New Roman" w:cs="Times New Roman"/>
          <w:sz w:val="24"/>
          <w:szCs w:val="24"/>
        </w:rPr>
        <w:t xml:space="preserve"> Hispanic beneficiaries </w:t>
      </w:r>
      <w:r w:rsidR="0010618B" w:rsidRPr="00A11B6C">
        <w:rPr>
          <w:rFonts w:ascii="Times New Roman" w:hAnsi="Times New Roman" w:cs="Times New Roman"/>
          <w:sz w:val="24"/>
          <w:szCs w:val="24"/>
        </w:rPr>
        <w:t>(</w:t>
      </w:r>
      <w:r w:rsidR="00960A09" w:rsidRPr="00A11B6C">
        <w:rPr>
          <w:rFonts w:ascii="Times New Roman" w:hAnsi="Times New Roman" w:cs="Times New Roman"/>
          <w:sz w:val="24"/>
          <w:szCs w:val="24"/>
        </w:rPr>
        <w:t>1</w:t>
      </w:r>
      <w:r w:rsidR="00A42808" w:rsidRPr="00A11B6C">
        <w:rPr>
          <w:rFonts w:ascii="Times New Roman" w:hAnsi="Times New Roman" w:cs="Times New Roman"/>
          <w:sz w:val="24"/>
          <w:szCs w:val="24"/>
        </w:rPr>
        <w:t>6.6</w:t>
      </w:r>
      <w:r w:rsidR="00960A09" w:rsidRPr="00A11B6C">
        <w:rPr>
          <w:rFonts w:ascii="Times New Roman" w:hAnsi="Times New Roman" w:cs="Times New Roman"/>
          <w:sz w:val="24"/>
          <w:szCs w:val="24"/>
        </w:rPr>
        <w:t>%</w:t>
      </w:r>
      <w:r w:rsidR="0010618B" w:rsidRPr="00A11B6C">
        <w:rPr>
          <w:rFonts w:ascii="Times New Roman" w:hAnsi="Times New Roman" w:cs="Times New Roman"/>
          <w:sz w:val="24"/>
          <w:szCs w:val="24"/>
        </w:rPr>
        <w:t>)</w:t>
      </w:r>
      <w:r w:rsidR="00404121" w:rsidRPr="00A11B6C">
        <w:rPr>
          <w:rFonts w:ascii="Times New Roman" w:hAnsi="Times New Roman" w:cs="Times New Roman"/>
          <w:sz w:val="24"/>
          <w:szCs w:val="24"/>
        </w:rPr>
        <w:t xml:space="preserve"> and black beneficiaries (15</w:t>
      </w:r>
      <w:r w:rsidR="00665583" w:rsidRPr="00A11B6C">
        <w:rPr>
          <w:rFonts w:ascii="Times New Roman" w:hAnsi="Times New Roman" w:cs="Times New Roman"/>
          <w:sz w:val="24"/>
          <w:szCs w:val="24"/>
        </w:rPr>
        <w:t>.7</w:t>
      </w:r>
      <w:r w:rsidR="00404121" w:rsidRPr="00A11B6C">
        <w:rPr>
          <w:rFonts w:ascii="Times New Roman" w:hAnsi="Times New Roman" w:cs="Times New Roman"/>
          <w:sz w:val="24"/>
          <w:szCs w:val="24"/>
        </w:rPr>
        <w:t>%)</w:t>
      </w:r>
      <w:r w:rsidR="00960A09" w:rsidRPr="00A11B6C">
        <w:rPr>
          <w:rFonts w:ascii="Times New Roman" w:hAnsi="Times New Roman" w:cs="Times New Roman"/>
          <w:sz w:val="24"/>
          <w:szCs w:val="24"/>
        </w:rPr>
        <w:t xml:space="preserve">. About </w:t>
      </w:r>
      <w:r w:rsidR="00522366" w:rsidRPr="00A11B6C">
        <w:rPr>
          <w:rFonts w:ascii="Times New Roman" w:hAnsi="Times New Roman" w:cs="Times New Roman"/>
          <w:sz w:val="24"/>
          <w:szCs w:val="24"/>
        </w:rPr>
        <w:t>one-</w:t>
      </w:r>
      <w:r w:rsidR="00477133" w:rsidRPr="00A11B6C">
        <w:rPr>
          <w:rFonts w:ascii="Times New Roman" w:hAnsi="Times New Roman" w:cs="Times New Roman"/>
          <w:sz w:val="24"/>
          <w:szCs w:val="24"/>
        </w:rPr>
        <w:t>third</w:t>
      </w:r>
      <w:r w:rsidR="00960A09" w:rsidRPr="00A11B6C">
        <w:rPr>
          <w:rFonts w:ascii="Times New Roman" w:hAnsi="Times New Roman" w:cs="Times New Roman"/>
          <w:sz w:val="24"/>
          <w:szCs w:val="24"/>
        </w:rPr>
        <w:t xml:space="preserve"> </w:t>
      </w:r>
      <w:r w:rsidR="00A7632A" w:rsidRPr="00A11B6C">
        <w:rPr>
          <w:rFonts w:ascii="Times New Roman" w:hAnsi="Times New Roman" w:cs="Times New Roman"/>
          <w:sz w:val="24"/>
          <w:szCs w:val="24"/>
        </w:rPr>
        <w:t>were</w:t>
      </w:r>
      <w:r w:rsidR="00960A09" w:rsidRPr="00A11B6C">
        <w:rPr>
          <w:rFonts w:ascii="Times New Roman" w:hAnsi="Times New Roman" w:cs="Times New Roman"/>
          <w:sz w:val="24"/>
          <w:szCs w:val="24"/>
        </w:rPr>
        <w:t xml:space="preserve"> male </w:t>
      </w:r>
      <w:r w:rsidR="00477133" w:rsidRPr="00A11B6C">
        <w:rPr>
          <w:rFonts w:ascii="Times New Roman" w:hAnsi="Times New Roman" w:cs="Times New Roman"/>
          <w:sz w:val="24"/>
          <w:szCs w:val="24"/>
        </w:rPr>
        <w:t xml:space="preserve">or married with </w:t>
      </w:r>
      <w:r w:rsidR="008B4F2F" w:rsidRPr="00A11B6C">
        <w:rPr>
          <w:rFonts w:ascii="Times New Roman" w:hAnsi="Times New Roman" w:cs="Times New Roman"/>
          <w:sz w:val="24"/>
          <w:szCs w:val="24"/>
        </w:rPr>
        <w:t xml:space="preserve">a </w:t>
      </w:r>
      <w:r w:rsidR="00477133" w:rsidRPr="00A11B6C">
        <w:rPr>
          <w:rFonts w:ascii="Times New Roman" w:hAnsi="Times New Roman" w:cs="Times New Roman"/>
          <w:sz w:val="24"/>
          <w:szCs w:val="24"/>
        </w:rPr>
        <w:t xml:space="preserve">spouse present. </w:t>
      </w:r>
      <w:r w:rsidR="00484351" w:rsidRPr="00A11B6C">
        <w:rPr>
          <w:rFonts w:ascii="Times New Roman" w:hAnsi="Times New Roman" w:cs="Times New Roman"/>
          <w:sz w:val="24"/>
          <w:szCs w:val="24"/>
        </w:rPr>
        <w:t xml:space="preserve">Over half have </w:t>
      </w:r>
      <w:r w:rsidR="00847849" w:rsidRPr="00A11B6C">
        <w:rPr>
          <w:rFonts w:ascii="Times New Roman" w:hAnsi="Times New Roman" w:cs="Times New Roman"/>
          <w:sz w:val="24"/>
          <w:szCs w:val="24"/>
        </w:rPr>
        <w:t xml:space="preserve">attained </w:t>
      </w:r>
      <w:r w:rsidR="00484351" w:rsidRPr="00A11B6C">
        <w:rPr>
          <w:rFonts w:ascii="Times New Roman" w:hAnsi="Times New Roman" w:cs="Times New Roman"/>
          <w:sz w:val="24"/>
          <w:szCs w:val="24"/>
        </w:rPr>
        <w:t xml:space="preserve">no more than </w:t>
      </w:r>
      <w:r w:rsidR="00522366" w:rsidRPr="00A11B6C">
        <w:rPr>
          <w:rFonts w:ascii="Times New Roman" w:hAnsi="Times New Roman" w:cs="Times New Roman"/>
          <w:sz w:val="24"/>
          <w:szCs w:val="24"/>
        </w:rPr>
        <w:t xml:space="preserve">a </w:t>
      </w:r>
      <w:r w:rsidR="00484351" w:rsidRPr="00A11B6C">
        <w:rPr>
          <w:rFonts w:ascii="Times New Roman" w:hAnsi="Times New Roman" w:cs="Times New Roman"/>
          <w:sz w:val="24"/>
          <w:szCs w:val="24"/>
        </w:rPr>
        <w:t>high school</w:t>
      </w:r>
      <w:r w:rsidR="00847849" w:rsidRPr="00A11B6C">
        <w:rPr>
          <w:rFonts w:ascii="Times New Roman" w:hAnsi="Times New Roman" w:cs="Times New Roman"/>
          <w:sz w:val="24"/>
          <w:szCs w:val="24"/>
        </w:rPr>
        <w:t xml:space="preserve"> education</w:t>
      </w:r>
      <w:r w:rsidR="00484351" w:rsidRPr="00A11B6C">
        <w:rPr>
          <w:rFonts w:ascii="Times New Roman" w:hAnsi="Times New Roman" w:cs="Times New Roman"/>
          <w:sz w:val="24"/>
          <w:szCs w:val="24"/>
        </w:rPr>
        <w:t xml:space="preserve">. </w:t>
      </w:r>
      <w:r w:rsidR="000F7192" w:rsidRPr="00A11B6C">
        <w:rPr>
          <w:rFonts w:ascii="Times New Roman" w:hAnsi="Times New Roman" w:cs="Times New Roman"/>
          <w:sz w:val="24"/>
          <w:szCs w:val="24"/>
        </w:rPr>
        <w:t>Approximately 73% live</w:t>
      </w:r>
      <w:r w:rsidR="00A7632A" w:rsidRPr="00A11B6C">
        <w:rPr>
          <w:rFonts w:ascii="Times New Roman" w:hAnsi="Times New Roman" w:cs="Times New Roman"/>
          <w:sz w:val="24"/>
          <w:szCs w:val="24"/>
        </w:rPr>
        <w:t>d</w:t>
      </w:r>
      <w:r w:rsidR="000F7192" w:rsidRPr="00A11B6C">
        <w:rPr>
          <w:rFonts w:ascii="Times New Roman" w:hAnsi="Times New Roman" w:cs="Times New Roman"/>
          <w:sz w:val="24"/>
          <w:szCs w:val="24"/>
        </w:rPr>
        <w:t xml:space="preserve"> with functional limitations (at least one IADL or ADL) and about 88% have more than </w:t>
      </w:r>
      <w:r w:rsidR="00BA7F0A" w:rsidRPr="00A11B6C">
        <w:rPr>
          <w:rFonts w:ascii="Times New Roman" w:hAnsi="Times New Roman" w:cs="Times New Roman"/>
          <w:sz w:val="24"/>
          <w:szCs w:val="24"/>
        </w:rPr>
        <w:t>two</w:t>
      </w:r>
      <w:r w:rsidR="000F7192" w:rsidRPr="00A11B6C">
        <w:rPr>
          <w:rFonts w:ascii="Times New Roman" w:hAnsi="Times New Roman" w:cs="Times New Roman"/>
          <w:sz w:val="24"/>
          <w:szCs w:val="24"/>
        </w:rPr>
        <w:t xml:space="preserve"> chronic conditions. </w:t>
      </w:r>
    </w:p>
    <w:p w14:paraId="6BFA6BCE" w14:textId="77777777" w:rsidR="001671C0" w:rsidRDefault="001671C0" w:rsidP="001671C0">
      <w:pPr>
        <w:spacing w:after="0" w:line="480" w:lineRule="auto"/>
        <w:jc w:val="both"/>
        <w:rPr>
          <w:rFonts w:ascii="Times New Roman" w:hAnsi="Times New Roman" w:cs="Times New Roman"/>
          <w:sz w:val="24"/>
          <w:szCs w:val="24"/>
        </w:rPr>
      </w:pPr>
    </w:p>
    <w:p w14:paraId="3D2ED560" w14:textId="3A731506" w:rsidR="00657432" w:rsidRPr="00A11B6C" w:rsidRDefault="004C0602"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The </w:t>
      </w:r>
      <w:r w:rsidR="00796B1E" w:rsidRPr="00A11B6C">
        <w:rPr>
          <w:rFonts w:ascii="Times New Roman" w:hAnsi="Times New Roman" w:cs="Times New Roman"/>
          <w:sz w:val="24"/>
          <w:szCs w:val="24"/>
        </w:rPr>
        <w:t xml:space="preserve">sample size varies across care experience outcomes due to missing values in the corresponding measures. </w:t>
      </w:r>
      <w:r w:rsidR="00873BD4" w:rsidRPr="00A11B6C">
        <w:rPr>
          <w:rFonts w:ascii="Times New Roman" w:hAnsi="Times New Roman" w:cs="Times New Roman"/>
          <w:sz w:val="24"/>
          <w:szCs w:val="24"/>
        </w:rPr>
        <w:t xml:space="preserve">About </w:t>
      </w:r>
      <w:r w:rsidR="004D7776" w:rsidRPr="00A11B6C">
        <w:rPr>
          <w:rFonts w:ascii="Times New Roman" w:hAnsi="Times New Roman" w:cs="Times New Roman"/>
          <w:sz w:val="24"/>
          <w:szCs w:val="24"/>
        </w:rPr>
        <w:t>1</w:t>
      </w:r>
      <w:r w:rsidR="00D423CC" w:rsidRPr="00A11B6C">
        <w:rPr>
          <w:rFonts w:ascii="Times New Roman" w:hAnsi="Times New Roman" w:cs="Times New Roman"/>
          <w:sz w:val="24"/>
          <w:szCs w:val="24"/>
        </w:rPr>
        <w:t>0% of the sample report</w:t>
      </w:r>
      <w:r w:rsidR="00522366" w:rsidRPr="00A11B6C">
        <w:rPr>
          <w:rFonts w:ascii="Times New Roman" w:hAnsi="Times New Roman" w:cs="Times New Roman"/>
          <w:sz w:val="24"/>
          <w:szCs w:val="24"/>
        </w:rPr>
        <w:t>ed</w:t>
      </w:r>
      <w:r w:rsidR="00D423CC" w:rsidRPr="00A11B6C">
        <w:rPr>
          <w:rFonts w:ascii="Times New Roman" w:hAnsi="Times New Roman" w:cs="Times New Roman"/>
          <w:sz w:val="24"/>
          <w:szCs w:val="24"/>
        </w:rPr>
        <w:t xml:space="preserve"> having </w:t>
      </w:r>
      <w:r w:rsidR="004D7776" w:rsidRPr="00A11B6C">
        <w:rPr>
          <w:rFonts w:ascii="Times New Roman" w:hAnsi="Times New Roman" w:cs="Times New Roman"/>
          <w:sz w:val="24"/>
          <w:szCs w:val="24"/>
        </w:rPr>
        <w:t xml:space="preserve">any </w:t>
      </w:r>
      <w:r w:rsidR="00D423CC" w:rsidRPr="00A11B6C">
        <w:rPr>
          <w:rFonts w:ascii="Times New Roman" w:hAnsi="Times New Roman" w:cs="Times New Roman"/>
          <w:sz w:val="24"/>
          <w:szCs w:val="24"/>
        </w:rPr>
        <w:t>trouble</w:t>
      </w:r>
      <w:r w:rsidR="00C45C6D" w:rsidRPr="00A11B6C">
        <w:rPr>
          <w:rFonts w:ascii="Times New Roman" w:hAnsi="Times New Roman" w:cs="Times New Roman"/>
          <w:sz w:val="24"/>
          <w:szCs w:val="24"/>
        </w:rPr>
        <w:t>s</w:t>
      </w:r>
      <w:r w:rsidR="00D423CC" w:rsidRPr="00A11B6C">
        <w:rPr>
          <w:rFonts w:ascii="Times New Roman" w:hAnsi="Times New Roman" w:cs="Times New Roman"/>
          <w:sz w:val="24"/>
          <w:szCs w:val="24"/>
        </w:rPr>
        <w:t xml:space="preserve"> </w:t>
      </w:r>
      <w:r w:rsidR="00B73E65" w:rsidRPr="00A11B6C">
        <w:rPr>
          <w:rFonts w:ascii="Times New Roman" w:hAnsi="Times New Roman" w:cs="Times New Roman"/>
          <w:sz w:val="24"/>
          <w:szCs w:val="24"/>
        </w:rPr>
        <w:t>accessing</w:t>
      </w:r>
      <w:r w:rsidR="00D423CC" w:rsidRPr="00A11B6C">
        <w:rPr>
          <w:rFonts w:ascii="Times New Roman" w:hAnsi="Times New Roman" w:cs="Times New Roman"/>
          <w:sz w:val="24"/>
          <w:szCs w:val="24"/>
        </w:rPr>
        <w:t xml:space="preserve"> needed care, </w:t>
      </w:r>
      <w:r w:rsidR="00B73E65" w:rsidRPr="00A11B6C">
        <w:rPr>
          <w:rFonts w:ascii="Times New Roman" w:hAnsi="Times New Roman" w:cs="Times New Roman"/>
          <w:sz w:val="24"/>
          <w:szCs w:val="24"/>
        </w:rPr>
        <w:t>while</w:t>
      </w:r>
      <w:r w:rsidR="00D423CC" w:rsidRPr="00A11B6C">
        <w:rPr>
          <w:rFonts w:ascii="Times New Roman" w:hAnsi="Times New Roman" w:cs="Times New Roman"/>
          <w:sz w:val="24"/>
          <w:szCs w:val="24"/>
        </w:rPr>
        <w:t xml:space="preserve"> about </w:t>
      </w:r>
      <w:r w:rsidR="004D7776" w:rsidRPr="00A11B6C">
        <w:rPr>
          <w:rFonts w:ascii="Times New Roman" w:hAnsi="Times New Roman" w:cs="Times New Roman"/>
          <w:sz w:val="24"/>
          <w:szCs w:val="24"/>
        </w:rPr>
        <w:t>23</w:t>
      </w:r>
      <w:r w:rsidR="00D423CC" w:rsidRPr="00A11B6C">
        <w:rPr>
          <w:rFonts w:ascii="Times New Roman" w:hAnsi="Times New Roman" w:cs="Times New Roman"/>
          <w:sz w:val="24"/>
          <w:szCs w:val="24"/>
        </w:rPr>
        <w:t>% report</w:t>
      </w:r>
      <w:r w:rsidR="00273B69" w:rsidRPr="00A11B6C">
        <w:rPr>
          <w:rFonts w:ascii="Times New Roman" w:hAnsi="Times New Roman" w:cs="Times New Roman"/>
          <w:sz w:val="24"/>
          <w:szCs w:val="24"/>
        </w:rPr>
        <w:t>ed</w:t>
      </w:r>
      <w:r w:rsidR="004D7776" w:rsidRPr="00A11B6C">
        <w:rPr>
          <w:rFonts w:ascii="Times New Roman" w:hAnsi="Times New Roman" w:cs="Times New Roman"/>
          <w:sz w:val="24"/>
          <w:szCs w:val="24"/>
        </w:rPr>
        <w:t xml:space="preserve"> any medical financial burdens</w:t>
      </w:r>
      <w:r w:rsidR="00D423CC" w:rsidRPr="00A11B6C">
        <w:rPr>
          <w:rFonts w:ascii="Times New Roman" w:hAnsi="Times New Roman" w:cs="Times New Roman"/>
          <w:sz w:val="24"/>
          <w:szCs w:val="24"/>
        </w:rPr>
        <w:t xml:space="preserve">. </w:t>
      </w:r>
      <w:r w:rsidR="00634860" w:rsidRPr="00A11B6C">
        <w:rPr>
          <w:rFonts w:ascii="Times New Roman" w:hAnsi="Times New Roman" w:cs="Times New Roman"/>
          <w:sz w:val="24"/>
          <w:szCs w:val="24"/>
        </w:rPr>
        <w:t xml:space="preserve">A significant </w:t>
      </w:r>
      <w:r w:rsidR="009C7177" w:rsidRPr="00A11B6C">
        <w:rPr>
          <w:rFonts w:ascii="Times New Roman" w:hAnsi="Times New Roman" w:cs="Times New Roman"/>
          <w:sz w:val="24"/>
          <w:szCs w:val="24"/>
        </w:rPr>
        <w:t>majority</w:t>
      </w:r>
      <w:r w:rsidR="00926B4E" w:rsidRPr="00A11B6C">
        <w:rPr>
          <w:rFonts w:ascii="Times New Roman" w:hAnsi="Times New Roman" w:cs="Times New Roman"/>
          <w:sz w:val="24"/>
          <w:szCs w:val="24"/>
        </w:rPr>
        <w:t xml:space="preserve"> </w:t>
      </w:r>
      <w:r w:rsidR="00DB3EB7" w:rsidRPr="00A11B6C">
        <w:rPr>
          <w:rFonts w:ascii="Times New Roman" w:hAnsi="Times New Roman" w:cs="Times New Roman"/>
          <w:sz w:val="24"/>
          <w:szCs w:val="24"/>
        </w:rPr>
        <w:t>(</w:t>
      </w:r>
      <w:r w:rsidR="00B64202" w:rsidRPr="00A11B6C">
        <w:rPr>
          <w:rFonts w:ascii="Times New Roman" w:hAnsi="Times New Roman" w:cs="Times New Roman"/>
          <w:sz w:val="24"/>
          <w:szCs w:val="24"/>
        </w:rPr>
        <w:t xml:space="preserve">over </w:t>
      </w:r>
      <w:r w:rsidR="00634860" w:rsidRPr="00A11B6C">
        <w:rPr>
          <w:rFonts w:ascii="Times New Roman" w:hAnsi="Times New Roman" w:cs="Times New Roman"/>
          <w:sz w:val="24"/>
          <w:szCs w:val="24"/>
        </w:rPr>
        <w:t>90%</w:t>
      </w:r>
      <w:r w:rsidR="00DB3EB7" w:rsidRPr="00A11B6C">
        <w:rPr>
          <w:rFonts w:ascii="Times New Roman" w:hAnsi="Times New Roman" w:cs="Times New Roman"/>
          <w:sz w:val="24"/>
          <w:szCs w:val="24"/>
        </w:rPr>
        <w:t>)</w:t>
      </w:r>
      <w:r w:rsidR="00335DB8" w:rsidRPr="00A11B6C">
        <w:rPr>
          <w:rFonts w:ascii="Times New Roman" w:hAnsi="Times New Roman" w:cs="Times New Roman"/>
          <w:sz w:val="24"/>
          <w:szCs w:val="24"/>
        </w:rPr>
        <w:t xml:space="preserve"> express</w:t>
      </w:r>
      <w:r w:rsidR="00551C15" w:rsidRPr="00A11B6C">
        <w:rPr>
          <w:rFonts w:ascii="Times New Roman" w:hAnsi="Times New Roman" w:cs="Times New Roman"/>
          <w:sz w:val="24"/>
          <w:szCs w:val="24"/>
        </w:rPr>
        <w:t>ed</w:t>
      </w:r>
      <w:r w:rsidR="008077CC" w:rsidRPr="00A11B6C">
        <w:rPr>
          <w:rFonts w:ascii="Times New Roman" w:hAnsi="Times New Roman" w:cs="Times New Roman"/>
          <w:sz w:val="24"/>
          <w:szCs w:val="24"/>
        </w:rPr>
        <w:t xml:space="preserve"> satisfaction with access to specialists or the quality of care</w:t>
      </w:r>
      <w:r w:rsidR="00657432" w:rsidRPr="00A11B6C">
        <w:rPr>
          <w:rFonts w:ascii="Times New Roman" w:hAnsi="Times New Roman" w:cs="Times New Roman"/>
          <w:sz w:val="24"/>
          <w:szCs w:val="24"/>
        </w:rPr>
        <w:t xml:space="preserve">. </w:t>
      </w:r>
    </w:p>
    <w:p w14:paraId="7A61FB0D" w14:textId="77777777" w:rsidR="001671C0" w:rsidRDefault="001671C0" w:rsidP="001671C0">
      <w:pPr>
        <w:spacing w:after="0" w:line="480" w:lineRule="auto"/>
        <w:jc w:val="both"/>
        <w:rPr>
          <w:rFonts w:ascii="Times New Roman" w:hAnsi="Times New Roman" w:cs="Times New Roman"/>
          <w:sz w:val="24"/>
          <w:szCs w:val="24"/>
        </w:rPr>
      </w:pPr>
    </w:p>
    <w:p w14:paraId="4C48598B" w14:textId="0106BBDF" w:rsidR="00292DAD" w:rsidRDefault="00906C20"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lastRenderedPageBreak/>
        <w:t>Figure</w:t>
      </w:r>
      <w:r w:rsidR="006B20C0" w:rsidRPr="00A11B6C">
        <w:rPr>
          <w:rFonts w:ascii="Times New Roman" w:hAnsi="Times New Roman" w:cs="Times New Roman"/>
          <w:sz w:val="24"/>
          <w:szCs w:val="24"/>
        </w:rPr>
        <w:t xml:space="preserve"> 2</w:t>
      </w:r>
      <w:r w:rsidRPr="00A11B6C">
        <w:rPr>
          <w:rFonts w:ascii="Times New Roman" w:hAnsi="Times New Roman" w:cs="Times New Roman"/>
          <w:sz w:val="24"/>
          <w:szCs w:val="24"/>
        </w:rPr>
        <w:t xml:space="preserve"> </w:t>
      </w:r>
      <w:r w:rsidR="00500227" w:rsidRPr="00A11B6C">
        <w:rPr>
          <w:rFonts w:ascii="Times New Roman" w:hAnsi="Times New Roman" w:cs="Times New Roman"/>
          <w:sz w:val="24"/>
          <w:szCs w:val="24"/>
        </w:rPr>
        <w:t>exhibits</w:t>
      </w:r>
      <w:r w:rsidRPr="00A11B6C">
        <w:rPr>
          <w:rFonts w:ascii="Times New Roman" w:hAnsi="Times New Roman" w:cs="Times New Roman"/>
          <w:sz w:val="24"/>
          <w:szCs w:val="24"/>
        </w:rPr>
        <w:t xml:space="preserve"> trends in </w:t>
      </w:r>
      <w:r w:rsidR="00B9362E" w:rsidRPr="00A11B6C">
        <w:rPr>
          <w:rFonts w:ascii="Times New Roman" w:hAnsi="Times New Roman" w:cs="Times New Roman"/>
          <w:sz w:val="24"/>
          <w:szCs w:val="24"/>
        </w:rPr>
        <w:t xml:space="preserve">each </w:t>
      </w:r>
      <w:r w:rsidR="008959FB" w:rsidRPr="00A11B6C">
        <w:rPr>
          <w:rFonts w:ascii="Times New Roman" w:hAnsi="Times New Roman" w:cs="Times New Roman"/>
          <w:sz w:val="24"/>
          <w:szCs w:val="24"/>
        </w:rPr>
        <w:t>care</w:t>
      </w:r>
      <w:r w:rsidRPr="00A11B6C">
        <w:rPr>
          <w:rFonts w:ascii="Times New Roman" w:hAnsi="Times New Roman" w:cs="Times New Roman"/>
          <w:sz w:val="24"/>
          <w:szCs w:val="24"/>
        </w:rPr>
        <w:t xml:space="preserve"> experience</w:t>
      </w:r>
      <w:r w:rsidR="00B9362E" w:rsidRPr="00A11B6C">
        <w:rPr>
          <w:rFonts w:ascii="Times New Roman" w:hAnsi="Times New Roman" w:cs="Times New Roman"/>
          <w:sz w:val="24"/>
          <w:szCs w:val="24"/>
        </w:rPr>
        <w:t xml:space="preserve"> outcome</w:t>
      </w:r>
      <w:r w:rsidR="00F4214A" w:rsidRPr="00A11B6C">
        <w:rPr>
          <w:rFonts w:ascii="Times New Roman" w:hAnsi="Times New Roman" w:cs="Times New Roman"/>
          <w:sz w:val="24"/>
          <w:szCs w:val="24"/>
        </w:rPr>
        <w:t xml:space="preserve"> in our treatment and control groups</w:t>
      </w:r>
      <w:r w:rsidRPr="00A11B6C">
        <w:rPr>
          <w:rFonts w:ascii="Times New Roman" w:hAnsi="Times New Roman" w:cs="Times New Roman"/>
          <w:sz w:val="24"/>
          <w:szCs w:val="24"/>
        </w:rPr>
        <w:t>, from 201</w:t>
      </w:r>
      <w:r w:rsidR="00587F07" w:rsidRPr="00A11B6C">
        <w:rPr>
          <w:rFonts w:ascii="Times New Roman" w:hAnsi="Times New Roman" w:cs="Times New Roman"/>
          <w:sz w:val="24"/>
          <w:szCs w:val="24"/>
        </w:rPr>
        <w:t>5</w:t>
      </w:r>
      <w:r w:rsidRPr="00A11B6C">
        <w:rPr>
          <w:rFonts w:ascii="Times New Roman" w:hAnsi="Times New Roman" w:cs="Times New Roman"/>
          <w:sz w:val="24"/>
          <w:szCs w:val="24"/>
        </w:rPr>
        <w:t xml:space="preserve"> to 2022.</w:t>
      </w:r>
      <w:r w:rsidR="00500227" w:rsidRPr="00A11B6C">
        <w:rPr>
          <w:rFonts w:ascii="Times New Roman" w:hAnsi="Times New Roman" w:cs="Times New Roman"/>
          <w:sz w:val="24"/>
          <w:szCs w:val="24"/>
        </w:rPr>
        <w:t xml:space="preserve"> </w:t>
      </w:r>
      <w:r w:rsidR="00E64613" w:rsidRPr="00A11B6C">
        <w:rPr>
          <w:rFonts w:ascii="Times New Roman" w:hAnsi="Times New Roman" w:cs="Times New Roman"/>
          <w:sz w:val="24"/>
          <w:szCs w:val="24"/>
        </w:rPr>
        <w:t xml:space="preserve">Since 2020, a notable </w:t>
      </w:r>
      <w:r w:rsidR="004D7776" w:rsidRPr="00A11B6C">
        <w:rPr>
          <w:rFonts w:ascii="Times New Roman" w:hAnsi="Times New Roman" w:cs="Times New Roman"/>
          <w:sz w:val="24"/>
          <w:szCs w:val="24"/>
        </w:rPr>
        <w:t>de</w:t>
      </w:r>
      <w:r w:rsidR="00897FFC" w:rsidRPr="00A11B6C">
        <w:rPr>
          <w:rFonts w:ascii="Times New Roman" w:hAnsi="Times New Roman" w:cs="Times New Roman"/>
          <w:sz w:val="24"/>
          <w:szCs w:val="24"/>
        </w:rPr>
        <w:t>cline</w:t>
      </w:r>
      <w:r w:rsidR="004D7776" w:rsidRPr="00A11B6C">
        <w:rPr>
          <w:rFonts w:ascii="Times New Roman" w:hAnsi="Times New Roman" w:cs="Times New Roman"/>
          <w:sz w:val="24"/>
          <w:szCs w:val="24"/>
        </w:rPr>
        <w:t xml:space="preserve"> </w:t>
      </w:r>
      <w:r w:rsidR="008C2465" w:rsidRPr="00A11B6C">
        <w:rPr>
          <w:rFonts w:ascii="Times New Roman" w:hAnsi="Times New Roman" w:cs="Times New Roman"/>
          <w:sz w:val="24"/>
          <w:szCs w:val="24"/>
        </w:rPr>
        <w:t>has been</w:t>
      </w:r>
      <w:r w:rsidR="00E64613" w:rsidRPr="00A11B6C">
        <w:rPr>
          <w:rFonts w:ascii="Times New Roman" w:hAnsi="Times New Roman" w:cs="Times New Roman"/>
          <w:sz w:val="24"/>
          <w:szCs w:val="24"/>
        </w:rPr>
        <w:t xml:space="preserve"> observed in the proportion of </w:t>
      </w:r>
      <w:r w:rsidR="00FD2A9B" w:rsidRPr="00A11B6C">
        <w:rPr>
          <w:rFonts w:ascii="Times New Roman" w:hAnsi="Times New Roman" w:cs="Times New Roman"/>
          <w:sz w:val="24"/>
          <w:szCs w:val="24"/>
        </w:rPr>
        <w:t xml:space="preserve">MA </w:t>
      </w:r>
      <w:r w:rsidR="00E64613" w:rsidRPr="00A11B6C">
        <w:rPr>
          <w:rFonts w:ascii="Times New Roman" w:hAnsi="Times New Roman" w:cs="Times New Roman"/>
          <w:sz w:val="24"/>
          <w:szCs w:val="24"/>
        </w:rPr>
        <w:t xml:space="preserve">beneficiaries </w:t>
      </w:r>
      <w:r w:rsidR="00897FFC" w:rsidRPr="00A11B6C">
        <w:rPr>
          <w:rFonts w:ascii="Times New Roman" w:hAnsi="Times New Roman" w:cs="Times New Roman"/>
          <w:sz w:val="24"/>
          <w:szCs w:val="24"/>
        </w:rPr>
        <w:t xml:space="preserve">with ADRD </w:t>
      </w:r>
      <w:r w:rsidR="00E64613" w:rsidRPr="00A11B6C">
        <w:rPr>
          <w:rFonts w:ascii="Times New Roman" w:hAnsi="Times New Roman" w:cs="Times New Roman"/>
          <w:sz w:val="24"/>
          <w:szCs w:val="24"/>
        </w:rPr>
        <w:t xml:space="preserve">reporting </w:t>
      </w:r>
      <w:r w:rsidR="004D7776" w:rsidRPr="00A11B6C">
        <w:rPr>
          <w:rFonts w:ascii="Times New Roman" w:hAnsi="Times New Roman" w:cs="Times New Roman"/>
          <w:sz w:val="24"/>
          <w:szCs w:val="24"/>
        </w:rPr>
        <w:t xml:space="preserve">any </w:t>
      </w:r>
      <w:r w:rsidR="00E64613" w:rsidRPr="00A11B6C">
        <w:rPr>
          <w:rFonts w:ascii="Times New Roman" w:hAnsi="Times New Roman" w:cs="Times New Roman"/>
          <w:sz w:val="24"/>
          <w:szCs w:val="24"/>
        </w:rPr>
        <w:t xml:space="preserve">barriers to accessing needed healthcare (top left) and </w:t>
      </w:r>
      <w:r w:rsidR="004D7776" w:rsidRPr="00A11B6C">
        <w:rPr>
          <w:rFonts w:ascii="Times New Roman" w:hAnsi="Times New Roman" w:cs="Times New Roman"/>
          <w:sz w:val="24"/>
          <w:szCs w:val="24"/>
        </w:rPr>
        <w:t xml:space="preserve">any medical </w:t>
      </w:r>
      <w:r w:rsidR="00E64613" w:rsidRPr="00A11B6C">
        <w:rPr>
          <w:rFonts w:ascii="Times New Roman" w:hAnsi="Times New Roman" w:cs="Times New Roman"/>
          <w:sz w:val="24"/>
          <w:szCs w:val="24"/>
        </w:rPr>
        <w:t xml:space="preserve">financial </w:t>
      </w:r>
      <w:r w:rsidR="004D7776" w:rsidRPr="00A11B6C">
        <w:rPr>
          <w:rFonts w:ascii="Times New Roman" w:hAnsi="Times New Roman" w:cs="Times New Roman"/>
          <w:sz w:val="24"/>
          <w:szCs w:val="24"/>
        </w:rPr>
        <w:t xml:space="preserve">burdens </w:t>
      </w:r>
      <w:r w:rsidR="00E64613" w:rsidRPr="00A11B6C">
        <w:rPr>
          <w:rFonts w:ascii="Times New Roman" w:hAnsi="Times New Roman" w:cs="Times New Roman"/>
          <w:sz w:val="24"/>
          <w:szCs w:val="24"/>
        </w:rPr>
        <w:t xml:space="preserve">(top right) compared to the </w:t>
      </w:r>
      <w:r w:rsidR="009E72E3" w:rsidRPr="00A11B6C">
        <w:rPr>
          <w:rFonts w:ascii="Times New Roman" w:hAnsi="Times New Roman" w:cs="Times New Roman"/>
          <w:sz w:val="24"/>
          <w:szCs w:val="24"/>
        </w:rPr>
        <w:t>control</w:t>
      </w:r>
      <w:r w:rsidR="00E64613" w:rsidRPr="00A11B6C">
        <w:rPr>
          <w:rFonts w:ascii="Times New Roman" w:hAnsi="Times New Roman" w:cs="Times New Roman"/>
          <w:sz w:val="24"/>
          <w:szCs w:val="24"/>
        </w:rPr>
        <w:t xml:space="preserve"> group. However, the differences in satisfaction with access to specialists (bottom left) or the quality of care (bottom right) between the two groups remain</w:t>
      </w:r>
      <w:r w:rsidR="00551C15" w:rsidRPr="00A11B6C">
        <w:rPr>
          <w:rFonts w:ascii="Times New Roman" w:hAnsi="Times New Roman" w:cs="Times New Roman"/>
          <w:sz w:val="24"/>
          <w:szCs w:val="24"/>
        </w:rPr>
        <w:t>ed</w:t>
      </w:r>
      <w:r w:rsidR="00E64613" w:rsidRPr="00A11B6C">
        <w:rPr>
          <w:rFonts w:ascii="Times New Roman" w:hAnsi="Times New Roman" w:cs="Times New Roman"/>
          <w:sz w:val="24"/>
          <w:szCs w:val="24"/>
        </w:rPr>
        <w:t xml:space="preserve"> relatively small until 2022.</w:t>
      </w:r>
    </w:p>
    <w:p w14:paraId="5A5FB774" w14:textId="77777777" w:rsidR="001671C0" w:rsidRPr="00A11B6C" w:rsidRDefault="001671C0" w:rsidP="001671C0">
      <w:pPr>
        <w:spacing w:after="0" w:line="480" w:lineRule="auto"/>
        <w:jc w:val="both"/>
        <w:rPr>
          <w:rFonts w:ascii="Times New Roman" w:hAnsi="Times New Roman" w:cs="Times New Roman"/>
          <w:sz w:val="24"/>
          <w:szCs w:val="24"/>
        </w:rPr>
      </w:pPr>
    </w:p>
    <w:p w14:paraId="5F70F607" w14:textId="5291E4FA" w:rsidR="00450579" w:rsidRPr="001671C0" w:rsidRDefault="00535E4E" w:rsidP="00A11B6C">
      <w:pPr>
        <w:pStyle w:val="Heading3"/>
        <w:spacing w:before="0" w:after="0" w:line="480" w:lineRule="auto"/>
        <w:rPr>
          <w:rFonts w:cs="Times New Roman"/>
          <w:b w:val="0"/>
          <w:bCs/>
          <w:i/>
          <w:iCs/>
          <w:szCs w:val="24"/>
        </w:rPr>
      </w:pPr>
      <w:r w:rsidRPr="001671C0">
        <w:rPr>
          <w:rFonts w:cs="Times New Roman"/>
          <w:b w:val="0"/>
          <w:bCs/>
          <w:i/>
          <w:iCs/>
          <w:szCs w:val="24"/>
        </w:rPr>
        <w:t>Association</w:t>
      </w:r>
      <w:r w:rsidR="00450579" w:rsidRPr="001671C0">
        <w:rPr>
          <w:rFonts w:cs="Times New Roman"/>
          <w:b w:val="0"/>
          <w:bCs/>
          <w:i/>
          <w:iCs/>
          <w:szCs w:val="24"/>
        </w:rPr>
        <w:t xml:space="preserve"> </w:t>
      </w:r>
      <w:r w:rsidR="00AC6108" w:rsidRPr="001671C0">
        <w:rPr>
          <w:rFonts w:cs="Times New Roman"/>
          <w:b w:val="0"/>
          <w:bCs/>
          <w:i/>
          <w:iCs/>
          <w:szCs w:val="24"/>
        </w:rPr>
        <w:t>Between MA Risk Adjustment Model Change and Care Experience</w:t>
      </w:r>
      <w:r w:rsidR="003D4D0A" w:rsidRPr="001671C0">
        <w:rPr>
          <w:rFonts w:cs="Times New Roman"/>
          <w:b w:val="0"/>
          <w:bCs/>
          <w:i/>
          <w:iCs/>
          <w:szCs w:val="24"/>
        </w:rPr>
        <w:t>s</w:t>
      </w:r>
      <w:r w:rsidR="00AC6108" w:rsidRPr="001671C0">
        <w:rPr>
          <w:rFonts w:cs="Times New Roman"/>
          <w:b w:val="0"/>
          <w:bCs/>
          <w:i/>
          <w:iCs/>
          <w:szCs w:val="24"/>
        </w:rPr>
        <w:t xml:space="preserve"> </w:t>
      </w:r>
    </w:p>
    <w:p w14:paraId="5936B15B" w14:textId="3415708D" w:rsidR="00EB7902" w:rsidRPr="00A11B6C" w:rsidRDefault="00450579"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Figure</w:t>
      </w:r>
      <w:r w:rsidR="00DD5B79" w:rsidRPr="00A11B6C">
        <w:rPr>
          <w:rFonts w:ascii="Times New Roman" w:hAnsi="Times New Roman" w:cs="Times New Roman"/>
          <w:sz w:val="24"/>
          <w:szCs w:val="24"/>
        </w:rPr>
        <w:t xml:space="preserve"> </w:t>
      </w:r>
      <w:r w:rsidR="005A571A" w:rsidRPr="00A11B6C">
        <w:rPr>
          <w:rFonts w:ascii="Times New Roman" w:hAnsi="Times New Roman" w:cs="Times New Roman"/>
          <w:sz w:val="24"/>
          <w:szCs w:val="24"/>
        </w:rPr>
        <w:t>3</w:t>
      </w:r>
      <w:r w:rsidRPr="00A11B6C">
        <w:rPr>
          <w:rFonts w:ascii="Times New Roman" w:hAnsi="Times New Roman" w:cs="Times New Roman"/>
          <w:sz w:val="24"/>
          <w:szCs w:val="24"/>
        </w:rPr>
        <w:t xml:space="preserve"> </w:t>
      </w:r>
      <w:r w:rsidR="00A83220" w:rsidRPr="00A11B6C">
        <w:rPr>
          <w:rFonts w:ascii="Times New Roman" w:hAnsi="Times New Roman" w:cs="Times New Roman"/>
          <w:sz w:val="24"/>
          <w:szCs w:val="24"/>
        </w:rPr>
        <w:t>shows</w:t>
      </w:r>
      <w:r w:rsidRPr="00A11B6C">
        <w:rPr>
          <w:rFonts w:ascii="Times New Roman" w:hAnsi="Times New Roman" w:cs="Times New Roman"/>
          <w:sz w:val="24"/>
          <w:szCs w:val="24"/>
        </w:rPr>
        <w:t xml:space="preserve"> improved </w:t>
      </w:r>
      <w:r w:rsidR="00DB074D" w:rsidRPr="00A11B6C">
        <w:rPr>
          <w:rFonts w:ascii="Times New Roman" w:hAnsi="Times New Roman" w:cs="Times New Roman"/>
          <w:sz w:val="24"/>
          <w:szCs w:val="24"/>
        </w:rPr>
        <w:t>care</w:t>
      </w:r>
      <w:r w:rsidRPr="00A11B6C">
        <w:rPr>
          <w:rFonts w:ascii="Times New Roman" w:hAnsi="Times New Roman" w:cs="Times New Roman"/>
          <w:sz w:val="24"/>
          <w:szCs w:val="24"/>
        </w:rPr>
        <w:t xml:space="preserve"> experiences following the </w:t>
      </w:r>
      <w:r w:rsidR="00A83220" w:rsidRPr="00A11B6C">
        <w:rPr>
          <w:rFonts w:ascii="Times New Roman" w:hAnsi="Times New Roman" w:cs="Times New Roman"/>
          <w:sz w:val="24"/>
          <w:szCs w:val="24"/>
        </w:rPr>
        <w:t>inclusion of ADRD in the risk</w:t>
      </w:r>
      <w:r w:rsidR="00DE7F8F" w:rsidRPr="00A11B6C">
        <w:rPr>
          <w:rFonts w:ascii="Times New Roman" w:hAnsi="Times New Roman" w:cs="Times New Roman"/>
          <w:sz w:val="24"/>
          <w:szCs w:val="24"/>
        </w:rPr>
        <w:t>-</w:t>
      </w:r>
      <w:r w:rsidR="00A83220" w:rsidRPr="00A11B6C">
        <w:rPr>
          <w:rFonts w:ascii="Times New Roman" w:hAnsi="Times New Roman" w:cs="Times New Roman"/>
          <w:sz w:val="24"/>
          <w:szCs w:val="24"/>
        </w:rPr>
        <w:t>adjust</w:t>
      </w:r>
      <w:r w:rsidR="00DE7F8F" w:rsidRPr="00A11B6C">
        <w:rPr>
          <w:rFonts w:ascii="Times New Roman" w:hAnsi="Times New Roman" w:cs="Times New Roman"/>
          <w:sz w:val="24"/>
          <w:szCs w:val="24"/>
        </w:rPr>
        <w:t>ed payment</w:t>
      </w:r>
      <w:r w:rsidR="00A83220" w:rsidRPr="00A11B6C">
        <w:rPr>
          <w:rFonts w:ascii="Times New Roman" w:hAnsi="Times New Roman" w:cs="Times New Roman"/>
          <w:sz w:val="24"/>
          <w:szCs w:val="24"/>
        </w:rPr>
        <w:t xml:space="preserve"> model</w:t>
      </w:r>
      <w:r w:rsidRPr="00A11B6C">
        <w:rPr>
          <w:rFonts w:ascii="Times New Roman" w:hAnsi="Times New Roman" w:cs="Times New Roman"/>
          <w:sz w:val="24"/>
          <w:szCs w:val="24"/>
        </w:rPr>
        <w:t xml:space="preserve">. </w:t>
      </w:r>
      <w:r w:rsidR="00EB7902" w:rsidRPr="00A11B6C">
        <w:rPr>
          <w:rFonts w:ascii="Times New Roman" w:hAnsi="Times New Roman" w:cs="Times New Roman"/>
          <w:sz w:val="24"/>
          <w:szCs w:val="24"/>
        </w:rPr>
        <w:t>The revised risk</w:t>
      </w:r>
      <w:r w:rsidR="00D97F8A" w:rsidRPr="00A11B6C">
        <w:rPr>
          <w:rFonts w:ascii="Times New Roman" w:hAnsi="Times New Roman" w:cs="Times New Roman"/>
          <w:sz w:val="24"/>
          <w:szCs w:val="24"/>
        </w:rPr>
        <w:t>-</w:t>
      </w:r>
      <w:r w:rsidR="00EB7902" w:rsidRPr="00A11B6C">
        <w:rPr>
          <w:rFonts w:ascii="Times New Roman" w:hAnsi="Times New Roman" w:cs="Times New Roman"/>
          <w:sz w:val="24"/>
          <w:szCs w:val="24"/>
        </w:rPr>
        <w:t xml:space="preserve">adjusted payment model </w:t>
      </w:r>
      <w:r w:rsidR="007C456B" w:rsidRPr="00A11B6C">
        <w:rPr>
          <w:rFonts w:ascii="Times New Roman" w:hAnsi="Times New Roman" w:cs="Times New Roman"/>
          <w:sz w:val="24"/>
          <w:szCs w:val="24"/>
        </w:rPr>
        <w:t>was</w:t>
      </w:r>
      <w:r w:rsidR="00EB7902" w:rsidRPr="00A11B6C">
        <w:rPr>
          <w:rFonts w:ascii="Times New Roman" w:hAnsi="Times New Roman" w:cs="Times New Roman"/>
          <w:sz w:val="24"/>
          <w:szCs w:val="24"/>
        </w:rPr>
        <w:t xml:space="preserve"> associated with a 6.6 percentage-point </w:t>
      </w:r>
      <w:r w:rsidR="004D7776" w:rsidRPr="00A11B6C">
        <w:rPr>
          <w:rFonts w:ascii="Times New Roman" w:hAnsi="Times New Roman" w:cs="Times New Roman"/>
          <w:sz w:val="24"/>
          <w:szCs w:val="24"/>
        </w:rPr>
        <w:t xml:space="preserve">decrease </w:t>
      </w:r>
      <w:r w:rsidR="00EB7902" w:rsidRPr="00A11B6C">
        <w:rPr>
          <w:rFonts w:ascii="Times New Roman" w:hAnsi="Times New Roman" w:cs="Times New Roman"/>
          <w:sz w:val="24"/>
          <w:szCs w:val="24"/>
        </w:rPr>
        <w:t xml:space="preserve">in reporting </w:t>
      </w:r>
      <w:r w:rsidR="004D7776" w:rsidRPr="00A11B6C">
        <w:rPr>
          <w:rFonts w:ascii="Times New Roman" w:hAnsi="Times New Roman" w:cs="Times New Roman"/>
          <w:sz w:val="24"/>
          <w:szCs w:val="24"/>
        </w:rPr>
        <w:t xml:space="preserve">any </w:t>
      </w:r>
      <w:r w:rsidR="00EB7902" w:rsidRPr="00A11B6C">
        <w:rPr>
          <w:rFonts w:ascii="Times New Roman" w:hAnsi="Times New Roman" w:cs="Times New Roman"/>
          <w:sz w:val="24"/>
          <w:szCs w:val="24"/>
        </w:rPr>
        <w:t>trouble</w:t>
      </w:r>
      <w:r w:rsidR="0033161F" w:rsidRPr="00A11B6C">
        <w:rPr>
          <w:rFonts w:ascii="Times New Roman" w:hAnsi="Times New Roman" w:cs="Times New Roman"/>
          <w:sz w:val="24"/>
          <w:szCs w:val="24"/>
        </w:rPr>
        <w:t>s</w:t>
      </w:r>
      <w:r w:rsidR="00EB7902" w:rsidRPr="00A11B6C">
        <w:rPr>
          <w:rFonts w:ascii="Times New Roman" w:hAnsi="Times New Roman" w:cs="Times New Roman"/>
          <w:sz w:val="24"/>
          <w:szCs w:val="24"/>
        </w:rPr>
        <w:t xml:space="preserve"> </w:t>
      </w:r>
      <w:r w:rsidR="004D503B" w:rsidRPr="00A11B6C">
        <w:rPr>
          <w:rFonts w:ascii="Times New Roman" w:hAnsi="Times New Roman" w:cs="Times New Roman"/>
          <w:sz w:val="24"/>
          <w:szCs w:val="24"/>
        </w:rPr>
        <w:t>accessing</w:t>
      </w:r>
      <w:r w:rsidR="00EB7902" w:rsidRPr="00A11B6C">
        <w:rPr>
          <w:rFonts w:ascii="Times New Roman" w:hAnsi="Times New Roman" w:cs="Times New Roman"/>
          <w:sz w:val="24"/>
          <w:szCs w:val="24"/>
        </w:rPr>
        <w:t xml:space="preserve"> needed care (95% CI, </w:t>
      </w:r>
      <w:r w:rsidR="004D7776" w:rsidRPr="00A11B6C">
        <w:rPr>
          <w:rFonts w:ascii="Times New Roman" w:hAnsi="Times New Roman" w:cs="Times New Roman"/>
          <w:sz w:val="24"/>
          <w:szCs w:val="24"/>
        </w:rPr>
        <w:t>-</w:t>
      </w:r>
      <w:r w:rsidR="00EB7902" w:rsidRPr="00A11B6C">
        <w:rPr>
          <w:rFonts w:ascii="Times New Roman" w:hAnsi="Times New Roman" w:cs="Times New Roman"/>
          <w:sz w:val="24"/>
          <w:szCs w:val="24"/>
        </w:rPr>
        <w:t>0.</w:t>
      </w:r>
      <w:r w:rsidR="004D7776" w:rsidRPr="00A11B6C">
        <w:rPr>
          <w:rFonts w:ascii="Times New Roman" w:hAnsi="Times New Roman" w:cs="Times New Roman"/>
          <w:sz w:val="24"/>
          <w:szCs w:val="24"/>
        </w:rPr>
        <w:t>11</w:t>
      </w:r>
      <w:r w:rsidR="00EB7902" w:rsidRPr="00A11B6C">
        <w:rPr>
          <w:rFonts w:ascii="Times New Roman" w:hAnsi="Times New Roman" w:cs="Times New Roman"/>
          <w:sz w:val="24"/>
          <w:szCs w:val="24"/>
        </w:rPr>
        <w:t xml:space="preserve">2 to </w:t>
      </w:r>
      <w:r w:rsidR="004D7776" w:rsidRPr="00A11B6C">
        <w:rPr>
          <w:rFonts w:ascii="Times New Roman" w:hAnsi="Times New Roman" w:cs="Times New Roman"/>
          <w:sz w:val="24"/>
          <w:szCs w:val="24"/>
        </w:rPr>
        <w:t>-</w:t>
      </w:r>
      <w:r w:rsidR="00EB7902" w:rsidRPr="00A11B6C">
        <w:rPr>
          <w:rFonts w:ascii="Times New Roman" w:hAnsi="Times New Roman" w:cs="Times New Roman"/>
          <w:sz w:val="24"/>
          <w:szCs w:val="24"/>
        </w:rPr>
        <w:t>0.</w:t>
      </w:r>
      <w:r w:rsidR="004D7776" w:rsidRPr="00A11B6C">
        <w:rPr>
          <w:rFonts w:ascii="Times New Roman" w:hAnsi="Times New Roman" w:cs="Times New Roman"/>
          <w:sz w:val="24"/>
          <w:szCs w:val="24"/>
        </w:rPr>
        <w:t>02</w:t>
      </w:r>
      <w:r w:rsidR="00E22BCF" w:rsidRPr="00A11B6C">
        <w:rPr>
          <w:rFonts w:ascii="Times New Roman" w:hAnsi="Times New Roman" w:cs="Times New Roman"/>
          <w:sz w:val="24"/>
          <w:szCs w:val="24"/>
        </w:rPr>
        <w:t>;</w:t>
      </w:r>
      <w:r w:rsidR="00EB7902" w:rsidRPr="00A11B6C">
        <w:rPr>
          <w:rFonts w:ascii="Times New Roman" w:hAnsi="Times New Roman" w:cs="Times New Roman"/>
          <w:sz w:val="24"/>
          <w:szCs w:val="24"/>
        </w:rPr>
        <w:t xml:space="preserve"> P = 0.005), and a 9.2 percentage-point </w:t>
      </w:r>
      <w:r w:rsidR="004D7776" w:rsidRPr="00A11B6C">
        <w:rPr>
          <w:rFonts w:ascii="Times New Roman" w:hAnsi="Times New Roman" w:cs="Times New Roman"/>
          <w:sz w:val="24"/>
          <w:szCs w:val="24"/>
        </w:rPr>
        <w:t xml:space="preserve">decrease </w:t>
      </w:r>
      <w:r w:rsidR="00EB7902" w:rsidRPr="00A11B6C">
        <w:rPr>
          <w:rFonts w:ascii="Times New Roman" w:hAnsi="Times New Roman" w:cs="Times New Roman"/>
          <w:sz w:val="24"/>
          <w:szCs w:val="24"/>
        </w:rPr>
        <w:t xml:space="preserve">in reporting </w:t>
      </w:r>
      <w:r w:rsidR="004D7776" w:rsidRPr="00A11B6C">
        <w:rPr>
          <w:rFonts w:ascii="Times New Roman" w:hAnsi="Times New Roman" w:cs="Times New Roman"/>
          <w:sz w:val="24"/>
          <w:szCs w:val="24"/>
        </w:rPr>
        <w:t xml:space="preserve">any medical </w:t>
      </w:r>
      <w:r w:rsidR="00EB7902" w:rsidRPr="00A11B6C">
        <w:rPr>
          <w:rFonts w:ascii="Times New Roman" w:hAnsi="Times New Roman" w:cs="Times New Roman"/>
          <w:sz w:val="24"/>
          <w:szCs w:val="24"/>
        </w:rPr>
        <w:t xml:space="preserve">financial </w:t>
      </w:r>
      <w:r w:rsidR="004D7776" w:rsidRPr="00A11B6C">
        <w:rPr>
          <w:rFonts w:ascii="Times New Roman" w:hAnsi="Times New Roman" w:cs="Times New Roman"/>
          <w:sz w:val="24"/>
          <w:szCs w:val="24"/>
        </w:rPr>
        <w:t>burdens</w:t>
      </w:r>
      <w:r w:rsidR="00EB7902" w:rsidRPr="00A11B6C">
        <w:rPr>
          <w:rFonts w:ascii="Times New Roman" w:hAnsi="Times New Roman" w:cs="Times New Roman"/>
          <w:sz w:val="24"/>
          <w:szCs w:val="24"/>
        </w:rPr>
        <w:t xml:space="preserve"> (95% CI, </w:t>
      </w:r>
      <w:r w:rsidR="004D7776" w:rsidRPr="00A11B6C">
        <w:rPr>
          <w:rFonts w:ascii="Times New Roman" w:hAnsi="Times New Roman" w:cs="Times New Roman"/>
          <w:sz w:val="24"/>
          <w:szCs w:val="24"/>
        </w:rPr>
        <w:t>-</w:t>
      </w:r>
      <w:r w:rsidR="00EB7902" w:rsidRPr="00A11B6C">
        <w:rPr>
          <w:rFonts w:ascii="Times New Roman" w:hAnsi="Times New Roman" w:cs="Times New Roman"/>
          <w:sz w:val="24"/>
          <w:szCs w:val="24"/>
        </w:rPr>
        <w:t>0.</w:t>
      </w:r>
      <w:r w:rsidR="004D7776" w:rsidRPr="00A11B6C">
        <w:rPr>
          <w:rFonts w:ascii="Times New Roman" w:hAnsi="Times New Roman" w:cs="Times New Roman"/>
          <w:sz w:val="24"/>
          <w:szCs w:val="24"/>
        </w:rPr>
        <w:t>161</w:t>
      </w:r>
      <w:r w:rsidR="00EB7902" w:rsidRPr="00A11B6C">
        <w:rPr>
          <w:rFonts w:ascii="Times New Roman" w:hAnsi="Times New Roman" w:cs="Times New Roman"/>
          <w:sz w:val="24"/>
          <w:szCs w:val="24"/>
        </w:rPr>
        <w:t xml:space="preserve"> </w:t>
      </w:r>
      <w:r w:rsidR="00E22BCF" w:rsidRPr="00A11B6C">
        <w:rPr>
          <w:rFonts w:ascii="Times New Roman" w:hAnsi="Times New Roman" w:cs="Times New Roman"/>
          <w:sz w:val="24"/>
          <w:szCs w:val="24"/>
        </w:rPr>
        <w:t>to</w:t>
      </w:r>
      <w:r w:rsidR="00EB7902" w:rsidRPr="00A11B6C">
        <w:rPr>
          <w:rFonts w:ascii="Times New Roman" w:hAnsi="Times New Roman" w:cs="Times New Roman"/>
          <w:sz w:val="24"/>
          <w:szCs w:val="24"/>
        </w:rPr>
        <w:t xml:space="preserve"> </w:t>
      </w:r>
      <w:r w:rsidR="004D7776" w:rsidRPr="00A11B6C">
        <w:rPr>
          <w:rFonts w:ascii="Times New Roman" w:hAnsi="Times New Roman" w:cs="Times New Roman"/>
          <w:sz w:val="24"/>
          <w:szCs w:val="24"/>
        </w:rPr>
        <w:t>-</w:t>
      </w:r>
      <w:r w:rsidR="00EB7902" w:rsidRPr="00A11B6C">
        <w:rPr>
          <w:rFonts w:ascii="Times New Roman" w:hAnsi="Times New Roman" w:cs="Times New Roman"/>
          <w:sz w:val="24"/>
          <w:szCs w:val="24"/>
        </w:rPr>
        <w:t>0.</w:t>
      </w:r>
      <w:r w:rsidR="004D7776" w:rsidRPr="00A11B6C">
        <w:rPr>
          <w:rFonts w:ascii="Times New Roman" w:hAnsi="Times New Roman" w:cs="Times New Roman"/>
          <w:sz w:val="24"/>
          <w:szCs w:val="24"/>
        </w:rPr>
        <w:t>023</w:t>
      </w:r>
      <w:r w:rsidR="00E22BCF" w:rsidRPr="00A11B6C">
        <w:rPr>
          <w:rFonts w:ascii="Times New Roman" w:hAnsi="Times New Roman" w:cs="Times New Roman"/>
          <w:sz w:val="24"/>
          <w:szCs w:val="24"/>
        </w:rPr>
        <w:t>;</w:t>
      </w:r>
      <w:r w:rsidR="00EB7902" w:rsidRPr="00A11B6C">
        <w:rPr>
          <w:rFonts w:ascii="Times New Roman" w:hAnsi="Times New Roman" w:cs="Times New Roman"/>
          <w:sz w:val="24"/>
          <w:szCs w:val="24"/>
        </w:rPr>
        <w:t xml:space="preserve"> P = 0.009)</w:t>
      </w:r>
      <w:r w:rsidR="007F1DBD" w:rsidRPr="00A11B6C">
        <w:rPr>
          <w:rFonts w:ascii="Times New Roman" w:hAnsi="Times New Roman" w:cs="Times New Roman"/>
          <w:sz w:val="24"/>
          <w:szCs w:val="24"/>
        </w:rPr>
        <w:t xml:space="preserve"> among MA beneficiaries with ADRD</w:t>
      </w:r>
      <w:r w:rsidR="00EB7902" w:rsidRPr="00A11B6C">
        <w:rPr>
          <w:rFonts w:ascii="Times New Roman" w:hAnsi="Times New Roman" w:cs="Times New Roman"/>
          <w:sz w:val="24"/>
          <w:szCs w:val="24"/>
        </w:rPr>
        <w:t xml:space="preserve">. </w:t>
      </w:r>
      <w:r w:rsidR="005566E5" w:rsidRPr="00A11B6C">
        <w:rPr>
          <w:rFonts w:ascii="Times New Roman" w:hAnsi="Times New Roman" w:cs="Times New Roman"/>
          <w:sz w:val="24"/>
          <w:szCs w:val="24"/>
        </w:rPr>
        <w:t xml:space="preserve">The association between the revised payment model and the satisfaction with </w:t>
      </w:r>
      <w:r w:rsidR="00D6520F" w:rsidRPr="00A11B6C">
        <w:rPr>
          <w:rFonts w:ascii="Times New Roman" w:hAnsi="Times New Roman" w:cs="Times New Roman"/>
          <w:sz w:val="24"/>
          <w:szCs w:val="24"/>
        </w:rPr>
        <w:t xml:space="preserve">improved </w:t>
      </w:r>
      <w:r w:rsidR="005566E5" w:rsidRPr="00A11B6C">
        <w:rPr>
          <w:rFonts w:ascii="Times New Roman" w:hAnsi="Times New Roman" w:cs="Times New Roman"/>
          <w:sz w:val="24"/>
          <w:szCs w:val="24"/>
        </w:rPr>
        <w:t xml:space="preserve">access to specialists </w:t>
      </w:r>
      <w:r w:rsidR="007C456B" w:rsidRPr="00A11B6C">
        <w:rPr>
          <w:rFonts w:ascii="Times New Roman" w:hAnsi="Times New Roman" w:cs="Times New Roman"/>
          <w:sz w:val="24"/>
          <w:szCs w:val="24"/>
        </w:rPr>
        <w:t>was</w:t>
      </w:r>
      <w:r w:rsidR="005566E5" w:rsidRPr="00A11B6C">
        <w:rPr>
          <w:rFonts w:ascii="Times New Roman" w:hAnsi="Times New Roman" w:cs="Times New Roman"/>
          <w:sz w:val="24"/>
          <w:szCs w:val="24"/>
        </w:rPr>
        <w:t xml:space="preserve"> marginally significant, with a coefficient of 4.0 percentage points (95% CI, -0.005 to 0.084</w:t>
      </w:r>
      <w:r w:rsidR="00E22BCF" w:rsidRPr="00A11B6C">
        <w:rPr>
          <w:rFonts w:ascii="Times New Roman" w:hAnsi="Times New Roman" w:cs="Times New Roman"/>
          <w:sz w:val="24"/>
          <w:szCs w:val="24"/>
        </w:rPr>
        <w:t>;</w:t>
      </w:r>
      <w:r w:rsidR="005566E5" w:rsidRPr="00A11B6C">
        <w:rPr>
          <w:rFonts w:ascii="Times New Roman" w:hAnsi="Times New Roman" w:cs="Times New Roman"/>
          <w:sz w:val="24"/>
          <w:szCs w:val="24"/>
        </w:rPr>
        <w:t xml:space="preserve"> P =</w:t>
      </w:r>
      <w:r w:rsidR="00F90F73" w:rsidRPr="00A11B6C">
        <w:rPr>
          <w:rFonts w:ascii="Times New Roman" w:hAnsi="Times New Roman" w:cs="Times New Roman"/>
          <w:sz w:val="24"/>
          <w:szCs w:val="24"/>
        </w:rPr>
        <w:t xml:space="preserve"> </w:t>
      </w:r>
      <w:r w:rsidR="005566E5" w:rsidRPr="00A11B6C">
        <w:rPr>
          <w:rFonts w:ascii="Times New Roman" w:hAnsi="Times New Roman" w:cs="Times New Roman"/>
          <w:sz w:val="24"/>
          <w:szCs w:val="24"/>
        </w:rPr>
        <w:t>0.083)</w:t>
      </w:r>
      <w:r w:rsidR="00CF7967" w:rsidRPr="00A11B6C">
        <w:rPr>
          <w:rFonts w:ascii="Times New Roman" w:hAnsi="Times New Roman" w:cs="Times New Roman"/>
          <w:sz w:val="24"/>
          <w:szCs w:val="24"/>
        </w:rPr>
        <w:t>.</w:t>
      </w:r>
      <w:r w:rsidR="00E72269" w:rsidRPr="00A11B6C">
        <w:rPr>
          <w:rFonts w:ascii="Times New Roman" w:hAnsi="Times New Roman" w:cs="Times New Roman"/>
          <w:sz w:val="24"/>
          <w:szCs w:val="24"/>
        </w:rPr>
        <w:t xml:space="preserve"> N</w:t>
      </w:r>
      <w:r w:rsidR="007F1DBD" w:rsidRPr="00A11B6C">
        <w:rPr>
          <w:rFonts w:ascii="Times New Roman" w:hAnsi="Times New Roman" w:cs="Times New Roman"/>
          <w:sz w:val="24"/>
          <w:szCs w:val="24"/>
        </w:rPr>
        <w:t xml:space="preserve">o significant association </w:t>
      </w:r>
      <w:r w:rsidR="007C456B" w:rsidRPr="00A11B6C">
        <w:rPr>
          <w:rFonts w:ascii="Times New Roman" w:hAnsi="Times New Roman" w:cs="Times New Roman"/>
          <w:sz w:val="24"/>
          <w:szCs w:val="24"/>
        </w:rPr>
        <w:t>was</w:t>
      </w:r>
      <w:r w:rsidR="007F1DBD" w:rsidRPr="00A11B6C">
        <w:rPr>
          <w:rFonts w:ascii="Times New Roman" w:hAnsi="Times New Roman" w:cs="Times New Roman"/>
          <w:sz w:val="24"/>
          <w:szCs w:val="24"/>
        </w:rPr>
        <w:t xml:space="preserve"> observed</w:t>
      </w:r>
      <w:r w:rsidR="00572522" w:rsidRPr="00A11B6C">
        <w:rPr>
          <w:rFonts w:ascii="Times New Roman" w:hAnsi="Times New Roman" w:cs="Times New Roman"/>
          <w:sz w:val="24"/>
          <w:szCs w:val="24"/>
        </w:rPr>
        <w:t xml:space="preserve"> for </w:t>
      </w:r>
      <w:r w:rsidR="007F1DBD" w:rsidRPr="00A11B6C">
        <w:rPr>
          <w:rFonts w:ascii="Times New Roman" w:hAnsi="Times New Roman" w:cs="Times New Roman"/>
          <w:sz w:val="24"/>
          <w:szCs w:val="24"/>
        </w:rPr>
        <w:t>satisfaction with the overall quality of care (</w:t>
      </w:r>
      <w:r w:rsidR="002D4AD7" w:rsidRPr="00A11B6C">
        <w:rPr>
          <w:rFonts w:ascii="Times New Roman" w:hAnsi="Times New Roman" w:cs="Times New Roman"/>
          <w:sz w:val="24"/>
          <w:szCs w:val="24"/>
        </w:rPr>
        <w:t>coefficient</w:t>
      </w:r>
      <w:r w:rsidR="003A2137" w:rsidRPr="00A11B6C">
        <w:rPr>
          <w:rFonts w:ascii="Times New Roman" w:hAnsi="Times New Roman" w:cs="Times New Roman"/>
          <w:sz w:val="24"/>
          <w:szCs w:val="24"/>
        </w:rPr>
        <w:t>,</w:t>
      </w:r>
      <w:r w:rsidR="007F1DBD" w:rsidRPr="00A11B6C">
        <w:rPr>
          <w:rFonts w:ascii="Times New Roman" w:hAnsi="Times New Roman" w:cs="Times New Roman"/>
          <w:sz w:val="24"/>
          <w:szCs w:val="24"/>
        </w:rPr>
        <w:t xml:space="preserve"> -</w:t>
      </w:r>
      <w:r w:rsidR="002D4AD7" w:rsidRPr="00A11B6C">
        <w:rPr>
          <w:rFonts w:ascii="Times New Roman" w:hAnsi="Times New Roman" w:cs="Times New Roman"/>
          <w:sz w:val="24"/>
          <w:szCs w:val="24"/>
        </w:rPr>
        <w:t>0.0</w:t>
      </w:r>
      <w:r w:rsidR="007F1DBD" w:rsidRPr="00A11B6C">
        <w:rPr>
          <w:rFonts w:ascii="Times New Roman" w:hAnsi="Times New Roman" w:cs="Times New Roman"/>
          <w:sz w:val="24"/>
          <w:szCs w:val="24"/>
        </w:rPr>
        <w:t xml:space="preserve">14; 95% CI, -0.056 to 0.029; P = </w:t>
      </w:r>
      <w:r w:rsidR="00305F12" w:rsidRPr="00A11B6C">
        <w:rPr>
          <w:rFonts w:ascii="Times New Roman" w:hAnsi="Times New Roman" w:cs="Times New Roman"/>
          <w:sz w:val="24"/>
          <w:szCs w:val="24"/>
        </w:rPr>
        <w:t>0</w:t>
      </w:r>
      <w:r w:rsidR="007F1DBD" w:rsidRPr="00A11B6C">
        <w:rPr>
          <w:rFonts w:ascii="Times New Roman" w:hAnsi="Times New Roman" w:cs="Times New Roman"/>
          <w:sz w:val="24"/>
          <w:szCs w:val="24"/>
        </w:rPr>
        <w:t>.5</w:t>
      </w:r>
      <w:r w:rsidR="003B3B60" w:rsidRPr="00A11B6C">
        <w:rPr>
          <w:rFonts w:ascii="Times New Roman" w:hAnsi="Times New Roman" w:cs="Times New Roman"/>
          <w:sz w:val="24"/>
          <w:szCs w:val="24"/>
        </w:rPr>
        <w:t>3</w:t>
      </w:r>
      <w:r w:rsidR="007F1DBD" w:rsidRPr="00A11B6C">
        <w:rPr>
          <w:rFonts w:ascii="Times New Roman" w:hAnsi="Times New Roman" w:cs="Times New Roman"/>
          <w:sz w:val="24"/>
          <w:szCs w:val="24"/>
        </w:rPr>
        <w:t>).</w:t>
      </w:r>
    </w:p>
    <w:p w14:paraId="3A2A2DBA" w14:textId="77777777" w:rsidR="001671C0" w:rsidRDefault="001671C0" w:rsidP="001671C0">
      <w:pPr>
        <w:spacing w:after="0" w:line="480" w:lineRule="auto"/>
        <w:jc w:val="both"/>
        <w:rPr>
          <w:rFonts w:ascii="Times New Roman" w:hAnsi="Times New Roman" w:cs="Times New Roman"/>
          <w:sz w:val="24"/>
          <w:szCs w:val="24"/>
        </w:rPr>
      </w:pPr>
    </w:p>
    <w:p w14:paraId="339AB3CC" w14:textId="46334FA5" w:rsidR="000F2E2C" w:rsidRPr="00A11B6C" w:rsidRDefault="00450579"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Figure </w:t>
      </w:r>
      <w:r w:rsidR="005A571A" w:rsidRPr="00A11B6C">
        <w:rPr>
          <w:rFonts w:ascii="Times New Roman" w:hAnsi="Times New Roman" w:cs="Times New Roman"/>
          <w:sz w:val="24"/>
          <w:szCs w:val="24"/>
        </w:rPr>
        <w:t>4</w:t>
      </w:r>
      <w:r w:rsidRPr="00A11B6C">
        <w:rPr>
          <w:rFonts w:ascii="Times New Roman" w:hAnsi="Times New Roman" w:cs="Times New Roman"/>
          <w:sz w:val="24"/>
          <w:szCs w:val="24"/>
        </w:rPr>
        <w:t xml:space="preserve"> </w:t>
      </w:r>
      <w:r w:rsidR="00815187" w:rsidRPr="00A11B6C">
        <w:rPr>
          <w:rFonts w:ascii="Times New Roman" w:hAnsi="Times New Roman" w:cs="Times New Roman"/>
          <w:sz w:val="24"/>
          <w:szCs w:val="24"/>
        </w:rPr>
        <w:t>displays</w:t>
      </w:r>
      <w:r w:rsidRPr="00A11B6C">
        <w:rPr>
          <w:rFonts w:ascii="Times New Roman" w:hAnsi="Times New Roman" w:cs="Times New Roman"/>
          <w:sz w:val="24"/>
          <w:szCs w:val="24"/>
        </w:rPr>
        <w:t xml:space="preserve"> the </w:t>
      </w:r>
      <w:r w:rsidR="003A2969" w:rsidRPr="00A11B6C">
        <w:rPr>
          <w:rFonts w:ascii="Times New Roman" w:hAnsi="Times New Roman" w:cs="Times New Roman"/>
          <w:sz w:val="24"/>
          <w:szCs w:val="24"/>
        </w:rPr>
        <w:t xml:space="preserve">dynamic </w:t>
      </w:r>
      <w:r w:rsidRPr="00A11B6C">
        <w:rPr>
          <w:rFonts w:ascii="Times New Roman" w:hAnsi="Times New Roman" w:cs="Times New Roman"/>
          <w:sz w:val="24"/>
          <w:szCs w:val="24"/>
        </w:rPr>
        <w:t>association</w:t>
      </w:r>
      <w:r w:rsidR="00C64EDB" w:rsidRPr="00A11B6C">
        <w:rPr>
          <w:rFonts w:ascii="Times New Roman" w:hAnsi="Times New Roman" w:cs="Times New Roman"/>
          <w:sz w:val="24"/>
          <w:szCs w:val="24"/>
        </w:rPr>
        <w:t xml:space="preserve"> </w:t>
      </w:r>
      <w:r w:rsidRPr="00A11B6C">
        <w:rPr>
          <w:rFonts w:ascii="Times New Roman" w:hAnsi="Times New Roman" w:cs="Times New Roman"/>
          <w:sz w:val="24"/>
          <w:szCs w:val="24"/>
        </w:rPr>
        <w:t>from 201</w:t>
      </w:r>
      <w:r w:rsidR="000B2960" w:rsidRPr="00A11B6C">
        <w:rPr>
          <w:rFonts w:ascii="Times New Roman" w:hAnsi="Times New Roman" w:cs="Times New Roman"/>
          <w:sz w:val="24"/>
          <w:szCs w:val="24"/>
        </w:rPr>
        <w:t>5</w:t>
      </w:r>
      <w:r w:rsidRPr="00A11B6C">
        <w:rPr>
          <w:rFonts w:ascii="Times New Roman" w:hAnsi="Times New Roman" w:cs="Times New Roman"/>
          <w:sz w:val="24"/>
          <w:szCs w:val="24"/>
        </w:rPr>
        <w:t xml:space="preserve"> to 202</w:t>
      </w:r>
      <w:r w:rsidR="00742795" w:rsidRPr="00A11B6C">
        <w:rPr>
          <w:rFonts w:ascii="Times New Roman" w:hAnsi="Times New Roman" w:cs="Times New Roman"/>
          <w:sz w:val="24"/>
          <w:szCs w:val="24"/>
        </w:rPr>
        <w:t>2</w:t>
      </w:r>
      <w:r w:rsidR="00FC5599" w:rsidRPr="00A11B6C">
        <w:rPr>
          <w:rFonts w:ascii="Times New Roman" w:hAnsi="Times New Roman" w:cs="Times New Roman"/>
          <w:sz w:val="24"/>
          <w:szCs w:val="24"/>
        </w:rPr>
        <w:t xml:space="preserve"> from </w:t>
      </w:r>
      <w:r w:rsidR="00522366" w:rsidRPr="00A11B6C">
        <w:rPr>
          <w:rFonts w:ascii="Times New Roman" w:hAnsi="Times New Roman" w:cs="Times New Roman"/>
          <w:sz w:val="24"/>
          <w:szCs w:val="24"/>
        </w:rPr>
        <w:t xml:space="preserve">the </w:t>
      </w:r>
      <w:r w:rsidR="00FC5599" w:rsidRPr="00A11B6C">
        <w:rPr>
          <w:rFonts w:ascii="Times New Roman" w:hAnsi="Times New Roman" w:cs="Times New Roman"/>
          <w:sz w:val="24"/>
          <w:szCs w:val="24"/>
        </w:rPr>
        <w:t>event study analysis</w:t>
      </w:r>
      <w:r w:rsidR="007028FF" w:rsidRPr="00A11B6C">
        <w:rPr>
          <w:rFonts w:ascii="Times New Roman" w:hAnsi="Times New Roman" w:cs="Times New Roman"/>
          <w:sz w:val="24"/>
          <w:szCs w:val="24"/>
        </w:rPr>
        <w:t xml:space="preserve">. </w:t>
      </w:r>
      <w:r w:rsidR="00F728E2" w:rsidRPr="00A11B6C">
        <w:rPr>
          <w:rFonts w:ascii="Times New Roman" w:hAnsi="Times New Roman" w:cs="Times New Roman"/>
          <w:sz w:val="24"/>
          <w:szCs w:val="24"/>
        </w:rPr>
        <w:t>The</w:t>
      </w:r>
      <w:r w:rsidRPr="00A11B6C">
        <w:rPr>
          <w:rFonts w:ascii="Times New Roman" w:hAnsi="Times New Roman" w:cs="Times New Roman"/>
          <w:sz w:val="24"/>
          <w:szCs w:val="24"/>
        </w:rPr>
        <w:t xml:space="preserve"> </w:t>
      </w:r>
      <w:r w:rsidR="00213D2F" w:rsidRPr="00A11B6C">
        <w:rPr>
          <w:rFonts w:ascii="Times New Roman" w:hAnsi="Times New Roman" w:cs="Times New Roman"/>
          <w:sz w:val="24"/>
          <w:szCs w:val="24"/>
        </w:rPr>
        <w:t xml:space="preserve">negative </w:t>
      </w:r>
      <w:r w:rsidR="00EE1D01" w:rsidRPr="00A11B6C">
        <w:rPr>
          <w:rFonts w:ascii="Times New Roman" w:hAnsi="Times New Roman" w:cs="Times New Roman"/>
          <w:sz w:val="24"/>
          <w:szCs w:val="24"/>
        </w:rPr>
        <w:t>coefficients</w:t>
      </w:r>
      <w:r w:rsidR="00103C91" w:rsidRPr="00A11B6C">
        <w:rPr>
          <w:rFonts w:ascii="Times New Roman" w:hAnsi="Times New Roman" w:cs="Times New Roman"/>
          <w:sz w:val="24"/>
          <w:szCs w:val="24"/>
        </w:rPr>
        <w:t xml:space="preserve"> </w:t>
      </w:r>
      <w:r w:rsidRPr="00A11B6C">
        <w:rPr>
          <w:rFonts w:ascii="Times New Roman" w:hAnsi="Times New Roman" w:cs="Times New Roman"/>
          <w:sz w:val="24"/>
          <w:szCs w:val="24"/>
        </w:rPr>
        <w:t xml:space="preserve">and the steady </w:t>
      </w:r>
      <w:r w:rsidR="004D7776" w:rsidRPr="00A11B6C">
        <w:rPr>
          <w:rFonts w:ascii="Times New Roman" w:hAnsi="Times New Roman" w:cs="Times New Roman"/>
          <w:sz w:val="24"/>
          <w:szCs w:val="24"/>
        </w:rPr>
        <w:t xml:space="preserve">downturn </w:t>
      </w:r>
      <w:r w:rsidRPr="00A11B6C">
        <w:rPr>
          <w:rFonts w:ascii="Times New Roman" w:hAnsi="Times New Roman" w:cs="Times New Roman"/>
          <w:sz w:val="24"/>
          <w:szCs w:val="24"/>
        </w:rPr>
        <w:t>pattern in the period after 2019 reassure</w:t>
      </w:r>
      <w:r w:rsidR="007C456B" w:rsidRPr="00A11B6C">
        <w:rPr>
          <w:rFonts w:ascii="Times New Roman" w:hAnsi="Times New Roman" w:cs="Times New Roman"/>
          <w:sz w:val="24"/>
          <w:szCs w:val="24"/>
        </w:rPr>
        <w:t>d</w:t>
      </w:r>
      <w:r w:rsidRPr="00A11B6C">
        <w:rPr>
          <w:rFonts w:ascii="Times New Roman" w:hAnsi="Times New Roman" w:cs="Times New Roman"/>
          <w:sz w:val="24"/>
          <w:szCs w:val="24"/>
        </w:rPr>
        <w:t xml:space="preserve"> that the new risk adjustment model in 2020 </w:t>
      </w:r>
      <w:r w:rsidR="007C456B" w:rsidRPr="00A11B6C">
        <w:rPr>
          <w:rFonts w:ascii="Times New Roman" w:hAnsi="Times New Roman" w:cs="Times New Roman"/>
          <w:sz w:val="24"/>
          <w:szCs w:val="24"/>
        </w:rPr>
        <w:t>was</w:t>
      </w:r>
      <w:r w:rsidRPr="00A11B6C">
        <w:rPr>
          <w:rFonts w:ascii="Times New Roman" w:hAnsi="Times New Roman" w:cs="Times New Roman"/>
          <w:sz w:val="24"/>
          <w:szCs w:val="24"/>
        </w:rPr>
        <w:t xml:space="preserve"> associated with a discernible reduction in troubles in getting needed care</w:t>
      </w:r>
      <w:r w:rsidR="00474206" w:rsidRPr="00A11B6C">
        <w:rPr>
          <w:rFonts w:ascii="Times New Roman" w:hAnsi="Times New Roman" w:cs="Times New Roman"/>
          <w:sz w:val="24"/>
          <w:szCs w:val="24"/>
        </w:rPr>
        <w:t xml:space="preserve"> (top left</w:t>
      </w:r>
      <w:r w:rsidR="00663245" w:rsidRPr="00A11B6C">
        <w:rPr>
          <w:rFonts w:ascii="Times New Roman" w:hAnsi="Times New Roman" w:cs="Times New Roman"/>
          <w:sz w:val="24"/>
          <w:szCs w:val="24"/>
        </w:rPr>
        <w:t xml:space="preserve">: coefficient, </w:t>
      </w:r>
      <w:r w:rsidR="004371F3" w:rsidRPr="00A11B6C">
        <w:rPr>
          <w:rFonts w:ascii="Times New Roman" w:hAnsi="Times New Roman" w:cs="Times New Roman"/>
          <w:sz w:val="24"/>
          <w:szCs w:val="24"/>
        </w:rPr>
        <w:t>-</w:t>
      </w:r>
      <w:r w:rsidR="00663245" w:rsidRPr="00A11B6C">
        <w:rPr>
          <w:rFonts w:ascii="Times New Roman" w:hAnsi="Times New Roman" w:cs="Times New Roman"/>
          <w:sz w:val="24"/>
          <w:szCs w:val="24"/>
        </w:rPr>
        <w:t xml:space="preserve">0.048; </w:t>
      </w:r>
      <w:r w:rsidR="00377A60" w:rsidRPr="00A11B6C">
        <w:rPr>
          <w:rFonts w:ascii="Times New Roman" w:hAnsi="Times New Roman" w:cs="Times New Roman"/>
          <w:sz w:val="24"/>
          <w:szCs w:val="24"/>
        </w:rPr>
        <w:t xml:space="preserve">95% </w:t>
      </w:r>
      <w:r w:rsidR="00663245" w:rsidRPr="00A11B6C">
        <w:rPr>
          <w:rFonts w:ascii="Times New Roman" w:hAnsi="Times New Roman" w:cs="Times New Roman"/>
          <w:sz w:val="24"/>
          <w:szCs w:val="24"/>
        </w:rPr>
        <w:t>CI, -0.</w:t>
      </w:r>
      <w:r w:rsidR="004371F3" w:rsidRPr="00A11B6C">
        <w:rPr>
          <w:rFonts w:ascii="Times New Roman" w:hAnsi="Times New Roman" w:cs="Times New Roman"/>
          <w:sz w:val="24"/>
          <w:szCs w:val="24"/>
        </w:rPr>
        <w:t>129</w:t>
      </w:r>
      <w:r w:rsidR="00663245" w:rsidRPr="00A11B6C">
        <w:rPr>
          <w:rFonts w:ascii="Times New Roman" w:hAnsi="Times New Roman" w:cs="Times New Roman"/>
          <w:sz w:val="24"/>
          <w:szCs w:val="24"/>
        </w:rPr>
        <w:t xml:space="preserve"> to 0.</w:t>
      </w:r>
      <w:r w:rsidR="004371F3" w:rsidRPr="00A11B6C">
        <w:rPr>
          <w:rFonts w:ascii="Times New Roman" w:hAnsi="Times New Roman" w:cs="Times New Roman"/>
          <w:sz w:val="24"/>
          <w:szCs w:val="24"/>
        </w:rPr>
        <w:t>033</w:t>
      </w:r>
      <w:r w:rsidR="00663245" w:rsidRPr="00A11B6C">
        <w:rPr>
          <w:rFonts w:ascii="Times New Roman" w:hAnsi="Times New Roman" w:cs="Times New Roman"/>
          <w:sz w:val="24"/>
          <w:szCs w:val="24"/>
        </w:rPr>
        <w:t xml:space="preserve"> in 2020; coefficient, </w:t>
      </w:r>
      <w:r w:rsidR="00C16D41" w:rsidRPr="00A11B6C">
        <w:rPr>
          <w:rFonts w:ascii="Times New Roman" w:hAnsi="Times New Roman" w:cs="Times New Roman"/>
          <w:sz w:val="24"/>
          <w:szCs w:val="24"/>
        </w:rPr>
        <w:t>-</w:t>
      </w:r>
      <w:r w:rsidR="00663245" w:rsidRPr="00A11B6C">
        <w:rPr>
          <w:rFonts w:ascii="Times New Roman" w:hAnsi="Times New Roman" w:cs="Times New Roman"/>
          <w:sz w:val="24"/>
          <w:szCs w:val="24"/>
        </w:rPr>
        <w:t xml:space="preserve">0.099; </w:t>
      </w:r>
      <w:r w:rsidR="00377A60" w:rsidRPr="00A11B6C">
        <w:rPr>
          <w:rFonts w:ascii="Times New Roman" w:hAnsi="Times New Roman" w:cs="Times New Roman"/>
          <w:sz w:val="24"/>
          <w:szCs w:val="24"/>
        </w:rPr>
        <w:t xml:space="preserve">95% </w:t>
      </w:r>
      <w:r w:rsidR="00663245" w:rsidRPr="00A11B6C">
        <w:rPr>
          <w:rFonts w:ascii="Times New Roman" w:hAnsi="Times New Roman" w:cs="Times New Roman"/>
          <w:sz w:val="24"/>
          <w:szCs w:val="24"/>
        </w:rPr>
        <w:t xml:space="preserve">CI, </w:t>
      </w:r>
      <w:r w:rsidR="00C16D41" w:rsidRPr="00A11B6C">
        <w:rPr>
          <w:rFonts w:ascii="Times New Roman" w:hAnsi="Times New Roman" w:cs="Times New Roman"/>
          <w:sz w:val="24"/>
          <w:szCs w:val="24"/>
        </w:rPr>
        <w:t>-</w:t>
      </w:r>
      <w:r w:rsidR="00663245" w:rsidRPr="00A11B6C">
        <w:rPr>
          <w:rFonts w:ascii="Times New Roman" w:hAnsi="Times New Roman" w:cs="Times New Roman"/>
          <w:sz w:val="24"/>
          <w:szCs w:val="24"/>
        </w:rPr>
        <w:t>0.</w:t>
      </w:r>
      <w:r w:rsidR="00C16D41" w:rsidRPr="00A11B6C">
        <w:rPr>
          <w:rFonts w:ascii="Times New Roman" w:hAnsi="Times New Roman" w:cs="Times New Roman"/>
          <w:sz w:val="24"/>
          <w:szCs w:val="24"/>
        </w:rPr>
        <w:t>181</w:t>
      </w:r>
      <w:r w:rsidR="00663245" w:rsidRPr="00A11B6C">
        <w:rPr>
          <w:rFonts w:ascii="Times New Roman" w:hAnsi="Times New Roman" w:cs="Times New Roman"/>
          <w:sz w:val="24"/>
          <w:szCs w:val="24"/>
        </w:rPr>
        <w:t xml:space="preserve"> to </w:t>
      </w:r>
      <w:r w:rsidR="00F259B7" w:rsidRPr="00A11B6C">
        <w:rPr>
          <w:rFonts w:ascii="Times New Roman" w:hAnsi="Times New Roman" w:cs="Times New Roman"/>
          <w:sz w:val="24"/>
          <w:szCs w:val="24"/>
        </w:rPr>
        <w:t>-</w:t>
      </w:r>
      <w:r w:rsidR="00663245" w:rsidRPr="00A11B6C">
        <w:rPr>
          <w:rFonts w:ascii="Times New Roman" w:hAnsi="Times New Roman" w:cs="Times New Roman"/>
          <w:sz w:val="24"/>
          <w:szCs w:val="24"/>
        </w:rPr>
        <w:t>0.</w:t>
      </w:r>
      <w:r w:rsidR="00C16D41" w:rsidRPr="00A11B6C">
        <w:rPr>
          <w:rFonts w:ascii="Times New Roman" w:hAnsi="Times New Roman" w:cs="Times New Roman"/>
          <w:sz w:val="24"/>
          <w:szCs w:val="24"/>
        </w:rPr>
        <w:t>016</w:t>
      </w:r>
      <w:r w:rsidR="00663245" w:rsidRPr="00A11B6C">
        <w:rPr>
          <w:rFonts w:ascii="Times New Roman" w:hAnsi="Times New Roman" w:cs="Times New Roman"/>
          <w:sz w:val="24"/>
          <w:szCs w:val="24"/>
        </w:rPr>
        <w:t xml:space="preserve"> in 2021, coefficient, </w:t>
      </w:r>
      <w:r w:rsidR="00FA558C" w:rsidRPr="00A11B6C">
        <w:rPr>
          <w:rFonts w:ascii="Times New Roman" w:hAnsi="Times New Roman" w:cs="Times New Roman"/>
          <w:sz w:val="24"/>
          <w:szCs w:val="24"/>
        </w:rPr>
        <w:t>-</w:t>
      </w:r>
      <w:r w:rsidR="00663245" w:rsidRPr="00A11B6C">
        <w:rPr>
          <w:rFonts w:ascii="Times New Roman" w:hAnsi="Times New Roman" w:cs="Times New Roman"/>
          <w:sz w:val="24"/>
          <w:szCs w:val="24"/>
        </w:rPr>
        <w:t xml:space="preserve">0.091; </w:t>
      </w:r>
      <w:r w:rsidR="00377A60" w:rsidRPr="00A11B6C">
        <w:rPr>
          <w:rFonts w:ascii="Times New Roman" w:hAnsi="Times New Roman" w:cs="Times New Roman"/>
          <w:sz w:val="24"/>
          <w:szCs w:val="24"/>
        </w:rPr>
        <w:t xml:space="preserve">95% </w:t>
      </w:r>
      <w:r w:rsidR="00663245" w:rsidRPr="00A11B6C">
        <w:rPr>
          <w:rFonts w:ascii="Times New Roman" w:hAnsi="Times New Roman" w:cs="Times New Roman"/>
          <w:sz w:val="24"/>
          <w:szCs w:val="24"/>
        </w:rPr>
        <w:t>CI, -0.</w:t>
      </w:r>
      <w:r w:rsidR="00FA558C" w:rsidRPr="00A11B6C">
        <w:rPr>
          <w:rFonts w:ascii="Times New Roman" w:hAnsi="Times New Roman" w:cs="Times New Roman"/>
          <w:sz w:val="24"/>
          <w:szCs w:val="24"/>
        </w:rPr>
        <w:t>183</w:t>
      </w:r>
      <w:r w:rsidR="00663245" w:rsidRPr="00A11B6C">
        <w:rPr>
          <w:rFonts w:ascii="Times New Roman" w:hAnsi="Times New Roman" w:cs="Times New Roman"/>
          <w:sz w:val="24"/>
          <w:szCs w:val="24"/>
        </w:rPr>
        <w:t xml:space="preserve"> to 0.</w:t>
      </w:r>
      <w:r w:rsidR="00FA558C" w:rsidRPr="00A11B6C">
        <w:rPr>
          <w:rFonts w:ascii="Times New Roman" w:hAnsi="Times New Roman" w:cs="Times New Roman"/>
          <w:sz w:val="24"/>
          <w:szCs w:val="24"/>
        </w:rPr>
        <w:t>001</w:t>
      </w:r>
      <w:r w:rsidR="00663245" w:rsidRPr="00A11B6C">
        <w:rPr>
          <w:rFonts w:ascii="Times New Roman" w:hAnsi="Times New Roman" w:cs="Times New Roman"/>
          <w:sz w:val="24"/>
          <w:szCs w:val="24"/>
        </w:rPr>
        <w:t xml:space="preserve"> in 2022</w:t>
      </w:r>
      <w:r w:rsidR="00517DA8" w:rsidRPr="00A11B6C">
        <w:rPr>
          <w:rFonts w:ascii="Times New Roman" w:hAnsi="Times New Roman" w:cs="Times New Roman"/>
          <w:sz w:val="24"/>
          <w:szCs w:val="24"/>
        </w:rPr>
        <w:t xml:space="preserve"> in </w:t>
      </w:r>
      <w:proofErr w:type="spellStart"/>
      <w:r w:rsidR="00BB6964" w:rsidRPr="00BB6964">
        <w:rPr>
          <w:rFonts w:ascii="Times New Roman" w:hAnsi="Times New Roman" w:cs="Times New Roman"/>
          <w:b/>
          <w:bCs/>
          <w:sz w:val="24"/>
          <w:szCs w:val="24"/>
        </w:rPr>
        <w:lastRenderedPageBreak/>
        <w:t>e</w:t>
      </w:r>
      <w:r w:rsidR="00517DA8" w:rsidRPr="00BB6964">
        <w:rPr>
          <w:rFonts w:ascii="Times New Roman" w:hAnsi="Times New Roman" w:cs="Times New Roman"/>
          <w:b/>
          <w:bCs/>
          <w:sz w:val="24"/>
          <w:szCs w:val="24"/>
        </w:rPr>
        <w:t>Table</w:t>
      </w:r>
      <w:proofErr w:type="spellEnd"/>
      <w:r w:rsidR="00517DA8" w:rsidRPr="00A11B6C">
        <w:rPr>
          <w:rFonts w:ascii="Times New Roman" w:hAnsi="Times New Roman" w:cs="Times New Roman"/>
          <w:b/>
          <w:bCs/>
          <w:sz w:val="24"/>
          <w:szCs w:val="24"/>
        </w:rPr>
        <w:t xml:space="preserve"> 1</w:t>
      </w:r>
      <w:r w:rsidR="00737697">
        <w:rPr>
          <w:rFonts w:ascii="Times New Roman" w:hAnsi="Times New Roman" w:cs="Times New Roman"/>
          <w:b/>
          <w:bCs/>
          <w:sz w:val="24"/>
          <w:szCs w:val="24"/>
        </w:rPr>
        <w:t xml:space="preserve"> </w:t>
      </w:r>
      <w:r w:rsidR="00737697">
        <w:rPr>
          <w:rFonts w:ascii="Times New Roman" w:hAnsi="Times New Roman" w:cs="Times New Roman"/>
          <w:sz w:val="24"/>
          <w:szCs w:val="24"/>
        </w:rPr>
        <w:t>in the Supplement</w:t>
      </w:r>
      <w:r w:rsidR="00474206" w:rsidRPr="00A11B6C">
        <w:rPr>
          <w:rFonts w:ascii="Times New Roman" w:hAnsi="Times New Roman" w:cs="Times New Roman"/>
          <w:sz w:val="24"/>
          <w:szCs w:val="24"/>
        </w:rPr>
        <w:t>)</w:t>
      </w:r>
      <w:r w:rsidRPr="00A11B6C">
        <w:rPr>
          <w:rFonts w:ascii="Times New Roman" w:hAnsi="Times New Roman" w:cs="Times New Roman"/>
          <w:sz w:val="24"/>
          <w:szCs w:val="24"/>
        </w:rPr>
        <w:t xml:space="preserve"> and </w:t>
      </w:r>
      <w:r w:rsidR="002F36B5" w:rsidRPr="00A11B6C">
        <w:rPr>
          <w:rFonts w:ascii="Times New Roman" w:hAnsi="Times New Roman" w:cs="Times New Roman"/>
          <w:sz w:val="24"/>
          <w:szCs w:val="24"/>
        </w:rPr>
        <w:t xml:space="preserve">alleviated financial stress </w:t>
      </w:r>
      <w:r w:rsidRPr="00A11B6C">
        <w:rPr>
          <w:rFonts w:ascii="Times New Roman" w:hAnsi="Times New Roman" w:cs="Times New Roman"/>
          <w:sz w:val="24"/>
          <w:szCs w:val="24"/>
        </w:rPr>
        <w:t>in paying medical bills</w:t>
      </w:r>
      <w:r w:rsidR="00474206" w:rsidRPr="00A11B6C">
        <w:rPr>
          <w:rFonts w:ascii="Times New Roman" w:hAnsi="Times New Roman" w:cs="Times New Roman"/>
          <w:sz w:val="24"/>
          <w:szCs w:val="24"/>
        </w:rPr>
        <w:t xml:space="preserve"> (top right</w:t>
      </w:r>
      <w:r w:rsidR="00663245" w:rsidRPr="00A11B6C">
        <w:rPr>
          <w:rFonts w:ascii="Times New Roman" w:hAnsi="Times New Roman" w:cs="Times New Roman"/>
          <w:sz w:val="24"/>
          <w:szCs w:val="24"/>
        </w:rPr>
        <w:t xml:space="preserve">: coefficient, </w:t>
      </w:r>
      <w:r w:rsidR="00F259B7" w:rsidRPr="00A11B6C">
        <w:rPr>
          <w:rFonts w:ascii="Times New Roman" w:hAnsi="Times New Roman" w:cs="Times New Roman"/>
          <w:sz w:val="24"/>
          <w:szCs w:val="24"/>
        </w:rPr>
        <w:t>-</w:t>
      </w:r>
      <w:r w:rsidR="00377A60" w:rsidRPr="00A11B6C">
        <w:rPr>
          <w:rFonts w:ascii="Times New Roman" w:hAnsi="Times New Roman" w:cs="Times New Roman"/>
          <w:sz w:val="24"/>
          <w:szCs w:val="24"/>
        </w:rPr>
        <w:t>0.097</w:t>
      </w:r>
      <w:r w:rsidR="00663245" w:rsidRPr="00A11B6C">
        <w:rPr>
          <w:rFonts w:ascii="Times New Roman" w:hAnsi="Times New Roman" w:cs="Times New Roman"/>
          <w:sz w:val="24"/>
          <w:szCs w:val="24"/>
        </w:rPr>
        <w:t xml:space="preserve">; </w:t>
      </w:r>
      <w:r w:rsidR="00377A60" w:rsidRPr="00A11B6C">
        <w:rPr>
          <w:rFonts w:ascii="Times New Roman" w:hAnsi="Times New Roman" w:cs="Times New Roman"/>
          <w:sz w:val="24"/>
          <w:szCs w:val="24"/>
        </w:rPr>
        <w:t xml:space="preserve">95% </w:t>
      </w:r>
      <w:r w:rsidR="00663245" w:rsidRPr="00A11B6C">
        <w:rPr>
          <w:rFonts w:ascii="Times New Roman" w:hAnsi="Times New Roman" w:cs="Times New Roman"/>
          <w:sz w:val="24"/>
          <w:szCs w:val="24"/>
        </w:rPr>
        <w:t xml:space="preserve">CI, </w:t>
      </w:r>
      <w:r w:rsidR="00377A60" w:rsidRPr="00A11B6C">
        <w:rPr>
          <w:rFonts w:ascii="Times New Roman" w:hAnsi="Times New Roman" w:cs="Times New Roman"/>
          <w:sz w:val="24"/>
          <w:szCs w:val="24"/>
        </w:rPr>
        <w:t>-0.</w:t>
      </w:r>
      <w:r w:rsidR="00F259B7" w:rsidRPr="00A11B6C">
        <w:rPr>
          <w:rFonts w:ascii="Times New Roman" w:hAnsi="Times New Roman" w:cs="Times New Roman"/>
          <w:sz w:val="24"/>
          <w:szCs w:val="24"/>
        </w:rPr>
        <w:t>212</w:t>
      </w:r>
      <w:r w:rsidR="00377A60" w:rsidRPr="00A11B6C">
        <w:rPr>
          <w:rFonts w:ascii="Times New Roman" w:hAnsi="Times New Roman" w:cs="Times New Roman"/>
          <w:sz w:val="24"/>
          <w:szCs w:val="24"/>
        </w:rPr>
        <w:t xml:space="preserve"> </w:t>
      </w:r>
      <w:r w:rsidR="00663245" w:rsidRPr="00A11B6C">
        <w:rPr>
          <w:rFonts w:ascii="Times New Roman" w:hAnsi="Times New Roman" w:cs="Times New Roman"/>
          <w:sz w:val="24"/>
          <w:szCs w:val="24"/>
        </w:rPr>
        <w:t>to</w:t>
      </w:r>
      <w:r w:rsidR="00377A60" w:rsidRPr="00A11B6C">
        <w:rPr>
          <w:rFonts w:ascii="Times New Roman" w:hAnsi="Times New Roman" w:cs="Times New Roman"/>
          <w:sz w:val="24"/>
          <w:szCs w:val="24"/>
        </w:rPr>
        <w:t xml:space="preserve"> 0.</w:t>
      </w:r>
      <w:r w:rsidR="00F259B7" w:rsidRPr="00A11B6C">
        <w:rPr>
          <w:rFonts w:ascii="Times New Roman" w:hAnsi="Times New Roman" w:cs="Times New Roman"/>
          <w:sz w:val="24"/>
          <w:szCs w:val="24"/>
        </w:rPr>
        <w:t xml:space="preserve">017 </w:t>
      </w:r>
      <w:r w:rsidR="00663245" w:rsidRPr="00A11B6C">
        <w:rPr>
          <w:rFonts w:ascii="Times New Roman" w:hAnsi="Times New Roman" w:cs="Times New Roman"/>
          <w:sz w:val="24"/>
          <w:szCs w:val="24"/>
        </w:rPr>
        <w:t xml:space="preserve">in 2020; coefficient, </w:t>
      </w:r>
      <w:r w:rsidR="00F259B7" w:rsidRPr="00A11B6C">
        <w:rPr>
          <w:rFonts w:ascii="Times New Roman" w:hAnsi="Times New Roman" w:cs="Times New Roman"/>
          <w:sz w:val="24"/>
          <w:szCs w:val="24"/>
        </w:rPr>
        <w:t>-</w:t>
      </w:r>
      <w:r w:rsidR="00377A60" w:rsidRPr="00A11B6C">
        <w:rPr>
          <w:rFonts w:ascii="Times New Roman" w:hAnsi="Times New Roman" w:cs="Times New Roman"/>
          <w:sz w:val="24"/>
          <w:szCs w:val="24"/>
        </w:rPr>
        <w:t>0.103</w:t>
      </w:r>
      <w:r w:rsidR="00663245" w:rsidRPr="00A11B6C">
        <w:rPr>
          <w:rFonts w:ascii="Times New Roman" w:hAnsi="Times New Roman" w:cs="Times New Roman"/>
          <w:sz w:val="24"/>
          <w:szCs w:val="24"/>
        </w:rPr>
        <w:t xml:space="preserve">; </w:t>
      </w:r>
      <w:r w:rsidR="00377A60" w:rsidRPr="00A11B6C">
        <w:rPr>
          <w:rFonts w:ascii="Times New Roman" w:hAnsi="Times New Roman" w:cs="Times New Roman"/>
          <w:sz w:val="24"/>
          <w:szCs w:val="24"/>
        </w:rPr>
        <w:t xml:space="preserve">95% </w:t>
      </w:r>
      <w:r w:rsidR="00663245" w:rsidRPr="00A11B6C">
        <w:rPr>
          <w:rFonts w:ascii="Times New Roman" w:hAnsi="Times New Roman" w:cs="Times New Roman"/>
          <w:sz w:val="24"/>
          <w:szCs w:val="24"/>
        </w:rPr>
        <w:t xml:space="preserve">CI, </w:t>
      </w:r>
      <w:r w:rsidR="00377A60" w:rsidRPr="00A11B6C">
        <w:rPr>
          <w:rFonts w:ascii="Times New Roman" w:hAnsi="Times New Roman" w:cs="Times New Roman"/>
          <w:sz w:val="24"/>
          <w:szCs w:val="24"/>
        </w:rPr>
        <w:t>-0.</w:t>
      </w:r>
      <w:r w:rsidR="00F259B7" w:rsidRPr="00A11B6C">
        <w:rPr>
          <w:rFonts w:ascii="Times New Roman" w:hAnsi="Times New Roman" w:cs="Times New Roman"/>
          <w:sz w:val="24"/>
          <w:szCs w:val="24"/>
        </w:rPr>
        <w:t xml:space="preserve">214 </w:t>
      </w:r>
      <w:r w:rsidR="00663245" w:rsidRPr="00A11B6C">
        <w:rPr>
          <w:rFonts w:ascii="Times New Roman" w:hAnsi="Times New Roman" w:cs="Times New Roman"/>
          <w:sz w:val="24"/>
          <w:szCs w:val="24"/>
        </w:rPr>
        <w:t xml:space="preserve">to </w:t>
      </w:r>
      <w:r w:rsidR="00377A60" w:rsidRPr="00A11B6C">
        <w:rPr>
          <w:rFonts w:ascii="Times New Roman" w:hAnsi="Times New Roman" w:cs="Times New Roman"/>
          <w:sz w:val="24"/>
          <w:szCs w:val="24"/>
        </w:rPr>
        <w:t>0.</w:t>
      </w:r>
      <w:r w:rsidR="00F259B7" w:rsidRPr="00A11B6C">
        <w:rPr>
          <w:rFonts w:ascii="Times New Roman" w:hAnsi="Times New Roman" w:cs="Times New Roman"/>
          <w:sz w:val="24"/>
          <w:szCs w:val="24"/>
        </w:rPr>
        <w:t>007</w:t>
      </w:r>
      <w:r w:rsidR="00663245" w:rsidRPr="00A11B6C">
        <w:rPr>
          <w:rFonts w:ascii="Times New Roman" w:hAnsi="Times New Roman" w:cs="Times New Roman"/>
          <w:sz w:val="24"/>
          <w:szCs w:val="24"/>
        </w:rPr>
        <w:t xml:space="preserve"> in 2021, coefficient, </w:t>
      </w:r>
      <w:r w:rsidR="00F259B7" w:rsidRPr="00A11B6C">
        <w:rPr>
          <w:rFonts w:ascii="Times New Roman" w:hAnsi="Times New Roman" w:cs="Times New Roman"/>
          <w:sz w:val="24"/>
          <w:szCs w:val="24"/>
        </w:rPr>
        <w:t>-</w:t>
      </w:r>
      <w:r w:rsidR="00377A60" w:rsidRPr="00A11B6C">
        <w:rPr>
          <w:rFonts w:ascii="Times New Roman" w:hAnsi="Times New Roman" w:cs="Times New Roman"/>
          <w:sz w:val="24"/>
          <w:szCs w:val="24"/>
        </w:rPr>
        <w:t>0.117</w:t>
      </w:r>
      <w:r w:rsidR="00663245" w:rsidRPr="00A11B6C">
        <w:rPr>
          <w:rFonts w:ascii="Times New Roman" w:hAnsi="Times New Roman" w:cs="Times New Roman"/>
          <w:sz w:val="24"/>
          <w:szCs w:val="24"/>
        </w:rPr>
        <w:t xml:space="preserve">; </w:t>
      </w:r>
      <w:r w:rsidR="00377A60" w:rsidRPr="00A11B6C">
        <w:rPr>
          <w:rFonts w:ascii="Times New Roman" w:hAnsi="Times New Roman" w:cs="Times New Roman"/>
          <w:sz w:val="24"/>
          <w:szCs w:val="24"/>
        </w:rPr>
        <w:t>95%</w:t>
      </w:r>
      <w:r w:rsidR="0086024F" w:rsidRPr="00A11B6C">
        <w:rPr>
          <w:rFonts w:ascii="Times New Roman" w:hAnsi="Times New Roman" w:cs="Times New Roman"/>
          <w:sz w:val="24"/>
          <w:szCs w:val="24"/>
        </w:rPr>
        <w:t xml:space="preserve"> </w:t>
      </w:r>
      <w:r w:rsidR="00663245" w:rsidRPr="00A11B6C">
        <w:rPr>
          <w:rFonts w:ascii="Times New Roman" w:hAnsi="Times New Roman" w:cs="Times New Roman"/>
          <w:sz w:val="24"/>
          <w:szCs w:val="24"/>
        </w:rPr>
        <w:t xml:space="preserve">CI, </w:t>
      </w:r>
      <w:r w:rsidR="00377A60" w:rsidRPr="00A11B6C">
        <w:rPr>
          <w:rFonts w:ascii="Times New Roman" w:hAnsi="Times New Roman" w:cs="Times New Roman"/>
          <w:sz w:val="24"/>
          <w:szCs w:val="24"/>
        </w:rPr>
        <w:t>-0.</w:t>
      </w:r>
      <w:r w:rsidR="00F259B7" w:rsidRPr="00A11B6C">
        <w:rPr>
          <w:rFonts w:ascii="Times New Roman" w:hAnsi="Times New Roman" w:cs="Times New Roman"/>
          <w:sz w:val="24"/>
          <w:szCs w:val="24"/>
        </w:rPr>
        <w:t xml:space="preserve">237 </w:t>
      </w:r>
      <w:r w:rsidR="00663245" w:rsidRPr="00A11B6C">
        <w:rPr>
          <w:rFonts w:ascii="Times New Roman" w:hAnsi="Times New Roman" w:cs="Times New Roman"/>
          <w:sz w:val="24"/>
          <w:szCs w:val="24"/>
        </w:rPr>
        <w:t xml:space="preserve">to </w:t>
      </w:r>
      <w:r w:rsidR="00377A60" w:rsidRPr="00A11B6C">
        <w:rPr>
          <w:rFonts w:ascii="Times New Roman" w:hAnsi="Times New Roman" w:cs="Times New Roman"/>
          <w:sz w:val="24"/>
          <w:szCs w:val="24"/>
        </w:rPr>
        <w:t>0.</w:t>
      </w:r>
      <w:r w:rsidR="00F259B7" w:rsidRPr="00A11B6C">
        <w:rPr>
          <w:rFonts w:ascii="Times New Roman" w:hAnsi="Times New Roman" w:cs="Times New Roman"/>
          <w:sz w:val="24"/>
          <w:szCs w:val="24"/>
        </w:rPr>
        <w:t>002</w:t>
      </w:r>
      <w:r w:rsidR="00663245" w:rsidRPr="00A11B6C">
        <w:rPr>
          <w:rFonts w:ascii="Times New Roman" w:hAnsi="Times New Roman" w:cs="Times New Roman"/>
          <w:sz w:val="24"/>
          <w:szCs w:val="24"/>
        </w:rPr>
        <w:t xml:space="preserve"> in 2022</w:t>
      </w:r>
      <w:r w:rsidR="0027318D" w:rsidRPr="00A11B6C">
        <w:rPr>
          <w:rFonts w:ascii="Times New Roman" w:hAnsi="Times New Roman" w:cs="Times New Roman"/>
          <w:sz w:val="24"/>
          <w:szCs w:val="24"/>
        </w:rPr>
        <w:t xml:space="preserve"> in </w:t>
      </w:r>
      <w:proofErr w:type="spellStart"/>
      <w:r w:rsidR="00C93296" w:rsidRPr="00C93296">
        <w:rPr>
          <w:rFonts w:ascii="Times New Roman" w:hAnsi="Times New Roman" w:cs="Times New Roman"/>
          <w:b/>
          <w:bCs/>
          <w:sz w:val="24"/>
          <w:szCs w:val="24"/>
        </w:rPr>
        <w:t>e</w:t>
      </w:r>
      <w:r w:rsidR="0027318D" w:rsidRPr="00C93296">
        <w:rPr>
          <w:rFonts w:ascii="Times New Roman" w:hAnsi="Times New Roman" w:cs="Times New Roman"/>
          <w:b/>
          <w:bCs/>
          <w:sz w:val="24"/>
          <w:szCs w:val="24"/>
        </w:rPr>
        <w:t>Table</w:t>
      </w:r>
      <w:proofErr w:type="spellEnd"/>
      <w:r w:rsidR="0027318D" w:rsidRPr="00A11B6C">
        <w:rPr>
          <w:rFonts w:ascii="Times New Roman" w:hAnsi="Times New Roman" w:cs="Times New Roman"/>
          <w:b/>
          <w:bCs/>
          <w:sz w:val="24"/>
          <w:szCs w:val="24"/>
        </w:rPr>
        <w:t xml:space="preserve"> 1</w:t>
      </w:r>
      <w:r w:rsidR="00474206" w:rsidRPr="00A11B6C">
        <w:rPr>
          <w:rFonts w:ascii="Times New Roman" w:hAnsi="Times New Roman" w:cs="Times New Roman"/>
          <w:sz w:val="24"/>
          <w:szCs w:val="24"/>
        </w:rPr>
        <w:t>)</w:t>
      </w:r>
      <w:r w:rsidR="00E02FC3" w:rsidRPr="00A11B6C">
        <w:rPr>
          <w:rFonts w:ascii="Times New Roman" w:hAnsi="Times New Roman" w:cs="Times New Roman"/>
          <w:sz w:val="24"/>
          <w:szCs w:val="24"/>
        </w:rPr>
        <w:t xml:space="preserve"> among MA beneficiaries</w:t>
      </w:r>
      <w:r w:rsidR="0008005C" w:rsidRPr="00A11B6C">
        <w:rPr>
          <w:rFonts w:ascii="Times New Roman" w:hAnsi="Times New Roman" w:cs="Times New Roman"/>
          <w:sz w:val="24"/>
          <w:szCs w:val="24"/>
        </w:rPr>
        <w:t xml:space="preserve"> with ADRD</w:t>
      </w:r>
      <w:r w:rsidRPr="00A11B6C">
        <w:rPr>
          <w:rFonts w:ascii="Times New Roman" w:hAnsi="Times New Roman" w:cs="Times New Roman"/>
          <w:sz w:val="24"/>
          <w:szCs w:val="24"/>
        </w:rPr>
        <w:t xml:space="preserve">. </w:t>
      </w:r>
      <w:r w:rsidR="00517643" w:rsidRPr="00A11B6C">
        <w:rPr>
          <w:rFonts w:ascii="Times New Roman" w:hAnsi="Times New Roman" w:cs="Times New Roman"/>
          <w:sz w:val="24"/>
          <w:szCs w:val="24"/>
        </w:rPr>
        <w:t>Moreover</w:t>
      </w:r>
      <w:r w:rsidR="00186B68" w:rsidRPr="00A11B6C">
        <w:rPr>
          <w:rFonts w:ascii="Times New Roman" w:hAnsi="Times New Roman" w:cs="Times New Roman"/>
          <w:sz w:val="24"/>
          <w:szCs w:val="24"/>
        </w:rPr>
        <w:t>,</w:t>
      </w:r>
      <w:r w:rsidRPr="00A11B6C">
        <w:rPr>
          <w:rFonts w:ascii="Times New Roman" w:hAnsi="Times New Roman" w:cs="Times New Roman"/>
          <w:sz w:val="24"/>
          <w:szCs w:val="24"/>
        </w:rPr>
        <w:t xml:space="preserve"> the stability and insignificance of the coefficients preceding the </w:t>
      </w:r>
      <w:r w:rsidR="001E49BB" w:rsidRPr="00A11B6C">
        <w:rPr>
          <w:rFonts w:ascii="Times New Roman" w:hAnsi="Times New Roman" w:cs="Times New Roman"/>
          <w:sz w:val="24"/>
          <w:szCs w:val="24"/>
        </w:rPr>
        <w:t>revised payment model</w:t>
      </w:r>
      <w:r w:rsidR="00EE10B7" w:rsidRPr="00A11B6C">
        <w:rPr>
          <w:rFonts w:ascii="Times New Roman" w:hAnsi="Times New Roman" w:cs="Times New Roman"/>
          <w:sz w:val="24"/>
          <w:szCs w:val="24"/>
        </w:rPr>
        <w:t xml:space="preserve"> in the top panel</w:t>
      </w:r>
      <w:r w:rsidR="00F319B7" w:rsidRPr="00A11B6C">
        <w:rPr>
          <w:rFonts w:ascii="Times New Roman" w:hAnsi="Times New Roman" w:cs="Times New Roman"/>
          <w:sz w:val="24"/>
          <w:szCs w:val="24"/>
        </w:rPr>
        <w:t>s</w:t>
      </w:r>
      <w:r w:rsidRPr="00A11B6C">
        <w:rPr>
          <w:rFonts w:ascii="Times New Roman" w:hAnsi="Times New Roman" w:cs="Times New Roman"/>
          <w:sz w:val="24"/>
          <w:szCs w:val="24"/>
        </w:rPr>
        <w:t xml:space="preserve">, being negative or hovering near zero, </w:t>
      </w:r>
      <w:r w:rsidR="00E97A0D" w:rsidRPr="00A11B6C">
        <w:rPr>
          <w:rFonts w:ascii="Times New Roman" w:hAnsi="Times New Roman" w:cs="Times New Roman"/>
          <w:sz w:val="24"/>
          <w:szCs w:val="24"/>
        </w:rPr>
        <w:t>lend</w:t>
      </w:r>
      <w:r w:rsidRPr="00A11B6C">
        <w:rPr>
          <w:rFonts w:ascii="Times New Roman" w:hAnsi="Times New Roman" w:cs="Times New Roman"/>
          <w:sz w:val="24"/>
          <w:szCs w:val="24"/>
        </w:rPr>
        <w:t xml:space="preserve"> credibility to the underlying parallel</w:t>
      </w:r>
      <w:r w:rsidR="00C30B66" w:rsidRPr="00A11B6C">
        <w:rPr>
          <w:rFonts w:ascii="Times New Roman" w:hAnsi="Times New Roman" w:cs="Times New Roman"/>
          <w:sz w:val="24"/>
          <w:szCs w:val="24"/>
        </w:rPr>
        <w:t>-</w:t>
      </w:r>
      <w:r w:rsidRPr="00A11B6C">
        <w:rPr>
          <w:rFonts w:ascii="Times New Roman" w:hAnsi="Times New Roman" w:cs="Times New Roman"/>
          <w:sz w:val="24"/>
          <w:szCs w:val="24"/>
        </w:rPr>
        <w:t>trends assumption</w:t>
      </w:r>
      <w:r w:rsidR="00C30B66" w:rsidRPr="00A11B6C">
        <w:rPr>
          <w:rFonts w:ascii="Times New Roman" w:hAnsi="Times New Roman" w:cs="Times New Roman"/>
          <w:sz w:val="24"/>
          <w:szCs w:val="24"/>
        </w:rPr>
        <w:t xml:space="preserve"> for </w:t>
      </w:r>
      <w:r w:rsidR="00547266" w:rsidRPr="00A11B6C">
        <w:rPr>
          <w:rFonts w:ascii="Times New Roman" w:hAnsi="Times New Roman" w:cs="Times New Roman"/>
          <w:sz w:val="24"/>
          <w:szCs w:val="24"/>
        </w:rPr>
        <w:t>our DID model</w:t>
      </w:r>
      <w:r w:rsidRPr="00A11B6C">
        <w:rPr>
          <w:rFonts w:ascii="Times New Roman" w:hAnsi="Times New Roman" w:cs="Times New Roman"/>
          <w:sz w:val="24"/>
          <w:szCs w:val="24"/>
        </w:rPr>
        <w:t xml:space="preserve">. </w:t>
      </w:r>
      <w:r w:rsidR="000C6F6F" w:rsidRPr="00A11B6C">
        <w:rPr>
          <w:rFonts w:ascii="Times New Roman" w:hAnsi="Times New Roman" w:cs="Times New Roman"/>
          <w:sz w:val="24"/>
          <w:szCs w:val="24"/>
        </w:rPr>
        <w:t xml:space="preserve">The positive association between the 2020 revised payment model and beneficiaries’ satisfaction with access to specialists </w:t>
      </w:r>
      <w:r w:rsidR="00E97A0D" w:rsidRPr="00A11B6C">
        <w:rPr>
          <w:rFonts w:ascii="Times New Roman" w:hAnsi="Times New Roman" w:cs="Times New Roman"/>
          <w:sz w:val="24"/>
          <w:szCs w:val="24"/>
        </w:rPr>
        <w:t>was</w:t>
      </w:r>
      <w:r w:rsidR="000C6F6F" w:rsidRPr="00A11B6C">
        <w:rPr>
          <w:rFonts w:ascii="Times New Roman" w:hAnsi="Times New Roman" w:cs="Times New Roman"/>
          <w:sz w:val="24"/>
          <w:szCs w:val="24"/>
        </w:rPr>
        <w:t xml:space="preserve"> relatively weak in 2020 and the subsequent years, although the magnitude of the association show</w:t>
      </w:r>
      <w:r w:rsidR="00E97A0D" w:rsidRPr="00A11B6C">
        <w:rPr>
          <w:rFonts w:ascii="Times New Roman" w:hAnsi="Times New Roman" w:cs="Times New Roman"/>
          <w:sz w:val="24"/>
          <w:szCs w:val="24"/>
        </w:rPr>
        <w:t>ed</w:t>
      </w:r>
      <w:r w:rsidR="000C6F6F" w:rsidRPr="00A11B6C">
        <w:rPr>
          <w:rFonts w:ascii="Times New Roman" w:hAnsi="Times New Roman" w:cs="Times New Roman"/>
          <w:sz w:val="24"/>
          <w:szCs w:val="24"/>
        </w:rPr>
        <w:t xml:space="preserve"> an increasing trend over time (bottom left). Conversely, the revised payment model demonstrate</w:t>
      </w:r>
      <w:r w:rsidR="00E97A0D" w:rsidRPr="00A11B6C">
        <w:rPr>
          <w:rFonts w:ascii="Times New Roman" w:hAnsi="Times New Roman" w:cs="Times New Roman"/>
          <w:sz w:val="24"/>
          <w:szCs w:val="24"/>
        </w:rPr>
        <w:t>d</w:t>
      </w:r>
      <w:r w:rsidR="000C6F6F" w:rsidRPr="00A11B6C">
        <w:rPr>
          <w:rFonts w:ascii="Times New Roman" w:hAnsi="Times New Roman" w:cs="Times New Roman"/>
          <w:sz w:val="24"/>
          <w:szCs w:val="24"/>
        </w:rPr>
        <w:t xml:space="preserve"> no significant correlation with beneficiaries’ satisfaction regarding the overall quality of care in any single year from 2015 to 2022, further reassuring the null association depicted in </w:t>
      </w:r>
      <w:r w:rsidR="000C6F6F" w:rsidRPr="007C1EFF">
        <w:rPr>
          <w:rFonts w:ascii="Times New Roman" w:hAnsi="Times New Roman" w:cs="Times New Roman"/>
          <w:sz w:val="24"/>
          <w:szCs w:val="24"/>
        </w:rPr>
        <w:t xml:space="preserve">Figure </w:t>
      </w:r>
      <w:r w:rsidR="00E77596" w:rsidRPr="007C1EFF">
        <w:rPr>
          <w:rFonts w:ascii="Times New Roman" w:hAnsi="Times New Roman" w:cs="Times New Roman"/>
          <w:sz w:val="24"/>
          <w:szCs w:val="24"/>
        </w:rPr>
        <w:t>3</w:t>
      </w:r>
      <w:r w:rsidR="00DD57F4" w:rsidRPr="00A11B6C">
        <w:rPr>
          <w:rFonts w:ascii="Times New Roman" w:hAnsi="Times New Roman" w:cs="Times New Roman"/>
          <w:sz w:val="24"/>
          <w:szCs w:val="24"/>
        </w:rPr>
        <w:t>.</w:t>
      </w:r>
      <w:r w:rsidR="00356B06" w:rsidRPr="00A11B6C">
        <w:rPr>
          <w:rFonts w:ascii="Times New Roman" w:hAnsi="Times New Roman" w:cs="Times New Roman"/>
          <w:sz w:val="24"/>
          <w:szCs w:val="24"/>
        </w:rPr>
        <w:t xml:space="preserve"> </w:t>
      </w:r>
    </w:p>
    <w:p w14:paraId="64F6605A" w14:textId="77777777" w:rsidR="001671C0" w:rsidRDefault="001671C0" w:rsidP="001671C0">
      <w:pPr>
        <w:spacing w:after="0" w:line="480" w:lineRule="auto"/>
        <w:jc w:val="both"/>
        <w:rPr>
          <w:rFonts w:ascii="Times New Roman" w:hAnsi="Times New Roman" w:cs="Times New Roman"/>
          <w:sz w:val="24"/>
          <w:szCs w:val="24"/>
        </w:rPr>
      </w:pPr>
    </w:p>
    <w:p w14:paraId="49B57CEE" w14:textId="7942F894" w:rsidR="00C3777B" w:rsidRPr="00A11B6C" w:rsidRDefault="00C3777B"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We performed multiple robustness tests. To address self-reporting bias among MA beneficiaries with ADRD, we excluded self-respondents with ADRD; the estimates were unchanged (</w:t>
      </w:r>
      <w:proofErr w:type="spellStart"/>
      <w:r w:rsidR="00737697" w:rsidRPr="00737697">
        <w:rPr>
          <w:rFonts w:ascii="Times New Roman" w:hAnsi="Times New Roman" w:cs="Times New Roman"/>
          <w:b/>
          <w:bCs/>
          <w:sz w:val="24"/>
          <w:szCs w:val="24"/>
        </w:rPr>
        <w:t>e</w:t>
      </w:r>
      <w:r w:rsidRPr="00737697">
        <w:rPr>
          <w:rFonts w:ascii="Times New Roman" w:hAnsi="Times New Roman" w:cs="Times New Roman"/>
          <w:b/>
          <w:bCs/>
          <w:sz w:val="24"/>
          <w:szCs w:val="24"/>
        </w:rPr>
        <w:t>Figure</w:t>
      </w:r>
      <w:proofErr w:type="spellEnd"/>
      <w:r w:rsidR="00737697">
        <w:rPr>
          <w:rFonts w:ascii="Times New Roman" w:hAnsi="Times New Roman" w:cs="Times New Roman"/>
          <w:b/>
          <w:bCs/>
          <w:sz w:val="24"/>
          <w:szCs w:val="24"/>
        </w:rPr>
        <w:t xml:space="preserve"> </w:t>
      </w:r>
      <w:r w:rsidR="009A4EC7" w:rsidRPr="00737697">
        <w:rPr>
          <w:rFonts w:ascii="Times New Roman" w:hAnsi="Times New Roman" w:cs="Times New Roman"/>
          <w:b/>
          <w:bCs/>
          <w:sz w:val="24"/>
          <w:szCs w:val="24"/>
        </w:rPr>
        <w:t>1</w:t>
      </w:r>
      <w:r w:rsidR="00737697">
        <w:rPr>
          <w:rFonts w:ascii="Times New Roman" w:hAnsi="Times New Roman" w:cs="Times New Roman"/>
          <w:b/>
          <w:bCs/>
          <w:sz w:val="24"/>
          <w:szCs w:val="24"/>
        </w:rPr>
        <w:t xml:space="preserve"> </w:t>
      </w:r>
      <w:r w:rsidR="00737697">
        <w:rPr>
          <w:rFonts w:ascii="Times New Roman" w:hAnsi="Times New Roman" w:cs="Times New Roman"/>
          <w:sz w:val="24"/>
          <w:szCs w:val="24"/>
        </w:rPr>
        <w:t>in the Supplement</w:t>
      </w:r>
      <w:r w:rsidRPr="00A11B6C">
        <w:rPr>
          <w:rFonts w:ascii="Times New Roman" w:hAnsi="Times New Roman" w:cs="Times New Roman"/>
          <w:sz w:val="24"/>
          <w:szCs w:val="24"/>
        </w:rPr>
        <w:t>). To mitigate bias from plan-switching behavior potentially driven by risk adjustment,</w:t>
      </w:r>
      <w:r w:rsidRPr="00A11B6C">
        <w:rPr>
          <w:rFonts w:ascii="Times New Roman" w:hAnsi="Times New Roman" w:cs="Times New Roman"/>
          <w:sz w:val="24"/>
          <w:szCs w:val="24"/>
        </w:rPr>
        <w:fldChar w:fldCharType="begin"/>
      </w:r>
      <w:r w:rsidRPr="00A11B6C">
        <w:rPr>
          <w:rFonts w:ascii="Times New Roman" w:hAnsi="Times New Roman" w:cs="Times New Roman"/>
          <w:sz w:val="24"/>
          <w:szCs w:val="24"/>
        </w:rPr>
        <w:instrText xml:space="preserve"> ADDIN ZOTERO_ITEM CSL_CITATION {"citationID":"y0JkeTE5","properties":{"formattedCitation":"\\super 2,8,10\\nosupersub{}","plainCitation":"2,8,10","noteIndex":0},"citationItems":[{"id":414,"uris":["http://zotero.org/users/local/Dew19TPH/items/7TDG2QAP"],"itemData":{"id":414,"type":"article-journal","abstract":"OBJECTIVE To evaluate patterns in Medicare Advantage enrollment and disenrollment among beneficiaries with or without ADRD. DESIGN, SETTING, AND PARTICIPANTS This cross-sectional study used 6 national data sources between January 1, 2011, and December 31, 2018. Analyses were performed between June 2021 and August 2022. The cohort comprised US Medicare beneficiaries with acute or postacute care utilization between 2013 and 2018. EXPOSURE ADRD diagnosis from an acute or postacute care encounter Medicare data source. MAIN OUTCOMES AND MEASURES Enrollment in Medicare Advantage, disenrollment from Medicare Advantage to traditional Medicare, and contract exit (leaving a Medicare Advantage contract for traditional Medicare or a different Medicare Advantage contract).\nRESULTS The 32 796 872 Medicare beneficiaries in the cohort had a mean (SD) age of 74.0 (12.5) years and included 18 228 513 females (55.6%). Enrollment in Medicare Advantage among beneficiaries with ADRD increased from 24.7% (95% CI, 24.7%-24.8%) in 2013 to 33.0% (95% CI, 32.9%-33.1%) in 2018, an absolute increase of 8.3 percentage points and a 33.4% relative increase after adjusting for demographic characteristics, comorbid conditions, and utilization and including county fixed effects. Among beneficiaries without ADRD, enrollment in Medicare Advantage increased by 8.2 percentage points from 27.6% (95% CI, 27.6%-27.6%) in 2013 to 35.8% (95% CI, 35.8%-35.8%) in 2018, a 29.7% relative increase over the study period. Beneficiaries with ADRD were 1.4 times as likely to disenroll from their Medicare Advantage contract to traditional Medicare (4.4% vs 3.2% in 2017-2018; P &lt; .001) in adjusted analyses. Regardless of ADRD status, beneficiaries had similar rates of switching to a new Medicare Advantage contract. Differences in contract exit rates were associated with higher rates of disenrollment from Medicare Advantage to traditional Medicare among beneficiaries with ADRD vs those without ADRD (16.3% [95% CI, 16.2%-16.3%] vs 15.1% [95% CI, 15.1%-15.1%]). Beneficiaries with ADRD and dual eligibility for Medicaid enrollment had higher rates of contract exit than those without dual eligibility (19.7% [95% CI, 19.6%-19.7%] vs 14.9% [95% CI, 14.8%-14.9%]), and these differences were even greater than those among beneficiaries without ADRD and with and without dual-eligibility status, respectively (18.3% [95% CI, 18.2%-18.3%] vs 13.8% [95% CI, 13.7%-13.8%]).\nCONCLUSIONS AND RELEVANCE In this cross-sectional study of the Medicare population with acute and postacute care use, beneficiaries with ADRD had increasing enrollment in the Medicare","container-title":"JAMA Health Forum","DOI":"10.1001/jamahealthforum.2023.3080","ISSN":"2689-0186","issue":"9","journalAbbreviation":"JAMA Health Forum","language":"en","page":"e233080","source":"DOI.org (Crossref)","title":"Medicare Advantage Enrollment and Disenrollment Among Persons With Alzheimer Disease and Related Dementias","volume":"4","author":[{"family":"James","given":"Hannah O."},{"family":"Trivedi","given":"Amal N."},{"family":"Meyers","given":"David J."}],"issued":{"date-parts":[["2023",9,15]]}}},{"id":416,"uris":["http://zotero.org/users/local/Dew19TPH/items/9V3JAQT5"],"itemData":{"id":416,"type":"article-journal","abstract":"In 2020 Medicare reintroduced Alzheimer’s disease and related dementias (ADRD) Hierarchical Condition Categories (HCCs) to riskadjust Medicare Advantage and accountable care organization (ACO) payments. The potential for Medicare spending increases from this policy change are not well understood because the baseline accuracy of ADRD HCCs is uncertain. Using linked 2016–18 claims and electronic health record data from a large ACO, we evaluated the accuracy of claims-based ADRD HCCs against a reference standard of clinician-adjudicated disease. An estimated 7.5 percent of beneficiaries had clinician-adjudicated ADRD. Among those with ADRD HCCs, 34 percent did not have clinicianadjudicated disease. The false-negative and false-positive rates were 22.7 percent and 3.2 percent, respectively. Medicare spending for those with false-negative ADRD HCCs exceeded that of true positives by $14,619 per beneficiary. If, after the reintroduction of risk adjustment for ADRD, all false negatives were coded as having ADRD, expenditure benchmarks for beneficiaries with ADRD would increase by 9 percent. Monitoring ADRD coding could become challenging in the setting of concurrent incentives to decrease false-negative rates and increase false-positive rates.","container-title":"Health Affairs","DOI":"10.1377/hlthaff.2022.00185","ISSN":"0278-2715, 1544-5208","issue":"9","journalAbbreviation":"Health Affairs","language":"en","page":"1324-1332","source":"DOI.org (Crossref)","title":"Evaluating The Accuracy Of Medicare Risk Adjustment For Alzheimer’s Disease And Related Dementias: Study examines the accuracy of Medicare Advantage and ACO payments of Alzheimer's Disease and related dementias claims.","title-short":"Evaluating The Accuracy Of Medicare Risk Adjustment For Alzheimer’s Disease And Related Dementias","volume":"41","author":[{"family":"Festa","given":"Natalia"},{"family":"Price","given":"Mary"},{"family":"Weiss","given":"Max"},{"family":"Moura","given":"Lidia M. V. R."},{"family":"Benson","given":"Nicole M."},{"family":"Zafar","given":"Sahar"},{"family":"Blacker","given":"Deborah"},{"family":"Normand","given":"Sharon-Lise T."},{"family":"Newhouse","given":"Joseph P."},{"family":"Hsu","given":"John"}],"issued":{"date-parts":[["2022",9,1]]}}},{"id":593,"uris":["http://zotero.org/users/local/Dew19TPH/items/X7M6YB2G"],"itemData":{"id":593,"type":"article-journal","abstract":"In 2020, the Centers for Medicare and Medicaid Services reintroduced Alzheimer’s disease and related dementias to its riskadjustment payment model for Medicare Advantage (MA) plans. Using 2017–20 data for 100 percent of community-dwelling beneficiaries enrolled in Medicare, we evaluated how the reintroduction of dementia to the risk-adjustment model affected rates of new (incident) dementia diagnoses among beneficiaries enrolled in MA relative to those enrolled in traditional Medicare. In response to the payment change, annual incident dementia diagnosis rates in MA increased by 11.5 percent relative to traditional Medicare. This increase was concentrated among beneficiaries who were more likely to have undiagnosed dementia—specifically, beneficiaries who were Hispanic or Black, were ages eightyfive and older, or were dually eligible for Medicaid or received a Part D low-income subsidy. Only a third of the increase came through chart reviews. Financial incentives to detect dementia increased dementia diagnoses, particularly among beneficiaries at high risk for dementia and undetected dementia, but questions remain about potential overdiagnosis or upcoding.","container-title":"Health Affairs","DOI":"10.1377/hlthaff.2024.00723","ISSN":"0278-2715, 1544-5208","issue":"1","journalAbbreviation":"Health Affairs","language":"en","page":"81-89","source":"DOI.org (Crossref)","title":"After Risk-Adjustment Change, Dementia Diagnoses Increased In Medicare Advantage Relative To Traditional Medicare: Article examines dementia diagnosis in Medicare Advantage after risk-adjustment change","title-short":"After Risk-Adjustment Change, Dementia Diagnoses Increased In Medicare Advantage Relative To Traditional Medicare","volume":"44","author":[{"family":"Haye","given":"Sidra"},{"family":"Jacobson","given":"Mireille"},{"family":"Joyce","given":"Geoffrey"},{"family":"Zissimopoulos","given":"Julie M."}],"issued":{"date-parts":[["2025",1,1]]}}}],"schema":"https://github.com/citation-style-language/schema/raw/master/csl-citation.json"} </w:instrText>
      </w:r>
      <w:r w:rsidRPr="00A11B6C">
        <w:rPr>
          <w:rFonts w:ascii="Times New Roman" w:hAnsi="Times New Roman" w:cs="Times New Roman"/>
          <w:sz w:val="24"/>
          <w:szCs w:val="24"/>
        </w:rPr>
        <w:fldChar w:fldCharType="separate"/>
      </w:r>
      <w:r w:rsidRPr="00A11B6C">
        <w:rPr>
          <w:rFonts w:ascii="Times New Roman" w:hAnsi="Times New Roman" w:cs="Times New Roman"/>
          <w:kern w:val="0"/>
          <w:sz w:val="24"/>
          <w:szCs w:val="24"/>
          <w:vertAlign w:val="superscript"/>
        </w:rPr>
        <w:t>2,8,10</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we restricted the sample to beneficiaries continuously enrolled in MA plan for at least 3 years, again yielding consistent results (</w:t>
      </w:r>
      <w:proofErr w:type="spellStart"/>
      <w:r w:rsidR="00737697" w:rsidRPr="00737697">
        <w:rPr>
          <w:rFonts w:ascii="Times New Roman" w:hAnsi="Times New Roman" w:cs="Times New Roman"/>
          <w:b/>
          <w:bCs/>
          <w:sz w:val="24"/>
          <w:szCs w:val="24"/>
        </w:rPr>
        <w:t>e</w:t>
      </w:r>
      <w:r w:rsidRPr="00737697">
        <w:rPr>
          <w:rFonts w:ascii="Times New Roman" w:hAnsi="Times New Roman" w:cs="Times New Roman"/>
          <w:b/>
          <w:bCs/>
          <w:sz w:val="24"/>
          <w:szCs w:val="24"/>
        </w:rPr>
        <w:t>Figure</w:t>
      </w:r>
      <w:proofErr w:type="spellEnd"/>
      <w:r w:rsidRPr="00737697">
        <w:rPr>
          <w:rFonts w:ascii="Times New Roman" w:hAnsi="Times New Roman" w:cs="Times New Roman"/>
          <w:b/>
          <w:bCs/>
          <w:sz w:val="24"/>
          <w:szCs w:val="24"/>
        </w:rPr>
        <w:t xml:space="preserve"> </w:t>
      </w:r>
      <w:r w:rsidR="009A4EC7" w:rsidRPr="00737697">
        <w:rPr>
          <w:rFonts w:ascii="Times New Roman" w:hAnsi="Times New Roman" w:cs="Times New Roman"/>
          <w:b/>
          <w:bCs/>
          <w:sz w:val="24"/>
          <w:szCs w:val="24"/>
        </w:rPr>
        <w:t>2</w:t>
      </w:r>
      <w:r w:rsidR="00737697">
        <w:rPr>
          <w:rFonts w:ascii="Times New Roman" w:hAnsi="Times New Roman" w:cs="Times New Roman"/>
          <w:b/>
          <w:bCs/>
          <w:sz w:val="24"/>
          <w:szCs w:val="24"/>
        </w:rPr>
        <w:t xml:space="preserve"> </w:t>
      </w:r>
      <w:r w:rsidR="00737697">
        <w:rPr>
          <w:rFonts w:ascii="Times New Roman" w:hAnsi="Times New Roman" w:cs="Times New Roman"/>
          <w:sz w:val="24"/>
          <w:szCs w:val="24"/>
        </w:rPr>
        <w:t>in the Supplement</w:t>
      </w:r>
      <w:r w:rsidRPr="00A11B6C">
        <w:rPr>
          <w:rFonts w:ascii="Times New Roman" w:hAnsi="Times New Roman" w:cs="Times New Roman"/>
          <w:sz w:val="24"/>
          <w:szCs w:val="24"/>
        </w:rPr>
        <w:t xml:space="preserve">). Our conclusion is also robust to </w:t>
      </w:r>
      <w:r w:rsidR="00972F14" w:rsidRPr="00A11B6C">
        <w:rPr>
          <w:rFonts w:ascii="Times New Roman" w:hAnsi="Times New Roman" w:cs="Times New Roman"/>
          <w:sz w:val="24"/>
          <w:szCs w:val="24"/>
        </w:rPr>
        <w:t>several</w:t>
      </w:r>
      <w:r w:rsidRPr="00A11B6C">
        <w:rPr>
          <w:rFonts w:ascii="Times New Roman" w:hAnsi="Times New Roman" w:cs="Times New Roman"/>
          <w:sz w:val="24"/>
          <w:szCs w:val="24"/>
        </w:rPr>
        <w:t xml:space="preserve"> model specification tests: using balanced repeated replications for standard error calculations (</w:t>
      </w:r>
      <w:proofErr w:type="spellStart"/>
      <w:r w:rsidR="00737697" w:rsidRPr="00737697">
        <w:rPr>
          <w:rFonts w:ascii="Times New Roman" w:hAnsi="Times New Roman" w:cs="Times New Roman"/>
          <w:b/>
          <w:bCs/>
          <w:sz w:val="24"/>
          <w:szCs w:val="24"/>
        </w:rPr>
        <w:t>e</w:t>
      </w:r>
      <w:r w:rsidRPr="00737697">
        <w:rPr>
          <w:rFonts w:ascii="Times New Roman" w:hAnsi="Times New Roman" w:cs="Times New Roman"/>
          <w:b/>
          <w:bCs/>
          <w:sz w:val="24"/>
          <w:szCs w:val="24"/>
        </w:rPr>
        <w:t>Figure</w:t>
      </w:r>
      <w:proofErr w:type="spellEnd"/>
      <w:r w:rsidRPr="00737697">
        <w:rPr>
          <w:rFonts w:ascii="Times New Roman" w:hAnsi="Times New Roman" w:cs="Times New Roman"/>
          <w:b/>
          <w:bCs/>
          <w:sz w:val="24"/>
          <w:szCs w:val="24"/>
        </w:rPr>
        <w:t xml:space="preserve"> </w:t>
      </w:r>
      <w:r w:rsidR="009A4EC7" w:rsidRPr="00737697">
        <w:rPr>
          <w:rFonts w:ascii="Times New Roman" w:hAnsi="Times New Roman" w:cs="Times New Roman"/>
          <w:b/>
          <w:bCs/>
          <w:sz w:val="24"/>
          <w:szCs w:val="24"/>
        </w:rPr>
        <w:t>3</w:t>
      </w:r>
      <w:r w:rsidR="00737697">
        <w:rPr>
          <w:rFonts w:ascii="Times New Roman" w:hAnsi="Times New Roman" w:cs="Times New Roman"/>
          <w:b/>
          <w:bCs/>
          <w:sz w:val="24"/>
          <w:szCs w:val="24"/>
        </w:rPr>
        <w:t xml:space="preserve"> </w:t>
      </w:r>
      <w:r w:rsidR="00737697">
        <w:rPr>
          <w:rFonts w:ascii="Times New Roman" w:hAnsi="Times New Roman" w:cs="Times New Roman"/>
          <w:sz w:val="24"/>
          <w:szCs w:val="24"/>
        </w:rPr>
        <w:t>in the Supplement</w:t>
      </w:r>
      <w:r w:rsidRPr="00A11B6C">
        <w:rPr>
          <w:rFonts w:ascii="Times New Roman" w:hAnsi="Times New Roman" w:cs="Times New Roman"/>
          <w:sz w:val="24"/>
          <w:szCs w:val="24"/>
        </w:rPr>
        <w:t>), excluding beneficiaries under age 65 (</w:t>
      </w:r>
      <w:proofErr w:type="spellStart"/>
      <w:r w:rsidR="00737697" w:rsidRPr="00737697">
        <w:rPr>
          <w:rFonts w:ascii="Times New Roman" w:hAnsi="Times New Roman" w:cs="Times New Roman"/>
          <w:b/>
          <w:bCs/>
          <w:sz w:val="24"/>
          <w:szCs w:val="24"/>
        </w:rPr>
        <w:t>e</w:t>
      </w:r>
      <w:r w:rsidRPr="00737697">
        <w:rPr>
          <w:rFonts w:ascii="Times New Roman" w:hAnsi="Times New Roman" w:cs="Times New Roman"/>
          <w:b/>
          <w:bCs/>
          <w:sz w:val="24"/>
          <w:szCs w:val="24"/>
        </w:rPr>
        <w:t>Figure</w:t>
      </w:r>
      <w:proofErr w:type="spellEnd"/>
      <w:r w:rsidRPr="00737697">
        <w:rPr>
          <w:rFonts w:ascii="Times New Roman" w:hAnsi="Times New Roman" w:cs="Times New Roman"/>
          <w:b/>
          <w:bCs/>
          <w:sz w:val="24"/>
          <w:szCs w:val="24"/>
        </w:rPr>
        <w:t xml:space="preserve"> 4</w:t>
      </w:r>
      <w:r w:rsidRPr="00A11B6C">
        <w:rPr>
          <w:rFonts w:ascii="Times New Roman" w:hAnsi="Times New Roman" w:cs="Times New Roman"/>
          <w:sz w:val="24"/>
          <w:szCs w:val="24"/>
        </w:rPr>
        <w:t>), and redefining the control group to include MA beneficiaries with a broader set of conditions but without ADRD (</w:t>
      </w:r>
      <w:proofErr w:type="spellStart"/>
      <w:r w:rsidR="00737697" w:rsidRPr="00737697">
        <w:rPr>
          <w:rFonts w:ascii="Times New Roman" w:hAnsi="Times New Roman" w:cs="Times New Roman"/>
          <w:b/>
          <w:bCs/>
          <w:sz w:val="24"/>
          <w:szCs w:val="24"/>
        </w:rPr>
        <w:t>e</w:t>
      </w:r>
      <w:r w:rsidRPr="00737697">
        <w:rPr>
          <w:rFonts w:ascii="Times New Roman" w:hAnsi="Times New Roman" w:cs="Times New Roman"/>
          <w:b/>
          <w:bCs/>
          <w:sz w:val="24"/>
          <w:szCs w:val="24"/>
        </w:rPr>
        <w:t>Figure</w:t>
      </w:r>
      <w:proofErr w:type="spellEnd"/>
      <w:r w:rsidRPr="00737697">
        <w:rPr>
          <w:rFonts w:ascii="Times New Roman" w:hAnsi="Times New Roman" w:cs="Times New Roman"/>
          <w:b/>
          <w:bCs/>
          <w:sz w:val="24"/>
          <w:szCs w:val="24"/>
        </w:rPr>
        <w:t xml:space="preserve"> 5</w:t>
      </w:r>
      <w:r w:rsidR="00737697">
        <w:rPr>
          <w:rFonts w:ascii="Times New Roman" w:hAnsi="Times New Roman" w:cs="Times New Roman"/>
          <w:b/>
          <w:bCs/>
          <w:sz w:val="24"/>
          <w:szCs w:val="24"/>
        </w:rPr>
        <w:t xml:space="preserve"> </w:t>
      </w:r>
      <w:r w:rsidR="00737697">
        <w:rPr>
          <w:rFonts w:ascii="Times New Roman" w:hAnsi="Times New Roman" w:cs="Times New Roman"/>
          <w:sz w:val="24"/>
          <w:szCs w:val="24"/>
        </w:rPr>
        <w:t>in the Supplement</w:t>
      </w:r>
      <w:r w:rsidRPr="00A11B6C">
        <w:rPr>
          <w:rFonts w:ascii="Times New Roman" w:hAnsi="Times New Roman" w:cs="Times New Roman"/>
          <w:sz w:val="24"/>
          <w:szCs w:val="24"/>
        </w:rPr>
        <w:t xml:space="preserve">). </w:t>
      </w:r>
    </w:p>
    <w:p w14:paraId="273AF245" w14:textId="77777777" w:rsidR="001671C0" w:rsidRDefault="001671C0" w:rsidP="001671C0">
      <w:pPr>
        <w:spacing w:after="0" w:line="480" w:lineRule="auto"/>
        <w:jc w:val="both"/>
        <w:rPr>
          <w:rFonts w:ascii="Times New Roman" w:hAnsi="Times New Roman" w:cs="Times New Roman"/>
          <w:sz w:val="24"/>
          <w:szCs w:val="24"/>
        </w:rPr>
      </w:pPr>
    </w:p>
    <w:p w14:paraId="02A665FC" w14:textId="0FEC3589" w:rsidR="00C3777B" w:rsidRPr="00A11B6C" w:rsidRDefault="00C3777B"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lastRenderedPageBreak/>
        <w:t xml:space="preserve">In </w:t>
      </w:r>
      <w:proofErr w:type="spellStart"/>
      <w:r w:rsidR="00D22270" w:rsidRPr="001149CC">
        <w:rPr>
          <w:rFonts w:ascii="Times New Roman" w:hAnsi="Times New Roman" w:cs="Times New Roman"/>
          <w:sz w:val="24"/>
          <w:szCs w:val="24"/>
        </w:rPr>
        <w:t>e</w:t>
      </w:r>
      <w:r w:rsidRPr="001149CC">
        <w:rPr>
          <w:rFonts w:ascii="Times New Roman" w:hAnsi="Times New Roman" w:cs="Times New Roman"/>
          <w:sz w:val="24"/>
          <w:szCs w:val="24"/>
        </w:rPr>
        <w:t>Figure</w:t>
      </w:r>
      <w:proofErr w:type="spellEnd"/>
      <w:r w:rsidRPr="001149CC">
        <w:rPr>
          <w:rFonts w:ascii="Times New Roman" w:hAnsi="Times New Roman" w:cs="Times New Roman"/>
          <w:sz w:val="24"/>
          <w:szCs w:val="24"/>
        </w:rPr>
        <w:t xml:space="preserve"> 6</w:t>
      </w:r>
      <w:r w:rsidR="000116F1">
        <w:rPr>
          <w:rFonts w:ascii="Times New Roman" w:hAnsi="Times New Roman" w:cs="Times New Roman"/>
          <w:b/>
          <w:bCs/>
          <w:sz w:val="24"/>
          <w:szCs w:val="24"/>
        </w:rPr>
        <w:t xml:space="preserve"> </w:t>
      </w:r>
      <w:r w:rsidR="000116F1">
        <w:rPr>
          <w:rFonts w:ascii="Times New Roman" w:hAnsi="Times New Roman" w:cs="Times New Roman"/>
          <w:sz w:val="24"/>
          <w:szCs w:val="24"/>
        </w:rPr>
        <w:t>in the Supplement</w:t>
      </w:r>
      <w:r w:rsidRPr="00A11B6C">
        <w:rPr>
          <w:rFonts w:ascii="Times New Roman" w:hAnsi="Times New Roman" w:cs="Times New Roman"/>
          <w:sz w:val="24"/>
          <w:szCs w:val="24"/>
        </w:rPr>
        <w:t xml:space="preserve">, we re-estimated associations using alternative “placebo” treatment groups—beneficiaries without ADRD but with stroke/brain hemorrhage, hypertension, myocardial infarction, cancer, or osteoarthritis, respectively. Most coefficients were near zero and statistically insignificant, indicating no spurious associations between the revised payment model and care experience measures. In </w:t>
      </w:r>
      <w:proofErr w:type="spellStart"/>
      <w:r w:rsidR="00BB6964" w:rsidRPr="00E62170">
        <w:rPr>
          <w:rFonts w:ascii="Times New Roman" w:hAnsi="Times New Roman" w:cs="Times New Roman"/>
          <w:sz w:val="24"/>
          <w:szCs w:val="24"/>
        </w:rPr>
        <w:t>e</w:t>
      </w:r>
      <w:r w:rsidRPr="00E62170">
        <w:rPr>
          <w:rFonts w:ascii="Times New Roman" w:hAnsi="Times New Roman" w:cs="Times New Roman"/>
          <w:sz w:val="24"/>
          <w:szCs w:val="24"/>
        </w:rPr>
        <w:t>Figure</w:t>
      </w:r>
      <w:proofErr w:type="spellEnd"/>
      <w:r w:rsidR="00BB6964" w:rsidRPr="00E62170">
        <w:rPr>
          <w:rFonts w:ascii="Times New Roman" w:hAnsi="Times New Roman" w:cs="Times New Roman"/>
          <w:sz w:val="24"/>
          <w:szCs w:val="24"/>
        </w:rPr>
        <w:t xml:space="preserve"> </w:t>
      </w:r>
      <w:r w:rsidRPr="00E62170">
        <w:rPr>
          <w:rFonts w:ascii="Times New Roman" w:hAnsi="Times New Roman" w:cs="Times New Roman"/>
          <w:sz w:val="24"/>
          <w:szCs w:val="24"/>
        </w:rPr>
        <w:t>7</w:t>
      </w:r>
      <w:r w:rsidR="004E6C19">
        <w:rPr>
          <w:rFonts w:ascii="Times New Roman" w:hAnsi="Times New Roman" w:cs="Times New Roman"/>
          <w:b/>
          <w:bCs/>
          <w:sz w:val="24"/>
          <w:szCs w:val="24"/>
        </w:rPr>
        <w:t xml:space="preserve"> </w:t>
      </w:r>
      <w:r w:rsidR="004E6C19">
        <w:rPr>
          <w:rFonts w:ascii="Times New Roman" w:hAnsi="Times New Roman" w:cs="Times New Roman"/>
          <w:sz w:val="24"/>
          <w:szCs w:val="24"/>
        </w:rPr>
        <w:t>in the Supplement</w:t>
      </w:r>
      <w:r w:rsidRPr="00A11B6C">
        <w:rPr>
          <w:rFonts w:ascii="Times New Roman" w:hAnsi="Times New Roman" w:cs="Times New Roman"/>
          <w:sz w:val="24"/>
          <w:szCs w:val="24"/>
        </w:rPr>
        <w:t>, we compared TM beneficiaries with ADRD to TM beneficiaries without ADRD but with stroke, paralysis, or Parkinson’s disease, again finding no significant associations. These placebo results suggest that our main findings are unlikely to be driven by unobserved confounding differences across disease</w:t>
      </w:r>
      <w:r w:rsidR="00972F14" w:rsidRPr="00A11B6C">
        <w:rPr>
          <w:rFonts w:ascii="Times New Roman" w:hAnsi="Times New Roman" w:cs="Times New Roman"/>
          <w:sz w:val="24"/>
          <w:szCs w:val="24"/>
        </w:rPr>
        <w:t>s</w:t>
      </w:r>
      <w:r w:rsidRPr="00A11B6C">
        <w:rPr>
          <w:rFonts w:ascii="Times New Roman" w:hAnsi="Times New Roman" w:cs="Times New Roman"/>
          <w:sz w:val="24"/>
          <w:szCs w:val="24"/>
        </w:rPr>
        <w:t>.</w:t>
      </w:r>
    </w:p>
    <w:p w14:paraId="41E7DC63" w14:textId="77777777" w:rsidR="001671C0" w:rsidRDefault="001671C0" w:rsidP="001671C0">
      <w:pPr>
        <w:spacing w:after="0" w:line="480" w:lineRule="auto"/>
        <w:jc w:val="both"/>
        <w:rPr>
          <w:rFonts w:ascii="Times New Roman" w:hAnsi="Times New Roman" w:cs="Times New Roman"/>
          <w:sz w:val="24"/>
          <w:szCs w:val="24"/>
        </w:rPr>
      </w:pPr>
    </w:p>
    <w:p w14:paraId="60AC66B0" w14:textId="44C6E9F2" w:rsidR="00A115B4" w:rsidRPr="00A11B6C" w:rsidRDefault="00911404"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Stratification analyses by beneficiaries</w:t>
      </w:r>
      <w:r w:rsidR="008F19FA" w:rsidRPr="00A11B6C">
        <w:rPr>
          <w:rFonts w:ascii="Times New Roman" w:hAnsi="Times New Roman" w:cs="Times New Roman"/>
          <w:sz w:val="24"/>
          <w:szCs w:val="24"/>
        </w:rPr>
        <w:t xml:space="preserve">’ </w:t>
      </w:r>
      <w:r w:rsidR="00A34F09" w:rsidRPr="00A11B6C">
        <w:rPr>
          <w:rFonts w:ascii="Times New Roman" w:hAnsi="Times New Roman" w:cs="Times New Roman"/>
          <w:sz w:val="24"/>
          <w:szCs w:val="24"/>
        </w:rPr>
        <w:t xml:space="preserve">characteristics </w:t>
      </w:r>
      <w:r w:rsidRPr="00A11B6C">
        <w:rPr>
          <w:rFonts w:ascii="Times New Roman" w:hAnsi="Times New Roman" w:cs="Times New Roman"/>
          <w:sz w:val="24"/>
          <w:szCs w:val="24"/>
        </w:rPr>
        <w:t xml:space="preserve">are presented in </w:t>
      </w:r>
      <w:proofErr w:type="spellStart"/>
      <w:r w:rsidR="00BB6964" w:rsidRPr="00ED71CE">
        <w:rPr>
          <w:rFonts w:ascii="Times New Roman" w:hAnsi="Times New Roman" w:cs="Times New Roman"/>
          <w:sz w:val="24"/>
          <w:szCs w:val="24"/>
        </w:rPr>
        <w:t>e</w:t>
      </w:r>
      <w:r w:rsidRPr="00ED71CE">
        <w:rPr>
          <w:rFonts w:ascii="Times New Roman" w:hAnsi="Times New Roman" w:cs="Times New Roman"/>
          <w:sz w:val="24"/>
          <w:szCs w:val="24"/>
        </w:rPr>
        <w:t>Figure</w:t>
      </w:r>
      <w:proofErr w:type="spellEnd"/>
      <w:r w:rsidRPr="00ED71CE">
        <w:rPr>
          <w:rFonts w:ascii="Times New Roman" w:hAnsi="Times New Roman" w:cs="Times New Roman"/>
          <w:sz w:val="24"/>
          <w:szCs w:val="24"/>
        </w:rPr>
        <w:t xml:space="preserve"> </w:t>
      </w:r>
      <w:r w:rsidR="005E5AF5" w:rsidRPr="00ED71CE">
        <w:rPr>
          <w:rFonts w:ascii="Times New Roman" w:hAnsi="Times New Roman" w:cs="Times New Roman"/>
          <w:sz w:val="24"/>
          <w:szCs w:val="24"/>
        </w:rPr>
        <w:t>8</w:t>
      </w:r>
      <w:r w:rsidR="004E6C19">
        <w:rPr>
          <w:rFonts w:ascii="Times New Roman" w:hAnsi="Times New Roman" w:cs="Times New Roman"/>
          <w:b/>
          <w:bCs/>
          <w:sz w:val="24"/>
          <w:szCs w:val="24"/>
        </w:rPr>
        <w:t xml:space="preserve"> </w:t>
      </w:r>
      <w:r w:rsidR="004E6C19">
        <w:rPr>
          <w:rFonts w:ascii="Times New Roman" w:hAnsi="Times New Roman" w:cs="Times New Roman"/>
          <w:sz w:val="24"/>
          <w:szCs w:val="24"/>
        </w:rPr>
        <w:t>in the Supplement</w:t>
      </w:r>
      <w:r w:rsidRPr="00A11B6C">
        <w:rPr>
          <w:rFonts w:ascii="Times New Roman" w:hAnsi="Times New Roman" w:cs="Times New Roman"/>
          <w:sz w:val="24"/>
          <w:szCs w:val="24"/>
        </w:rPr>
        <w:t>.</w:t>
      </w:r>
      <w:r w:rsidR="00933FE0" w:rsidRPr="00A11B6C">
        <w:rPr>
          <w:rFonts w:ascii="Times New Roman" w:hAnsi="Times New Roman" w:cs="Times New Roman"/>
          <w:sz w:val="24"/>
          <w:szCs w:val="24"/>
        </w:rPr>
        <w:t xml:space="preserve"> </w:t>
      </w:r>
      <w:r w:rsidR="00A115B4" w:rsidRPr="00A11B6C">
        <w:rPr>
          <w:rFonts w:ascii="Times New Roman" w:hAnsi="Times New Roman" w:cs="Times New Roman"/>
          <w:sz w:val="24"/>
          <w:szCs w:val="24"/>
        </w:rPr>
        <w:t xml:space="preserve">Among beneficiaries with incomes above 200% of the federal poverty level (FPL), </w:t>
      </w:r>
      <w:r w:rsidR="00B43B4D" w:rsidRPr="00A11B6C">
        <w:rPr>
          <w:rFonts w:ascii="Times New Roman" w:hAnsi="Times New Roman" w:cs="Times New Roman"/>
          <w:sz w:val="24"/>
          <w:szCs w:val="24"/>
        </w:rPr>
        <w:t>the revised payment model</w:t>
      </w:r>
      <w:r w:rsidR="00A115B4" w:rsidRPr="00A11B6C">
        <w:rPr>
          <w:rFonts w:ascii="Times New Roman" w:hAnsi="Times New Roman" w:cs="Times New Roman"/>
          <w:sz w:val="24"/>
          <w:szCs w:val="24"/>
        </w:rPr>
        <w:t xml:space="preserve"> </w:t>
      </w:r>
      <w:r w:rsidR="000212EC" w:rsidRPr="00A11B6C">
        <w:rPr>
          <w:rFonts w:ascii="Times New Roman" w:hAnsi="Times New Roman" w:cs="Times New Roman"/>
          <w:sz w:val="24"/>
          <w:szCs w:val="24"/>
        </w:rPr>
        <w:t xml:space="preserve">was </w:t>
      </w:r>
      <w:r w:rsidR="00A115B4" w:rsidRPr="00A11B6C">
        <w:rPr>
          <w:rFonts w:ascii="Times New Roman" w:hAnsi="Times New Roman" w:cs="Times New Roman"/>
          <w:sz w:val="24"/>
          <w:szCs w:val="24"/>
        </w:rPr>
        <w:t>significantly associated with reduced trouble getting needed care (</w:t>
      </w:r>
      <w:r w:rsidR="00C90BB0" w:rsidRPr="00A11B6C">
        <w:rPr>
          <w:rFonts w:ascii="Times New Roman" w:hAnsi="Times New Roman" w:cs="Times New Roman"/>
          <w:sz w:val="24"/>
          <w:szCs w:val="24"/>
        </w:rPr>
        <w:t>coefficient</w:t>
      </w:r>
      <w:r w:rsidR="00A115B4" w:rsidRPr="00A11B6C">
        <w:rPr>
          <w:rFonts w:ascii="Times New Roman" w:hAnsi="Times New Roman" w:cs="Times New Roman"/>
          <w:sz w:val="24"/>
          <w:szCs w:val="24"/>
        </w:rPr>
        <w:t xml:space="preserve">, </w:t>
      </w:r>
      <w:r w:rsidR="00C903D4" w:rsidRPr="00A11B6C">
        <w:rPr>
          <w:rFonts w:ascii="Times New Roman" w:hAnsi="Times New Roman" w:cs="Times New Roman"/>
          <w:sz w:val="24"/>
          <w:szCs w:val="24"/>
        </w:rPr>
        <w:t>-</w:t>
      </w:r>
      <w:r w:rsidR="00A115B4" w:rsidRPr="00A11B6C">
        <w:rPr>
          <w:rFonts w:ascii="Times New Roman" w:hAnsi="Times New Roman" w:cs="Times New Roman"/>
          <w:sz w:val="24"/>
          <w:szCs w:val="24"/>
        </w:rPr>
        <w:t xml:space="preserve">0.096; 95% CI, </w:t>
      </w:r>
      <w:r w:rsidR="00C903D4" w:rsidRPr="00A11B6C">
        <w:rPr>
          <w:rFonts w:ascii="Times New Roman" w:hAnsi="Times New Roman" w:cs="Times New Roman"/>
          <w:sz w:val="24"/>
          <w:szCs w:val="24"/>
        </w:rPr>
        <w:t>-</w:t>
      </w:r>
      <w:r w:rsidR="00A115B4" w:rsidRPr="00A11B6C">
        <w:rPr>
          <w:rFonts w:ascii="Times New Roman" w:hAnsi="Times New Roman" w:cs="Times New Roman"/>
          <w:sz w:val="24"/>
          <w:szCs w:val="24"/>
        </w:rPr>
        <w:t>0.1</w:t>
      </w:r>
      <w:r w:rsidR="00C903D4" w:rsidRPr="00A11B6C">
        <w:rPr>
          <w:rFonts w:ascii="Times New Roman" w:hAnsi="Times New Roman" w:cs="Times New Roman"/>
          <w:sz w:val="24"/>
          <w:szCs w:val="24"/>
        </w:rPr>
        <w:t>9 to -</w:t>
      </w:r>
      <w:r w:rsidR="00A115B4" w:rsidRPr="00A11B6C">
        <w:rPr>
          <w:rFonts w:ascii="Times New Roman" w:hAnsi="Times New Roman" w:cs="Times New Roman"/>
          <w:sz w:val="24"/>
          <w:szCs w:val="24"/>
        </w:rPr>
        <w:t>0.</w:t>
      </w:r>
      <w:r w:rsidR="00C903D4" w:rsidRPr="00A11B6C">
        <w:rPr>
          <w:rFonts w:ascii="Times New Roman" w:hAnsi="Times New Roman" w:cs="Times New Roman"/>
          <w:sz w:val="24"/>
          <w:szCs w:val="24"/>
        </w:rPr>
        <w:t>001</w:t>
      </w:r>
      <w:r w:rsidR="00A115B4" w:rsidRPr="00A11B6C">
        <w:rPr>
          <w:rFonts w:ascii="Times New Roman" w:hAnsi="Times New Roman" w:cs="Times New Roman"/>
          <w:sz w:val="24"/>
          <w:szCs w:val="24"/>
        </w:rPr>
        <w:t xml:space="preserve">), while those below 200% FPL </w:t>
      </w:r>
      <w:r w:rsidR="00571757" w:rsidRPr="00A11B6C">
        <w:rPr>
          <w:rFonts w:ascii="Times New Roman" w:hAnsi="Times New Roman" w:cs="Times New Roman"/>
          <w:sz w:val="24"/>
          <w:szCs w:val="24"/>
        </w:rPr>
        <w:t xml:space="preserve">experienced </w:t>
      </w:r>
      <w:r w:rsidR="00F12AA0" w:rsidRPr="00A11B6C">
        <w:rPr>
          <w:rFonts w:ascii="Times New Roman" w:hAnsi="Times New Roman" w:cs="Times New Roman"/>
          <w:sz w:val="24"/>
          <w:szCs w:val="24"/>
        </w:rPr>
        <w:t xml:space="preserve">reductions </w:t>
      </w:r>
      <w:r w:rsidR="00A115B4" w:rsidRPr="00A11B6C">
        <w:rPr>
          <w:rFonts w:ascii="Times New Roman" w:hAnsi="Times New Roman" w:cs="Times New Roman"/>
          <w:sz w:val="24"/>
          <w:szCs w:val="24"/>
        </w:rPr>
        <w:t>in both trouble getting needed care (</w:t>
      </w:r>
      <w:r w:rsidR="00540597" w:rsidRPr="00A11B6C">
        <w:rPr>
          <w:rFonts w:ascii="Times New Roman" w:hAnsi="Times New Roman" w:cs="Times New Roman"/>
          <w:sz w:val="24"/>
          <w:szCs w:val="24"/>
        </w:rPr>
        <w:t>coefficient</w:t>
      </w:r>
      <w:r w:rsidR="00A115B4" w:rsidRPr="00A11B6C">
        <w:rPr>
          <w:rFonts w:ascii="Times New Roman" w:hAnsi="Times New Roman" w:cs="Times New Roman"/>
          <w:sz w:val="24"/>
          <w:szCs w:val="24"/>
        </w:rPr>
        <w:t xml:space="preserve">, </w:t>
      </w:r>
      <w:r w:rsidR="00C903D4" w:rsidRPr="00A11B6C">
        <w:rPr>
          <w:rFonts w:ascii="Times New Roman" w:hAnsi="Times New Roman" w:cs="Times New Roman"/>
          <w:sz w:val="24"/>
          <w:szCs w:val="24"/>
        </w:rPr>
        <w:t>-</w:t>
      </w:r>
      <w:r w:rsidR="00A115B4" w:rsidRPr="00A11B6C">
        <w:rPr>
          <w:rFonts w:ascii="Times New Roman" w:hAnsi="Times New Roman" w:cs="Times New Roman"/>
          <w:sz w:val="24"/>
          <w:szCs w:val="24"/>
        </w:rPr>
        <w:t xml:space="preserve">0.084; 95% CI, </w:t>
      </w:r>
      <w:r w:rsidR="00C903D4" w:rsidRPr="00A11B6C">
        <w:rPr>
          <w:rFonts w:ascii="Times New Roman" w:hAnsi="Times New Roman" w:cs="Times New Roman"/>
          <w:sz w:val="24"/>
          <w:szCs w:val="24"/>
        </w:rPr>
        <w:t>-</w:t>
      </w:r>
      <w:r w:rsidR="00A115B4" w:rsidRPr="00A11B6C">
        <w:rPr>
          <w:rFonts w:ascii="Times New Roman" w:hAnsi="Times New Roman" w:cs="Times New Roman"/>
          <w:sz w:val="24"/>
          <w:szCs w:val="24"/>
        </w:rPr>
        <w:t>0.</w:t>
      </w:r>
      <w:r w:rsidR="00C903D4" w:rsidRPr="00A11B6C">
        <w:rPr>
          <w:rFonts w:ascii="Times New Roman" w:hAnsi="Times New Roman" w:cs="Times New Roman"/>
          <w:sz w:val="24"/>
          <w:szCs w:val="24"/>
        </w:rPr>
        <w:t xml:space="preserve">148 to </w:t>
      </w:r>
      <w:r w:rsidR="00A115B4" w:rsidRPr="00A11B6C">
        <w:rPr>
          <w:rFonts w:ascii="Times New Roman" w:hAnsi="Times New Roman" w:cs="Times New Roman"/>
          <w:sz w:val="24"/>
          <w:szCs w:val="24"/>
        </w:rPr>
        <w:t>-0.</w:t>
      </w:r>
      <w:r w:rsidR="00C903D4" w:rsidRPr="00A11B6C">
        <w:rPr>
          <w:rFonts w:ascii="Times New Roman" w:hAnsi="Times New Roman" w:cs="Times New Roman"/>
          <w:sz w:val="24"/>
          <w:szCs w:val="24"/>
        </w:rPr>
        <w:t>021</w:t>
      </w:r>
      <w:r w:rsidR="00A115B4" w:rsidRPr="00A11B6C">
        <w:rPr>
          <w:rFonts w:ascii="Times New Roman" w:hAnsi="Times New Roman" w:cs="Times New Roman"/>
          <w:sz w:val="24"/>
          <w:szCs w:val="24"/>
        </w:rPr>
        <w:t xml:space="preserve">) and </w:t>
      </w:r>
      <w:r w:rsidR="00F159F0" w:rsidRPr="00A11B6C">
        <w:rPr>
          <w:rFonts w:ascii="Times New Roman" w:hAnsi="Times New Roman" w:cs="Times New Roman"/>
          <w:sz w:val="24"/>
          <w:szCs w:val="24"/>
        </w:rPr>
        <w:t>financial burdens</w:t>
      </w:r>
      <w:r w:rsidR="00A115B4" w:rsidRPr="00A11B6C">
        <w:rPr>
          <w:rFonts w:ascii="Times New Roman" w:hAnsi="Times New Roman" w:cs="Times New Roman"/>
          <w:sz w:val="24"/>
          <w:szCs w:val="24"/>
        </w:rPr>
        <w:t xml:space="preserve"> (</w:t>
      </w:r>
      <w:r w:rsidR="00540597" w:rsidRPr="00A11B6C">
        <w:rPr>
          <w:rFonts w:ascii="Times New Roman" w:hAnsi="Times New Roman" w:cs="Times New Roman"/>
          <w:sz w:val="24"/>
          <w:szCs w:val="24"/>
        </w:rPr>
        <w:t>coefficient</w:t>
      </w:r>
      <w:r w:rsidR="00A115B4" w:rsidRPr="00A11B6C">
        <w:rPr>
          <w:rFonts w:ascii="Times New Roman" w:hAnsi="Times New Roman" w:cs="Times New Roman"/>
          <w:sz w:val="24"/>
          <w:szCs w:val="24"/>
        </w:rPr>
        <w:t xml:space="preserve">, </w:t>
      </w:r>
      <w:r w:rsidR="00F159F0" w:rsidRPr="00A11B6C">
        <w:rPr>
          <w:rFonts w:ascii="Times New Roman" w:hAnsi="Times New Roman" w:cs="Times New Roman"/>
          <w:sz w:val="24"/>
          <w:szCs w:val="24"/>
        </w:rPr>
        <w:t>-</w:t>
      </w:r>
      <w:r w:rsidR="00A115B4" w:rsidRPr="00A11B6C">
        <w:rPr>
          <w:rFonts w:ascii="Times New Roman" w:hAnsi="Times New Roman" w:cs="Times New Roman"/>
          <w:sz w:val="24"/>
          <w:szCs w:val="24"/>
        </w:rPr>
        <w:t xml:space="preserve">0.131; 95% CI, </w:t>
      </w:r>
      <w:r w:rsidR="00F159F0" w:rsidRPr="00A11B6C">
        <w:rPr>
          <w:rFonts w:ascii="Times New Roman" w:hAnsi="Times New Roman" w:cs="Times New Roman"/>
          <w:sz w:val="24"/>
          <w:szCs w:val="24"/>
        </w:rPr>
        <w:t>-</w:t>
      </w:r>
      <w:r w:rsidR="00A115B4" w:rsidRPr="00A11B6C">
        <w:rPr>
          <w:rFonts w:ascii="Times New Roman" w:hAnsi="Times New Roman" w:cs="Times New Roman"/>
          <w:sz w:val="24"/>
          <w:szCs w:val="24"/>
        </w:rPr>
        <w:t>0.</w:t>
      </w:r>
      <w:r w:rsidR="00F159F0" w:rsidRPr="00A11B6C">
        <w:rPr>
          <w:rFonts w:ascii="Times New Roman" w:hAnsi="Times New Roman" w:cs="Times New Roman"/>
          <w:sz w:val="24"/>
          <w:szCs w:val="24"/>
        </w:rPr>
        <w:t xml:space="preserve">219 to </w:t>
      </w:r>
      <w:r w:rsidR="00D93A23" w:rsidRPr="00A11B6C">
        <w:rPr>
          <w:rFonts w:ascii="Times New Roman" w:hAnsi="Times New Roman" w:cs="Times New Roman"/>
          <w:sz w:val="24"/>
          <w:szCs w:val="24"/>
        </w:rPr>
        <w:t>-</w:t>
      </w:r>
      <w:r w:rsidR="00A115B4" w:rsidRPr="00A11B6C">
        <w:rPr>
          <w:rFonts w:ascii="Times New Roman" w:hAnsi="Times New Roman" w:cs="Times New Roman"/>
          <w:sz w:val="24"/>
          <w:szCs w:val="24"/>
        </w:rPr>
        <w:t>0.</w:t>
      </w:r>
      <w:r w:rsidR="00F159F0" w:rsidRPr="00A11B6C">
        <w:rPr>
          <w:rFonts w:ascii="Times New Roman" w:hAnsi="Times New Roman" w:cs="Times New Roman"/>
          <w:sz w:val="24"/>
          <w:szCs w:val="24"/>
        </w:rPr>
        <w:t>044</w:t>
      </w:r>
      <w:r w:rsidR="00A115B4" w:rsidRPr="00A11B6C">
        <w:rPr>
          <w:rFonts w:ascii="Times New Roman" w:hAnsi="Times New Roman" w:cs="Times New Roman"/>
          <w:sz w:val="24"/>
          <w:szCs w:val="24"/>
        </w:rPr>
        <w:t xml:space="preserve">). Non-White beneficiaries </w:t>
      </w:r>
      <w:r w:rsidR="00571757" w:rsidRPr="00A11B6C">
        <w:rPr>
          <w:rFonts w:ascii="Times New Roman" w:hAnsi="Times New Roman" w:cs="Times New Roman"/>
          <w:sz w:val="24"/>
          <w:szCs w:val="24"/>
        </w:rPr>
        <w:t xml:space="preserve">had </w:t>
      </w:r>
      <w:r w:rsidR="00F12AA0" w:rsidRPr="00A11B6C">
        <w:rPr>
          <w:rFonts w:ascii="Times New Roman" w:hAnsi="Times New Roman" w:cs="Times New Roman"/>
          <w:sz w:val="24"/>
          <w:szCs w:val="24"/>
        </w:rPr>
        <w:t>a greater</w:t>
      </w:r>
      <w:r w:rsidR="00A115B4" w:rsidRPr="00A11B6C">
        <w:rPr>
          <w:rFonts w:ascii="Times New Roman" w:hAnsi="Times New Roman" w:cs="Times New Roman"/>
          <w:sz w:val="24"/>
          <w:szCs w:val="24"/>
        </w:rPr>
        <w:t xml:space="preserve"> reduc</w:t>
      </w:r>
      <w:r w:rsidR="00F12AA0" w:rsidRPr="00A11B6C">
        <w:rPr>
          <w:rFonts w:ascii="Times New Roman" w:hAnsi="Times New Roman" w:cs="Times New Roman"/>
          <w:sz w:val="24"/>
          <w:szCs w:val="24"/>
        </w:rPr>
        <w:t>tion in</w:t>
      </w:r>
      <w:r w:rsidR="00A115B4" w:rsidRPr="00A11B6C">
        <w:rPr>
          <w:rFonts w:ascii="Times New Roman" w:hAnsi="Times New Roman" w:cs="Times New Roman"/>
          <w:sz w:val="24"/>
          <w:szCs w:val="24"/>
        </w:rPr>
        <w:t xml:space="preserve"> </w:t>
      </w:r>
      <w:r w:rsidR="00A44161" w:rsidRPr="00A11B6C">
        <w:rPr>
          <w:rFonts w:ascii="Times New Roman" w:hAnsi="Times New Roman" w:cs="Times New Roman"/>
          <w:sz w:val="24"/>
          <w:szCs w:val="24"/>
        </w:rPr>
        <w:t>financial burden</w:t>
      </w:r>
      <w:r w:rsidR="00A115B4" w:rsidRPr="00A11B6C">
        <w:rPr>
          <w:rFonts w:ascii="Times New Roman" w:hAnsi="Times New Roman" w:cs="Times New Roman"/>
          <w:sz w:val="24"/>
          <w:szCs w:val="24"/>
        </w:rPr>
        <w:t xml:space="preserve"> (</w:t>
      </w:r>
      <w:r w:rsidR="00540597" w:rsidRPr="00A11B6C">
        <w:rPr>
          <w:rFonts w:ascii="Times New Roman" w:hAnsi="Times New Roman" w:cs="Times New Roman"/>
          <w:sz w:val="24"/>
          <w:szCs w:val="24"/>
        </w:rPr>
        <w:t>coefficient</w:t>
      </w:r>
      <w:r w:rsidR="00A115B4" w:rsidRPr="00A11B6C">
        <w:rPr>
          <w:rFonts w:ascii="Times New Roman" w:hAnsi="Times New Roman" w:cs="Times New Roman"/>
          <w:sz w:val="24"/>
          <w:szCs w:val="24"/>
        </w:rPr>
        <w:t xml:space="preserve">, </w:t>
      </w:r>
      <w:r w:rsidR="00567FE6" w:rsidRPr="00A11B6C">
        <w:rPr>
          <w:rFonts w:ascii="Times New Roman" w:hAnsi="Times New Roman" w:cs="Times New Roman"/>
          <w:sz w:val="24"/>
          <w:szCs w:val="24"/>
        </w:rPr>
        <w:t>-</w:t>
      </w:r>
      <w:r w:rsidR="00A115B4" w:rsidRPr="00A11B6C">
        <w:rPr>
          <w:rFonts w:ascii="Times New Roman" w:hAnsi="Times New Roman" w:cs="Times New Roman"/>
          <w:sz w:val="24"/>
          <w:szCs w:val="24"/>
        </w:rPr>
        <w:t xml:space="preserve">0.142; 95% CI, </w:t>
      </w:r>
      <w:r w:rsidR="00567FE6" w:rsidRPr="00A11B6C">
        <w:rPr>
          <w:rFonts w:ascii="Times New Roman" w:hAnsi="Times New Roman" w:cs="Times New Roman"/>
          <w:sz w:val="24"/>
          <w:szCs w:val="24"/>
        </w:rPr>
        <w:t>-</w:t>
      </w:r>
      <w:r w:rsidR="00A115B4" w:rsidRPr="00A11B6C">
        <w:rPr>
          <w:rFonts w:ascii="Times New Roman" w:hAnsi="Times New Roman" w:cs="Times New Roman"/>
          <w:sz w:val="24"/>
          <w:szCs w:val="24"/>
        </w:rPr>
        <w:t>0.</w:t>
      </w:r>
      <w:r w:rsidR="00567FE6" w:rsidRPr="00A11B6C">
        <w:rPr>
          <w:rFonts w:ascii="Times New Roman" w:hAnsi="Times New Roman" w:cs="Times New Roman"/>
          <w:sz w:val="24"/>
          <w:szCs w:val="24"/>
        </w:rPr>
        <w:t xml:space="preserve">259 to </w:t>
      </w:r>
      <w:r w:rsidR="00A115B4" w:rsidRPr="00A11B6C">
        <w:rPr>
          <w:rFonts w:ascii="Times New Roman" w:hAnsi="Times New Roman" w:cs="Times New Roman"/>
          <w:sz w:val="24"/>
          <w:szCs w:val="24"/>
        </w:rPr>
        <w:t>-0.</w:t>
      </w:r>
      <w:r w:rsidR="00567FE6" w:rsidRPr="00A11B6C">
        <w:rPr>
          <w:rFonts w:ascii="Times New Roman" w:hAnsi="Times New Roman" w:cs="Times New Roman"/>
          <w:sz w:val="24"/>
          <w:szCs w:val="24"/>
        </w:rPr>
        <w:t>024</w:t>
      </w:r>
      <w:r w:rsidR="00A115B4" w:rsidRPr="00A11B6C">
        <w:rPr>
          <w:rFonts w:ascii="Times New Roman" w:hAnsi="Times New Roman" w:cs="Times New Roman"/>
          <w:sz w:val="24"/>
          <w:szCs w:val="24"/>
        </w:rPr>
        <w:t xml:space="preserve">), whereas White beneficiaries </w:t>
      </w:r>
      <w:r w:rsidR="00F12AA0" w:rsidRPr="00A11B6C">
        <w:rPr>
          <w:rFonts w:ascii="Times New Roman" w:hAnsi="Times New Roman" w:cs="Times New Roman"/>
          <w:sz w:val="24"/>
          <w:szCs w:val="24"/>
        </w:rPr>
        <w:t xml:space="preserve">showed </w:t>
      </w:r>
      <w:r w:rsidR="00571757" w:rsidRPr="00A11B6C">
        <w:rPr>
          <w:rFonts w:ascii="Times New Roman" w:hAnsi="Times New Roman" w:cs="Times New Roman"/>
          <w:sz w:val="24"/>
          <w:szCs w:val="24"/>
        </w:rPr>
        <w:t xml:space="preserve">a </w:t>
      </w:r>
      <w:r w:rsidR="00A115B4" w:rsidRPr="00A11B6C">
        <w:rPr>
          <w:rFonts w:ascii="Times New Roman" w:hAnsi="Times New Roman" w:cs="Times New Roman"/>
          <w:sz w:val="24"/>
          <w:szCs w:val="24"/>
        </w:rPr>
        <w:t xml:space="preserve">modest </w:t>
      </w:r>
      <w:r w:rsidR="00F12AA0" w:rsidRPr="00A11B6C">
        <w:rPr>
          <w:rFonts w:ascii="Times New Roman" w:hAnsi="Times New Roman" w:cs="Times New Roman"/>
          <w:sz w:val="24"/>
          <w:szCs w:val="24"/>
        </w:rPr>
        <w:t xml:space="preserve">reduction </w:t>
      </w:r>
      <w:r w:rsidR="00A115B4" w:rsidRPr="00A11B6C">
        <w:rPr>
          <w:rFonts w:ascii="Times New Roman" w:hAnsi="Times New Roman" w:cs="Times New Roman"/>
          <w:sz w:val="24"/>
          <w:szCs w:val="24"/>
        </w:rPr>
        <w:t>in trouble getting needed care (</w:t>
      </w:r>
      <w:r w:rsidR="00540597" w:rsidRPr="00A11B6C">
        <w:rPr>
          <w:rFonts w:ascii="Times New Roman" w:hAnsi="Times New Roman" w:cs="Times New Roman"/>
          <w:sz w:val="24"/>
          <w:szCs w:val="24"/>
        </w:rPr>
        <w:t>coefficient</w:t>
      </w:r>
      <w:r w:rsidR="00A115B4" w:rsidRPr="00A11B6C">
        <w:rPr>
          <w:rFonts w:ascii="Times New Roman" w:hAnsi="Times New Roman" w:cs="Times New Roman"/>
          <w:sz w:val="24"/>
          <w:szCs w:val="24"/>
        </w:rPr>
        <w:t xml:space="preserve">, </w:t>
      </w:r>
      <w:r w:rsidR="009821C1" w:rsidRPr="00A11B6C">
        <w:rPr>
          <w:rFonts w:ascii="Times New Roman" w:hAnsi="Times New Roman" w:cs="Times New Roman"/>
          <w:sz w:val="24"/>
          <w:szCs w:val="24"/>
        </w:rPr>
        <w:t>-</w:t>
      </w:r>
      <w:r w:rsidR="00A115B4" w:rsidRPr="00A11B6C">
        <w:rPr>
          <w:rFonts w:ascii="Times New Roman" w:hAnsi="Times New Roman" w:cs="Times New Roman"/>
          <w:sz w:val="24"/>
          <w:szCs w:val="24"/>
        </w:rPr>
        <w:t>0.056; 95% CI, -0.</w:t>
      </w:r>
      <w:r w:rsidR="009821C1" w:rsidRPr="00A11B6C">
        <w:rPr>
          <w:rFonts w:ascii="Times New Roman" w:hAnsi="Times New Roman" w:cs="Times New Roman"/>
          <w:sz w:val="24"/>
          <w:szCs w:val="24"/>
        </w:rPr>
        <w:t>114</w:t>
      </w:r>
      <w:r w:rsidR="00A115B4" w:rsidRPr="00A11B6C">
        <w:rPr>
          <w:rFonts w:ascii="Times New Roman" w:hAnsi="Times New Roman" w:cs="Times New Roman"/>
          <w:sz w:val="24"/>
          <w:szCs w:val="24"/>
        </w:rPr>
        <w:t xml:space="preserve"> to 0.</w:t>
      </w:r>
      <w:r w:rsidR="009821C1" w:rsidRPr="00A11B6C">
        <w:rPr>
          <w:rFonts w:ascii="Times New Roman" w:hAnsi="Times New Roman" w:cs="Times New Roman"/>
          <w:sz w:val="24"/>
          <w:szCs w:val="24"/>
        </w:rPr>
        <w:t>002</w:t>
      </w:r>
      <w:r w:rsidR="00A115B4" w:rsidRPr="00A11B6C">
        <w:rPr>
          <w:rFonts w:ascii="Times New Roman" w:hAnsi="Times New Roman" w:cs="Times New Roman"/>
          <w:sz w:val="24"/>
          <w:szCs w:val="24"/>
        </w:rPr>
        <w:t>).</w:t>
      </w:r>
    </w:p>
    <w:p w14:paraId="20728219" w14:textId="77777777" w:rsidR="001671C0" w:rsidRDefault="001671C0" w:rsidP="001671C0">
      <w:pPr>
        <w:spacing w:after="0" w:line="480" w:lineRule="auto"/>
        <w:jc w:val="both"/>
        <w:rPr>
          <w:rFonts w:ascii="Times New Roman" w:hAnsi="Times New Roman" w:cs="Times New Roman"/>
          <w:sz w:val="24"/>
          <w:szCs w:val="24"/>
        </w:rPr>
      </w:pPr>
    </w:p>
    <w:p w14:paraId="405D8734" w14:textId="76FE9A4D" w:rsidR="00250A7D" w:rsidRDefault="0033405E"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By educational attainment, </w:t>
      </w:r>
      <w:r w:rsidR="00FA6ED2" w:rsidRPr="00A11B6C">
        <w:rPr>
          <w:rFonts w:ascii="Times New Roman" w:hAnsi="Times New Roman" w:cs="Times New Roman"/>
          <w:sz w:val="24"/>
          <w:szCs w:val="24"/>
        </w:rPr>
        <w:t xml:space="preserve">beneficiaries with at least a high school degree experienced </w:t>
      </w:r>
      <w:r w:rsidRPr="00A11B6C">
        <w:rPr>
          <w:rFonts w:ascii="Times New Roman" w:hAnsi="Times New Roman" w:cs="Times New Roman"/>
          <w:sz w:val="24"/>
          <w:szCs w:val="24"/>
        </w:rPr>
        <w:t xml:space="preserve">significant </w:t>
      </w:r>
      <w:r w:rsidR="00FA6ED2" w:rsidRPr="00A11B6C">
        <w:rPr>
          <w:rFonts w:ascii="Times New Roman" w:hAnsi="Times New Roman" w:cs="Times New Roman"/>
          <w:sz w:val="24"/>
          <w:szCs w:val="24"/>
        </w:rPr>
        <w:t xml:space="preserve">reductions </w:t>
      </w:r>
      <w:r w:rsidRPr="00A11B6C">
        <w:rPr>
          <w:rFonts w:ascii="Times New Roman" w:hAnsi="Times New Roman" w:cs="Times New Roman"/>
          <w:sz w:val="24"/>
          <w:szCs w:val="24"/>
        </w:rPr>
        <w:t xml:space="preserve">in </w:t>
      </w:r>
      <w:r w:rsidR="00FA6ED2" w:rsidRPr="00A11B6C">
        <w:rPr>
          <w:rFonts w:ascii="Times New Roman" w:hAnsi="Times New Roman" w:cs="Times New Roman"/>
          <w:sz w:val="24"/>
          <w:szCs w:val="24"/>
        </w:rPr>
        <w:t xml:space="preserve">trouble </w:t>
      </w:r>
      <w:r w:rsidRPr="00A11B6C">
        <w:rPr>
          <w:rFonts w:ascii="Times New Roman" w:hAnsi="Times New Roman" w:cs="Times New Roman"/>
          <w:sz w:val="24"/>
          <w:szCs w:val="24"/>
        </w:rPr>
        <w:t>access</w:t>
      </w:r>
      <w:r w:rsidR="00FA6ED2" w:rsidRPr="00A11B6C">
        <w:rPr>
          <w:rFonts w:ascii="Times New Roman" w:hAnsi="Times New Roman" w:cs="Times New Roman"/>
          <w:sz w:val="24"/>
          <w:szCs w:val="24"/>
        </w:rPr>
        <w:t>ing</w:t>
      </w:r>
      <w:r w:rsidRPr="00A11B6C">
        <w:rPr>
          <w:rFonts w:ascii="Times New Roman" w:hAnsi="Times New Roman" w:cs="Times New Roman"/>
          <w:sz w:val="24"/>
          <w:szCs w:val="24"/>
        </w:rPr>
        <w:t xml:space="preserve"> care (</w:t>
      </w:r>
      <w:r w:rsidR="00AB4E59" w:rsidRPr="00A11B6C">
        <w:rPr>
          <w:rFonts w:ascii="Times New Roman" w:hAnsi="Times New Roman" w:cs="Times New Roman"/>
          <w:sz w:val="24"/>
          <w:szCs w:val="24"/>
        </w:rPr>
        <w:t>coefficient</w:t>
      </w:r>
      <w:r w:rsidRPr="00A11B6C">
        <w:rPr>
          <w:rFonts w:ascii="Times New Roman" w:hAnsi="Times New Roman" w:cs="Times New Roman"/>
          <w:sz w:val="24"/>
          <w:szCs w:val="24"/>
        </w:rPr>
        <w:t xml:space="preserve">, </w:t>
      </w:r>
      <w:r w:rsidR="00382E37" w:rsidRPr="00A11B6C">
        <w:rPr>
          <w:rFonts w:ascii="Times New Roman" w:hAnsi="Times New Roman" w:cs="Times New Roman"/>
          <w:sz w:val="24"/>
          <w:szCs w:val="24"/>
        </w:rPr>
        <w:t>-</w:t>
      </w:r>
      <w:r w:rsidRPr="00A11B6C">
        <w:rPr>
          <w:rFonts w:ascii="Times New Roman" w:hAnsi="Times New Roman" w:cs="Times New Roman"/>
          <w:sz w:val="24"/>
          <w:szCs w:val="24"/>
        </w:rPr>
        <w:t xml:space="preserve">0.103; 95% CI, </w:t>
      </w:r>
      <w:r w:rsidR="00382E37" w:rsidRPr="00A11B6C">
        <w:rPr>
          <w:rFonts w:ascii="Times New Roman" w:hAnsi="Times New Roman" w:cs="Times New Roman"/>
          <w:sz w:val="24"/>
          <w:szCs w:val="24"/>
        </w:rPr>
        <w:t>-</w:t>
      </w:r>
      <w:r w:rsidRPr="00A11B6C">
        <w:rPr>
          <w:rFonts w:ascii="Times New Roman" w:hAnsi="Times New Roman" w:cs="Times New Roman"/>
          <w:sz w:val="24"/>
          <w:szCs w:val="24"/>
        </w:rPr>
        <w:t>0.</w:t>
      </w:r>
      <w:r w:rsidR="00382E37" w:rsidRPr="00A11B6C">
        <w:rPr>
          <w:rFonts w:ascii="Times New Roman" w:hAnsi="Times New Roman" w:cs="Times New Roman"/>
          <w:sz w:val="24"/>
          <w:szCs w:val="24"/>
        </w:rPr>
        <w:t>195 to -</w:t>
      </w:r>
      <w:r w:rsidRPr="00A11B6C">
        <w:rPr>
          <w:rFonts w:ascii="Times New Roman" w:hAnsi="Times New Roman" w:cs="Times New Roman"/>
          <w:sz w:val="24"/>
          <w:szCs w:val="24"/>
        </w:rPr>
        <w:t>0.</w:t>
      </w:r>
      <w:r w:rsidR="00382E37" w:rsidRPr="00A11B6C">
        <w:rPr>
          <w:rFonts w:ascii="Times New Roman" w:hAnsi="Times New Roman" w:cs="Times New Roman"/>
          <w:sz w:val="24"/>
          <w:szCs w:val="24"/>
        </w:rPr>
        <w:t>011</w:t>
      </w:r>
      <w:r w:rsidRPr="00A11B6C">
        <w:rPr>
          <w:rFonts w:ascii="Times New Roman" w:hAnsi="Times New Roman" w:cs="Times New Roman"/>
          <w:sz w:val="24"/>
          <w:szCs w:val="24"/>
        </w:rPr>
        <w:t xml:space="preserve">) and </w:t>
      </w:r>
      <w:r w:rsidR="00B90973" w:rsidRPr="00A11B6C">
        <w:rPr>
          <w:rFonts w:ascii="Times New Roman" w:hAnsi="Times New Roman" w:cs="Times New Roman"/>
          <w:sz w:val="24"/>
          <w:szCs w:val="24"/>
        </w:rPr>
        <w:t>financial burdens</w:t>
      </w:r>
      <w:r w:rsidRPr="00A11B6C">
        <w:rPr>
          <w:rFonts w:ascii="Times New Roman" w:hAnsi="Times New Roman" w:cs="Times New Roman"/>
          <w:sz w:val="24"/>
          <w:szCs w:val="24"/>
        </w:rPr>
        <w:t xml:space="preserve"> (</w:t>
      </w:r>
      <w:r w:rsidR="00AB4E59" w:rsidRPr="00A11B6C">
        <w:rPr>
          <w:rFonts w:ascii="Times New Roman" w:hAnsi="Times New Roman" w:cs="Times New Roman"/>
          <w:sz w:val="24"/>
          <w:szCs w:val="24"/>
        </w:rPr>
        <w:t>coefficient</w:t>
      </w:r>
      <w:r w:rsidRPr="00A11B6C">
        <w:rPr>
          <w:rFonts w:ascii="Times New Roman" w:hAnsi="Times New Roman" w:cs="Times New Roman"/>
          <w:sz w:val="24"/>
          <w:szCs w:val="24"/>
        </w:rPr>
        <w:t xml:space="preserve">, </w:t>
      </w:r>
      <w:r w:rsidR="00382E37" w:rsidRPr="00A11B6C">
        <w:rPr>
          <w:rFonts w:ascii="Times New Roman" w:hAnsi="Times New Roman" w:cs="Times New Roman"/>
          <w:sz w:val="24"/>
          <w:szCs w:val="24"/>
        </w:rPr>
        <w:t>-</w:t>
      </w:r>
      <w:r w:rsidRPr="00A11B6C">
        <w:rPr>
          <w:rFonts w:ascii="Times New Roman" w:hAnsi="Times New Roman" w:cs="Times New Roman"/>
          <w:sz w:val="24"/>
          <w:szCs w:val="24"/>
        </w:rPr>
        <w:t>0.138; 95% CI, -0.</w:t>
      </w:r>
      <w:r w:rsidR="00382E37" w:rsidRPr="00A11B6C">
        <w:rPr>
          <w:rFonts w:ascii="Times New Roman" w:hAnsi="Times New Roman" w:cs="Times New Roman"/>
          <w:sz w:val="24"/>
          <w:szCs w:val="24"/>
        </w:rPr>
        <w:t xml:space="preserve">279 </w:t>
      </w:r>
      <w:r w:rsidRPr="00A11B6C">
        <w:rPr>
          <w:rFonts w:ascii="Times New Roman" w:hAnsi="Times New Roman" w:cs="Times New Roman"/>
          <w:sz w:val="24"/>
          <w:szCs w:val="24"/>
        </w:rPr>
        <w:t>to 0.</w:t>
      </w:r>
      <w:r w:rsidR="00382E37" w:rsidRPr="00A11B6C">
        <w:rPr>
          <w:rFonts w:ascii="Times New Roman" w:hAnsi="Times New Roman" w:cs="Times New Roman"/>
          <w:sz w:val="24"/>
          <w:szCs w:val="24"/>
        </w:rPr>
        <w:t>003</w:t>
      </w:r>
      <w:r w:rsidRPr="00A11B6C">
        <w:rPr>
          <w:rFonts w:ascii="Times New Roman" w:hAnsi="Times New Roman" w:cs="Times New Roman"/>
          <w:sz w:val="24"/>
          <w:szCs w:val="24"/>
        </w:rPr>
        <w:t xml:space="preserve">), </w:t>
      </w:r>
      <w:r w:rsidR="00FA6ED2" w:rsidRPr="00A11B6C">
        <w:rPr>
          <w:rFonts w:ascii="Times New Roman" w:hAnsi="Times New Roman" w:cs="Times New Roman"/>
          <w:sz w:val="24"/>
          <w:szCs w:val="24"/>
        </w:rPr>
        <w:t xml:space="preserve">whereas </w:t>
      </w:r>
      <w:r w:rsidRPr="00A11B6C">
        <w:rPr>
          <w:rFonts w:ascii="Times New Roman" w:hAnsi="Times New Roman" w:cs="Times New Roman"/>
          <w:sz w:val="24"/>
          <w:szCs w:val="24"/>
        </w:rPr>
        <w:t xml:space="preserve">no significant </w:t>
      </w:r>
      <w:r w:rsidR="002F6648" w:rsidRPr="00A11B6C">
        <w:rPr>
          <w:rFonts w:ascii="Times New Roman" w:hAnsi="Times New Roman" w:cs="Times New Roman"/>
          <w:sz w:val="24"/>
          <w:szCs w:val="24"/>
        </w:rPr>
        <w:t>association</w:t>
      </w:r>
      <w:r w:rsidR="00A20371" w:rsidRPr="00A11B6C">
        <w:rPr>
          <w:rFonts w:ascii="Times New Roman" w:hAnsi="Times New Roman" w:cs="Times New Roman"/>
          <w:sz w:val="24"/>
          <w:szCs w:val="24"/>
        </w:rPr>
        <w:t>s</w:t>
      </w:r>
      <w:r w:rsidRPr="00A11B6C">
        <w:rPr>
          <w:rFonts w:ascii="Times New Roman" w:hAnsi="Times New Roman" w:cs="Times New Roman"/>
          <w:sz w:val="24"/>
          <w:szCs w:val="24"/>
        </w:rPr>
        <w:t xml:space="preserve"> </w:t>
      </w:r>
      <w:r w:rsidR="00B6077F" w:rsidRPr="00A11B6C">
        <w:rPr>
          <w:rFonts w:ascii="Times New Roman" w:hAnsi="Times New Roman" w:cs="Times New Roman"/>
          <w:sz w:val="24"/>
          <w:szCs w:val="24"/>
        </w:rPr>
        <w:t xml:space="preserve">were </w:t>
      </w:r>
      <w:r w:rsidRPr="00A11B6C">
        <w:rPr>
          <w:rFonts w:ascii="Times New Roman" w:hAnsi="Times New Roman" w:cs="Times New Roman"/>
          <w:sz w:val="24"/>
          <w:szCs w:val="24"/>
        </w:rPr>
        <w:t xml:space="preserve">detected among those with lower educational attainment. Lastly, beneficiaries residing in </w:t>
      </w:r>
      <w:r w:rsidRPr="00A11B6C">
        <w:rPr>
          <w:rFonts w:ascii="Times New Roman" w:hAnsi="Times New Roman" w:cs="Times New Roman"/>
          <w:sz w:val="24"/>
          <w:szCs w:val="24"/>
        </w:rPr>
        <w:lastRenderedPageBreak/>
        <w:t>metropolitan areas experience</w:t>
      </w:r>
      <w:r w:rsidR="00B6077F" w:rsidRPr="00A11B6C">
        <w:rPr>
          <w:rFonts w:ascii="Times New Roman" w:hAnsi="Times New Roman" w:cs="Times New Roman"/>
          <w:sz w:val="24"/>
          <w:szCs w:val="24"/>
        </w:rPr>
        <w:t>d</w:t>
      </w:r>
      <w:r w:rsidRPr="00A11B6C">
        <w:rPr>
          <w:rFonts w:ascii="Times New Roman" w:hAnsi="Times New Roman" w:cs="Times New Roman"/>
          <w:sz w:val="24"/>
          <w:szCs w:val="24"/>
        </w:rPr>
        <w:t xml:space="preserve"> </w:t>
      </w:r>
      <w:r w:rsidR="009A2AED" w:rsidRPr="00A11B6C">
        <w:rPr>
          <w:rFonts w:ascii="Times New Roman" w:hAnsi="Times New Roman" w:cs="Times New Roman"/>
          <w:sz w:val="24"/>
          <w:szCs w:val="24"/>
        </w:rPr>
        <w:t xml:space="preserve">a </w:t>
      </w:r>
      <w:r w:rsidRPr="00A11B6C">
        <w:rPr>
          <w:rFonts w:ascii="Times New Roman" w:hAnsi="Times New Roman" w:cs="Times New Roman"/>
          <w:sz w:val="24"/>
          <w:szCs w:val="24"/>
        </w:rPr>
        <w:t xml:space="preserve">notable </w:t>
      </w:r>
      <w:r w:rsidR="009A2AED" w:rsidRPr="00A11B6C">
        <w:rPr>
          <w:rFonts w:ascii="Times New Roman" w:hAnsi="Times New Roman" w:cs="Times New Roman"/>
          <w:sz w:val="24"/>
          <w:szCs w:val="24"/>
        </w:rPr>
        <w:t xml:space="preserve">reduction in </w:t>
      </w:r>
      <w:r w:rsidRPr="00A11B6C">
        <w:rPr>
          <w:rFonts w:ascii="Times New Roman" w:hAnsi="Times New Roman" w:cs="Times New Roman"/>
          <w:sz w:val="24"/>
          <w:szCs w:val="24"/>
        </w:rPr>
        <w:t>trouble getting needed care (</w:t>
      </w:r>
      <w:r w:rsidR="00AB4E59" w:rsidRPr="00A11B6C">
        <w:rPr>
          <w:rFonts w:ascii="Times New Roman" w:hAnsi="Times New Roman" w:cs="Times New Roman"/>
          <w:sz w:val="24"/>
          <w:szCs w:val="24"/>
        </w:rPr>
        <w:t>coefficient</w:t>
      </w:r>
      <w:r w:rsidRPr="00A11B6C">
        <w:rPr>
          <w:rFonts w:ascii="Times New Roman" w:hAnsi="Times New Roman" w:cs="Times New Roman"/>
          <w:sz w:val="24"/>
          <w:szCs w:val="24"/>
        </w:rPr>
        <w:t xml:space="preserve">, </w:t>
      </w:r>
      <w:r w:rsidR="000C1B0D" w:rsidRPr="00A11B6C">
        <w:rPr>
          <w:rFonts w:ascii="Times New Roman" w:hAnsi="Times New Roman" w:cs="Times New Roman"/>
          <w:sz w:val="24"/>
          <w:szCs w:val="24"/>
        </w:rPr>
        <w:t>-</w:t>
      </w:r>
      <w:r w:rsidRPr="00A11B6C">
        <w:rPr>
          <w:rFonts w:ascii="Times New Roman" w:hAnsi="Times New Roman" w:cs="Times New Roman"/>
          <w:sz w:val="24"/>
          <w:szCs w:val="24"/>
        </w:rPr>
        <w:t xml:space="preserve">0.065; 95% CI, </w:t>
      </w:r>
      <w:r w:rsidR="000C1B0D" w:rsidRPr="00A11B6C">
        <w:rPr>
          <w:rFonts w:ascii="Times New Roman" w:hAnsi="Times New Roman" w:cs="Times New Roman"/>
          <w:sz w:val="24"/>
          <w:szCs w:val="24"/>
        </w:rPr>
        <w:t>-</w:t>
      </w:r>
      <w:r w:rsidRPr="00A11B6C">
        <w:rPr>
          <w:rFonts w:ascii="Times New Roman" w:hAnsi="Times New Roman" w:cs="Times New Roman"/>
          <w:sz w:val="24"/>
          <w:szCs w:val="24"/>
        </w:rPr>
        <w:t>0.</w:t>
      </w:r>
      <w:r w:rsidR="000C1B0D" w:rsidRPr="00A11B6C">
        <w:rPr>
          <w:rFonts w:ascii="Times New Roman" w:hAnsi="Times New Roman" w:cs="Times New Roman"/>
          <w:sz w:val="24"/>
          <w:szCs w:val="24"/>
        </w:rPr>
        <w:t>114 to -</w:t>
      </w:r>
      <w:r w:rsidRPr="00A11B6C">
        <w:rPr>
          <w:rFonts w:ascii="Times New Roman" w:hAnsi="Times New Roman" w:cs="Times New Roman"/>
          <w:sz w:val="24"/>
          <w:szCs w:val="24"/>
        </w:rPr>
        <w:t>0.</w:t>
      </w:r>
      <w:r w:rsidR="000C1B0D" w:rsidRPr="00A11B6C">
        <w:rPr>
          <w:rFonts w:ascii="Times New Roman" w:hAnsi="Times New Roman" w:cs="Times New Roman"/>
          <w:sz w:val="24"/>
          <w:szCs w:val="24"/>
        </w:rPr>
        <w:t>016</w:t>
      </w:r>
      <w:r w:rsidRPr="00A11B6C">
        <w:rPr>
          <w:rFonts w:ascii="Times New Roman" w:hAnsi="Times New Roman" w:cs="Times New Roman"/>
          <w:sz w:val="24"/>
          <w:szCs w:val="24"/>
        </w:rPr>
        <w:t xml:space="preserve">) and </w:t>
      </w:r>
      <w:r w:rsidR="00117D28" w:rsidRPr="00A11B6C">
        <w:rPr>
          <w:rFonts w:ascii="Times New Roman" w:hAnsi="Times New Roman" w:cs="Times New Roman"/>
          <w:sz w:val="24"/>
          <w:szCs w:val="24"/>
        </w:rPr>
        <w:t>greater</w:t>
      </w:r>
      <w:r w:rsidR="009A2AED" w:rsidRPr="00A11B6C">
        <w:rPr>
          <w:rFonts w:ascii="Times New Roman" w:hAnsi="Times New Roman" w:cs="Times New Roman"/>
          <w:sz w:val="24"/>
          <w:szCs w:val="24"/>
        </w:rPr>
        <w:t xml:space="preserve"> </w:t>
      </w:r>
      <w:r w:rsidRPr="00A11B6C">
        <w:rPr>
          <w:rFonts w:ascii="Times New Roman" w:hAnsi="Times New Roman" w:cs="Times New Roman"/>
          <w:sz w:val="24"/>
          <w:szCs w:val="24"/>
        </w:rPr>
        <w:t>satisfaction with access to specialists (</w:t>
      </w:r>
      <w:r w:rsidR="00AB4E59" w:rsidRPr="00A11B6C">
        <w:rPr>
          <w:rFonts w:ascii="Times New Roman" w:hAnsi="Times New Roman" w:cs="Times New Roman"/>
          <w:sz w:val="24"/>
          <w:szCs w:val="24"/>
        </w:rPr>
        <w:t>coefficient</w:t>
      </w:r>
      <w:r w:rsidRPr="00A11B6C">
        <w:rPr>
          <w:rFonts w:ascii="Times New Roman" w:hAnsi="Times New Roman" w:cs="Times New Roman"/>
          <w:sz w:val="24"/>
          <w:szCs w:val="24"/>
        </w:rPr>
        <w:t>, 0.06; 95% CI, 0.012</w:t>
      </w:r>
      <w:r w:rsidR="00C0715B" w:rsidRPr="00A11B6C">
        <w:rPr>
          <w:rFonts w:ascii="Times New Roman" w:hAnsi="Times New Roman" w:cs="Times New Roman"/>
          <w:sz w:val="24"/>
          <w:szCs w:val="24"/>
        </w:rPr>
        <w:t xml:space="preserve"> to </w:t>
      </w:r>
      <w:r w:rsidRPr="00A11B6C">
        <w:rPr>
          <w:rFonts w:ascii="Times New Roman" w:hAnsi="Times New Roman" w:cs="Times New Roman"/>
          <w:sz w:val="24"/>
          <w:szCs w:val="24"/>
        </w:rPr>
        <w:t xml:space="preserve">0.109), while no significant </w:t>
      </w:r>
      <w:r w:rsidR="004F7337" w:rsidRPr="00A11B6C">
        <w:rPr>
          <w:rFonts w:ascii="Times New Roman" w:hAnsi="Times New Roman" w:cs="Times New Roman"/>
          <w:sz w:val="24"/>
          <w:szCs w:val="24"/>
        </w:rPr>
        <w:t>associations</w:t>
      </w:r>
      <w:r w:rsidRPr="00A11B6C">
        <w:rPr>
          <w:rFonts w:ascii="Times New Roman" w:hAnsi="Times New Roman" w:cs="Times New Roman"/>
          <w:sz w:val="24"/>
          <w:szCs w:val="24"/>
        </w:rPr>
        <w:t xml:space="preserve"> </w:t>
      </w:r>
      <w:r w:rsidR="009A2AED" w:rsidRPr="00A11B6C">
        <w:rPr>
          <w:rFonts w:ascii="Times New Roman" w:hAnsi="Times New Roman" w:cs="Times New Roman"/>
          <w:sz w:val="24"/>
          <w:szCs w:val="24"/>
        </w:rPr>
        <w:t xml:space="preserve">were </w:t>
      </w:r>
      <w:r w:rsidRPr="00A11B6C">
        <w:rPr>
          <w:rFonts w:ascii="Times New Roman" w:hAnsi="Times New Roman" w:cs="Times New Roman"/>
          <w:sz w:val="24"/>
          <w:szCs w:val="24"/>
        </w:rPr>
        <w:t xml:space="preserve">observed for non-metropolitan residents, though </w:t>
      </w:r>
      <w:r w:rsidR="00B46500" w:rsidRPr="00A11B6C">
        <w:rPr>
          <w:rFonts w:ascii="Times New Roman" w:hAnsi="Times New Roman" w:cs="Times New Roman"/>
          <w:sz w:val="24"/>
          <w:szCs w:val="24"/>
        </w:rPr>
        <w:t xml:space="preserve">the direction of estimates </w:t>
      </w:r>
      <w:r w:rsidRPr="00A11B6C">
        <w:rPr>
          <w:rFonts w:ascii="Times New Roman" w:hAnsi="Times New Roman" w:cs="Times New Roman"/>
          <w:sz w:val="24"/>
          <w:szCs w:val="24"/>
        </w:rPr>
        <w:t>suggest potential benefits.</w:t>
      </w:r>
    </w:p>
    <w:p w14:paraId="63B2F291" w14:textId="77777777" w:rsidR="001671C0" w:rsidRPr="00A11B6C" w:rsidRDefault="001671C0" w:rsidP="001671C0">
      <w:pPr>
        <w:spacing w:after="0" w:line="480" w:lineRule="auto"/>
        <w:jc w:val="both"/>
        <w:rPr>
          <w:rFonts w:ascii="Times New Roman" w:hAnsi="Times New Roman" w:cs="Times New Roman"/>
          <w:sz w:val="24"/>
          <w:szCs w:val="24"/>
        </w:rPr>
      </w:pPr>
    </w:p>
    <w:p w14:paraId="2552A668" w14:textId="69AB0311" w:rsidR="00CC360E" w:rsidRPr="001671C0" w:rsidRDefault="00450579" w:rsidP="00A11B6C">
      <w:pPr>
        <w:pStyle w:val="Heading2"/>
        <w:spacing w:before="0" w:after="0" w:line="480" w:lineRule="auto"/>
        <w:rPr>
          <w:rFonts w:cs="Times New Roman"/>
          <w:b/>
          <w:bCs/>
          <w:color w:val="000000" w:themeColor="text1"/>
          <w:sz w:val="24"/>
          <w:szCs w:val="24"/>
        </w:rPr>
      </w:pPr>
      <w:r w:rsidRPr="001671C0">
        <w:rPr>
          <w:rFonts w:cs="Times New Roman"/>
          <w:b/>
          <w:bCs/>
          <w:color w:val="000000" w:themeColor="text1"/>
          <w:sz w:val="24"/>
          <w:szCs w:val="24"/>
        </w:rPr>
        <w:t>Discussion</w:t>
      </w:r>
    </w:p>
    <w:p w14:paraId="011CDDC0" w14:textId="4F325324" w:rsidR="00380800" w:rsidRPr="00A11B6C" w:rsidRDefault="00CA643F"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Since </w:t>
      </w:r>
      <w:r w:rsidR="00DD205D" w:rsidRPr="00A11B6C">
        <w:rPr>
          <w:rFonts w:ascii="Times New Roman" w:hAnsi="Times New Roman" w:cs="Times New Roman"/>
          <w:sz w:val="24"/>
          <w:szCs w:val="24"/>
        </w:rPr>
        <w:t xml:space="preserve">its </w:t>
      </w:r>
      <w:r w:rsidR="002914FF" w:rsidRPr="00A11B6C">
        <w:rPr>
          <w:rFonts w:ascii="Times New Roman" w:hAnsi="Times New Roman" w:cs="Times New Roman"/>
          <w:sz w:val="24"/>
          <w:szCs w:val="24"/>
        </w:rPr>
        <w:t xml:space="preserve">introduction </w:t>
      </w:r>
      <w:r w:rsidRPr="00A11B6C">
        <w:rPr>
          <w:rFonts w:ascii="Times New Roman" w:hAnsi="Times New Roman" w:cs="Times New Roman"/>
          <w:sz w:val="24"/>
          <w:szCs w:val="24"/>
        </w:rPr>
        <w:t xml:space="preserve">in 2004, </w:t>
      </w:r>
      <w:r w:rsidR="00DD205D" w:rsidRPr="00A11B6C">
        <w:rPr>
          <w:rFonts w:ascii="Times New Roman" w:hAnsi="Times New Roman" w:cs="Times New Roman"/>
          <w:sz w:val="24"/>
          <w:szCs w:val="24"/>
        </w:rPr>
        <w:t xml:space="preserve">the HCC-based risk adjustment model has undergone periodic revisions by </w:t>
      </w:r>
      <w:r w:rsidRPr="00A11B6C">
        <w:rPr>
          <w:rFonts w:ascii="Times New Roman" w:hAnsi="Times New Roman" w:cs="Times New Roman"/>
          <w:sz w:val="24"/>
          <w:szCs w:val="24"/>
        </w:rPr>
        <w:t xml:space="preserve">CMS </w:t>
      </w:r>
      <w:r w:rsidR="00DD205D" w:rsidRPr="00A11B6C">
        <w:rPr>
          <w:rFonts w:ascii="Times New Roman" w:hAnsi="Times New Roman" w:cs="Times New Roman"/>
          <w:sz w:val="24"/>
          <w:szCs w:val="24"/>
        </w:rPr>
        <w:t>to enhance</w:t>
      </w:r>
      <w:r w:rsidRPr="00A11B6C">
        <w:rPr>
          <w:rFonts w:ascii="Times New Roman" w:hAnsi="Times New Roman" w:cs="Times New Roman"/>
          <w:sz w:val="24"/>
          <w:szCs w:val="24"/>
        </w:rPr>
        <w:t xml:space="preserve"> payment fairness and sustainability</w:t>
      </w:r>
      <w:r w:rsidR="00785A15" w:rsidRPr="00A11B6C">
        <w:rPr>
          <w:rFonts w:ascii="Times New Roman" w:hAnsi="Times New Roman" w:cs="Times New Roman"/>
          <w:sz w:val="24"/>
          <w:szCs w:val="24"/>
        </w:rPr>
        <w:t xml:space="preserve">. </w:t>
      </w:r>
      <w:r w:rsidR="00F7736A" w:rsidRPr="00A11B6C">
        <w:rPr>
          <w:rFonts w:ascii="Times New Roman" w:hAnsi="Times New Roman" w:cs="Times New Roman"/>
          <w:sz w:val="24"/>
          <w:szCs w:val="24"/>
        </w:rPr>
        <w:t xml:space="preserve">Although previous studies have </w:t>
      </w:r>
      <w:r w:rsidR="005922FA" w:rsidRPr="00A11B6C">
        <w:rPr>
          <w:rFonts w:ascii="Times New Roman" w:hAnsi="Times New Roman" w:cs="Times New Roman"/>
          <w:sz w:val="24"/>
          <w:szCs w:val="24"/>
        </w:rPr>
        <w:t xml:space="preserve">mainly </w:t>
      </w:r>
      <w:r w:rsidR="00F7736A" w:rsidRPr="00A11B6C">
        <w:rPr>
          <w:rFonts w:ascii="Times New Roman" w:hAnsi="Times New Roman" w:cs="Times New Roman"/>
          <w:sz w:val="24"/>
          <w:szCs w:val="24"/>
        </w:rPr>
        <w:t xml:space="preserve">demonstrated that </w:t>
      </w:r>
      <w:r w:rsidR="001B6DF0" w:rsidRPr="00A11B6C">
        <w:rPr>
          <w:rFonts w:ascii="Times New Roman" w:hAnsi="Times New Roman" w:cs="Times New Roman"/>
          <w:sz w:val="24"/>
          <w:szCs w:val="24"/>
        </w:rPr>
        <w:t xml:space="preserve">the </w:t>
      </w:r>
      <w:r w:rsidR="00F7736A" w:rsidRPr="00A11B6C">
        <w:rPr>
          <w:rFonts w:ascii="Times New Roman" w:hAnsi="Times New Roman" w:cs="Times New Roman"/>
          <w:sz w:val="24"/>
          <w:szCs w:val="24"/>
        </w:rPr>
        <w:t>risk-adjusted payments can manage overall medical costs</w:t>
      </w:r>
      <w:r w:rsidR="00F7736A"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{"citationID":"YRKnYYEz","properties":{"formattedCitation":"\\super 11\\uc0\\u8211{}13\\nosupersub{}","plainCitation":"11–13","noteIndex":0},"citationItems":[{"id":507,"uris":["http://zotero.org/users/local/Dew19TPH/items/5KDT7TE3"],"itemData":{"id":507,"type":"article-journal","abstract":"To combat adverse selection, governments increasingly base payments to health plans and providers on enrollees' scores from risk-adjustment formulae. In 2004, Medicare began to risk-adjust capitation payments to private Medicare Advantage (MA) plans to reduce selection-driven overpayments. But because the variance of medical costs increases with the predicted mean, incentivizing enrollment of individuals with higher scores can increase the scope for enrolling “overpriced” individuals with costs significantly below the formula's prediction. Indeed, after risk adjustment, MA plans enrolled individuals with higher scores but lower costs conditional on their score. We find no evidence that overpayments were on net reduced. (JEL G22, H51, I13, I18)","container-title":"American Economic Review","DOI":"10.1257/aer.104.10.3335","ISSN":"0002-8282","issue":"10","journalAbbreviation":"American Economic Review","language":"en","page":"3335-3364","source":"DOI.org (Crossref)","title":"How Does Risk Selection Respond to Risk Adjustment? New Evidence from the Medicare Advantage Program","title-short":"How Does Risk Selection Respond to Risk Adjustment?","volume":"104","author":[{"family":"Brown","given":"Jason"},{"family":"Duggan","given":"Mark"},{"family":"Kuziemko","given":"Ilyana"},{"family":"Woolston","given":"William"}],"issued":{"date-parts":[["2014",10,1]]}}},{"id":577,"uris":["http://zotero.org/users/local/Dew19TPH/items/XB5DFBN2"],"itemData":{"id":577,"type":"article-journal","abstract":"We compare health care spending in public and private Medicare using newly available claims data from Medicare Advantage (MA) insurers. MA insurer revenues are 30 percent higher than their health care spending. Adjusting for enrollee mix, health care spending per enrollee in MA is 9 to 30 percent lower than in Traditional Medicare (TM), depending on the way we define “comparable” enrollees. Spending differences primarily reflect differences in health care utilization, with similar reductions for “high-value” and “low-value” care, rather than health care prices. We present evidence consistent with MA plans encouraging substitution to less expensive care and engaging in utilization management. (JEL G22, H44, H51, I11, I13)","container-title":"American Economic Journal: Applied Economics","DOI":"10.1257/app.20170295","ISSN":"1945-7782, 1945-7790","issue":"2","journalAbbreviation":"American Economic Journal: Applied Economics","language":"en","page":"302-332","source":"DOI.org (Crossref)","title":"Health Care Spending and Utilization in Public and Private Medicare","volume":"11","author":[{"family":"Curto","given":"Vilsa"},{"family":"Einav","given":"Liran"},{"family":"Finkelstein","given":"Amy"},{"family":"Levin","given":"Jonathan"},{"family":"Bhattacharya","given":"Jay"}],"issued":{"date-parts":[["2019",4,1]]}}},{"id":504,"uris":["http://zotero.org/users/local/Dew19TPH/items/DRSSWBFI"],"itemData":{"id":504,"type":"article-journal","container-title":"Journal of Political Economy","issue":"3","language":"en","page":"984-1026","source":"Zotero","title":"Upcoding: Evidence from Medicare on Squishy Risk Adjustment","volume":"128","author":[{"family":"Geruso","given":"Michael"},{"family":"Layton","given":"Timothy"}]}}],"schema":"https://github.com/citation-style-language/schema/raw/master/csl-citation.json"} </w:instrText>
      </w:r>
      <w:r w:rsidR="00F7736A"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11–13</w:t>
      </w:r>
      <w:r w:rsidR="00F7736A" w:rsidRPr="00A11B6C">
        <w:rPr>
          <w:rFonts w:ascii="Times New Roman" w:hAnsi="Times New Roman" w:cs="Times New Roman"/>
          <w:sz w:val="24"/>
          <w:szCs w:val="24"/>
        </w:rPr>
        <w:fldChar w:fldCharType="end"/>
      </w:r>
      <w:r w:rsidR="00F7736A" w:rsidRPr="00A11B6C">
        <w:rPr>
          <w:rFonts w:ascii="Times New Roman" w:hAnsi="Times New Roman" w:cs="Times New Roman"/>
          <w:sz w:val="24"/>
          <w:szCs w:val="24"/>
        </w:rPr>
        <w:t xml:space="preserve"> there is still a gap in understanding how a condition-specific change, especially </w:t>
      </w:r>
      <w:r w:rsidR="001B6DF0" w:rsidRPr="00A11B6C">
        <w:rPr>
          <w:rFonts w:ascii="Times New Roman" w:hAnsi="Times New Roman" w:cs="Times New Roman"/>
          <w:sz w:val="24"/>
          <w:szCs w:val="24"/>
        </w:rPr>
        <w:t>for</w:t>
      </w:r>
      <w:r w:rsidR="00F7736A" w:rsidRPr="00A11B6C">
        <w:rPr>
          <w:rFonts w:ascii="Times New Roman" w:hAnsi="Times New Roman" w:cs="Times New Roman"/>
          <w:sz w:val="24"/>
          <w:szCs w:val="24"/>
        </w:rPr>
        <w:t xml:space="preserve"> care-intensive conditions, in </w:t>
      </w:r>
      <w:r w:rsidR="00B5041D" w:rsidRPr="00A11B6C">
        <w:rPr>
          <w:rFonts w:ascii="Times New Roman" w:hAnsi="Times New Roman" w:cs="Times New Roman"/>
          <w:sz w:val="24"/>
          <w:szCs w:val="24"/>
        </w:rPr>
        <w:t>a</w:t>
      </w:r>
      <w:r w:rsidR="00196E8B" w:rsidRPr="00A11B6C">
        <w:rPr>
          <w:rFonts w:ascii="Times New Roman" w:hAnsi="Times New Roman" w:cs="Times New Roman"/>
          <w:sz w:val="24"/>
          <w:szCs w:val="24"/>
        </w:rPr>
        <w:t xml:space="preserve">n </w:t>
      </w:r>
      <w:r w:rsidR="00F7736A" w:rsidRPr="00A11B6C">
        <w:rPr>
          <w:rFonts w:ascii="Times New Roman" w:hAnsi="Times New Roman" w:cs="Times New Roman"/>
          <w:sz w:val="24"/>
          <w:szCs w:val="24"/>
        </w:rPr>
        <w:t>HCC-based risk adjustment model incentivizes appropriate care delivery.</w:t>
      </w:r>
      <w:r w:rsidR="00741DD6" w:rsidRPr="00A11B6C">
        <w:rPr>
          <w:rFonts w:ascii="Times New Roman" w:hAnsi="Times New Roman" w:cs="Times New Roman"/>
          <w:sz w:val="24"/>
          <w:szCs w:val="24"/>
        </w:rPr>
        <w:t xml:space="preserve"> </w:t>
      </w:r>
    </w:p>
    <w:p w14:paraId="6F20502C" w14:textId="77777777" w:rsidR="001671C0" w:rsidRDefault="001671C0" w:rsidP="001671C0">
      <w:pPr>
        <w:spacing w:after="0" w:line="480" w:lineRule="auto"/>
        <w:jc w:val="both"/>
        <w:rPr>
          <w:rFonts w:ascii="Times New Roman" w:hAnsi="Times New Roman" w:cs="Times New Roman"/>
          <w:sz w:val="24"/>
          <w:szCs w:val="24"/>
        </w:rPr>
      </w:pPr>
    </w:p>
    <w:p w14:paraId="334DD87A" w14:textId="6AFC60F4" w:rsidR="00380800" w:rsidRPr="00A11B6C" w:rsidRDefault="00380800"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Failing to account for the full complexity and costs of high-need populations in the risk-adjusted payment model may under-reimburse the high costs associated with managing these conditions</w:t>
      </w:r>
      <w:r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{"citationID":"cqccr0qL","properties":{"formattedCitation":"\\super 3,5,9,11\\nosupersub{}","plainCitation":"3,5,9,11","noteIndex":0},"citationItems":[{"id":55,"uris":["http://zotero.org/users/local/Dew19TPH/items/ED6K927L"],"itemData":{"id":55,"type":"article-journal","container-title":"Health Affairs","DOI":"10.1377/hlthaff.2015.0272","ISSN":"0278-2715, 1544-5208","issue":"10","journalAbbreviation":"Health Affairs","language":"en","page":"1675-1681","source":"DOI.org (Crossref)","title":"High-Cost Patients Had Substantial Rates Of Leaving Medicare Advantage And Joining Traditional Medicare","volume":"34","author":[{"family":"Rahman","given":"Momotazur"},{"family":"Keohane","given":"Laura"},{"family":"Trivedi","given":"Amal N."},{"family":"Mor","given":"Vincent"}],"issued":{"date-parts":[["2015",10]]}}},{"id":435,"uris":["http://zotero.org/users/local/Dew19TPH/items/V4IL3853"],"itemData":{"id":435,"type":"article-journal","abstract":"Introduction: Patients with Alzheimer’s disease and related dementias (ADRD) face substantial challenges in selecting, and remaining enrolled in, health insurance. Little is known about how patients with ADRD experience the Medicare Advantage (MA) program.","container-title":"Alzheimer's &amp; Dementia: Translational Research &amp; Clinical Interventions","DOI":"10.1002/trc2.12150","ISSN":"2352-8737, 2352-8737","issue":"1","journalAbbreviation":"A&amp;D Transl Res &amp; Clin Interv","language":"en","page":"e12150","source":"DOI.org (Crossref)","title":"Plan switching among Medicare Advantage beneficiaries with Alzheimer's disease and other dementias","volume":"7","author":[{"family":"Meyers","given":"David J."},{"family":"Rahman","given":"Momotazur"},{"family":"Rivera‐Hernandez","given":"Maricruz"},{"family":"Trivedi","given":"Amal N."},{"family":"Mor","given":"Vincent"}],"issued":{"date-parts":[["2021",1]]}}},{"id":407,"uris":["http://zotero.org/users/local/Dew19TPH/items/BB4W3BL3"],"itemData":{"id":407,"type":"article-journal","abstract":"OBJECTIVE To characterize trends in switching to and from MA among high-need beneficiaries and to evaluate the drivers of disenrollment decisions. DESIGN, SETTING, AND PARTICIPANTS This cross-sectional study of MA and traditional Medicare (TM) enrollees from January 1, 2014, through December 31, 2015, used a multinomial logit regression stratified by Medicare-Medicaid eligibility status. All 14 589 645 non–high-need MA enrollees and 1 302 470 high-need enrollees in the United States who survived until the end of 2014 were eligible for the analysis. Data were analyzed from November 1, 2017, through August 1, 2018. EXPOSURES Enrollee dual eligibility and high-need status (based on complex chronic conditions, multiple morbidities, use of health care services, functional impairment, and frailty indicators), MA plan star rating, and cost sharing. MAIN OUTCOMES AND MEASURES The proportion of enrollees who disenrolled into TM, remained in the same MA plan, or who switched plans within the MA program.\nRESULTS A total of 13 901 816 enrollees were included in the analysis (56.2% women; mean [SD] age, 70.9 [9.9] years). Among the 1 302 470 high-need enrollees, an adjusted 4.6% (95% CI, 4.5%-4.6%) of Medicare-only and 14.8% (95% CI, 14.5%-15.0%) of Medicare-Medicaid members switched from MA to TM compared with 3.3% (95% CI, 3.3%-3.3%) and 4.6% (95% CI, 4.5%-4.7%), respectively, among non–high-need enrollees. Among enrollees in low-quality plans, 23.0% (95% CI, 22.3%-23.9%) of Medicare and 42.8% (95% CI, 40.5%-45.1%) of dual-eligible high-need enrollees left MA. Even in high-quality plans, high-need members disenrolled at higher rates than non–high-need members (4.9% [95% CI, 4.6%-5.2%] vs 1.8% [95% CI, 1.8%-1.9%] for Medicare-only enrollees and 11.3% vs 2.4% dual eligible enrollees). Enrollment in a 5.0-star rated plan was associated with a 30.1–percentage point reduction (95% CI, −31.7 to −28.4 percentage points) in the probability of disenrollment among high-need individuals. A $100 increase in monthly premiums was associated with a 33.9–percentage point increase (95% CI, −34.9 to −33.0 percentage points) in the likelihood of switching plans, and a small reduction in the likelihood of disenrolling (−2.7 percentage points; 95% CI, −3.2 to −2.2 percentage points). Among Medicare-Medicaid eligible participants, 14.1% (95% CI, 14.0%-14.2%) of high-need and 16.7% (95% CI, 16.6%-16.7%) of non–high-need enrollees switched from TM to MA.\nCONCLUSIONS AND RELEVANCE Results of this study suggest that substantially higher disenrollment from MA plans occurs among high-need and Medicare-Medicaid eligible enrollees. This study’s findings suggest that star ratings have the strongest association with disenrollment trends, whereas increases in monthly premiums are associated with greater likelihood of switching plans.","container-title":"JAMA Internal Medicine","DOI":"10.1001/jamainternmed.2018.7639","ISSN":"2168-6106","issue":"4","journalAbbreviation":"JAMA Intern Med","language":"en","page":"524","source":"DOI.org (Crossref)","title":"Analysis of Drivers of Disenrollment and Plan Switching Among Medicare Advantage Beneficiaries","volume":"179","author":[{"family":"Meyers","given":"David J."},{"family":"Belanger","given":"Emmanuelle"},{"family":"Joyce","given":"Nina"},{"family":"McHugh","given":"John"},{"family":"Rahman","given":"Momotazur"},{"family":"Mor","given":"Vincent"}],"issued":{"date-parts":[["2019",4,1]]}}},{"id":507,"uris":["http://zotero.org/users/local/Dew19TPH/items/5KDT7TE3"],"itemData":{"id":507,"type":"article-journal","abstract":"To combat adverse selection, governments increasingly base payments to health plans and providers on enrollees' scores from risk-adjustment formulae. In 2004, Medicare began to risk-adjust capitation payments to private Medicare Advantage (MA) plans to reduce selection-driven overpayments. But because the variance of medical costs increases with the predicted mean, incentivizing enrollment of individuals with higher scores can increase the scope for enrolling “overpriced” individuals with costs significantly below the formula's prediction. Indeed, after risk adjustment, MA plans enrolled individuals with higher scores but lower costs conditional on their score. We find no evidence that overpayments were on net reduced. (JEL G22, H51, I13, I18)","container-title":"American Economic Review","DOI":"10.1257/aer.104.10.3335","ISSN":"0002-8282","issue":"10","journalAbbreviation":"American Economic Review","language":"en","page":"3335-3364","source":"DOI.org (Crossref)","title":"How Does Risk Selection Respond to Risk Adjustment? New Evidence from the Medicare Advantage Program","title-short":"How Does Risk Selection Respond to Risk Adjustment?","volume":"104","author":[{"family":"Brown","given":"Jason"},{"family":"Duggan","given":"Mark"},{"family":"Kuziemko","given":"Ilyana"},{"family":"Woolston","given":"William"}],"issued":{"date-parts":[["2014",10,1]]}}}],"schema":"https://github.com/citation-style-language/schema/raw/master/csl-citation.json"} </w:instrText>
      </w:r>
      <w:r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3,5,9,11</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w:t>
      </w:r>
      <w:r w:rsidR="002A3EEB" w:rsidRPr="00A11B6C">
        <w:rPr>
          <w:rFonts w:ascii="Times New Roman" w:hAnsi="Times New Roman" w:cs="Times New Roman"/>
          <w:sz w:val="24"/>
          <w:szCs w:val="24"/>
        </w:rPr>
        <w:t>therefore</w:t>
      </w:r>
      <w:r w:rsidRPr="00A11B6C">
        <w:rPr>
          <w:rFonts w:ascii="Times New Roman" w:hAnsi="Times New Roman" w:cs="Times New Roman"/>
          <w:sz w:val="24"/>
          <w:szCs w:val="24"/>
        </w:rPr>
        <w:t xml:space="preserve"> </w:t>
      </w:r>
      <w:r w:rsidR="001A41EF" w:rsidRPr="00A11B6C">
        <w:rPr>
          <w:rFonts w:ascii="Times New Roman" w:hAnsi="Times New Roman" w:cs="Times New Roman"/>
          <w:sz w:val="24"/>
          <w:szCs w:val="24"/>
        </w:rPr>
        <w:t xml:space="preserve">rendering </w:t>
      </w:r>
      <w:r w:rsidRPr="00A11B6C">
        <w:rPr>
          <w:rFonts w:ascii="Times New Roman" w:hAnsi="Times New Roman" w:cs="Times New Roman"/>
          <w:sz w:val="24"/>
          <w:szCs w:val="24"/>
        </w:rPr>
        <w:t>financial disincentives for plans to invest in comprehensive care for affected beneficiaries, for instance, dropping high-cost beneficiaries,</w:t>
      </w:r>
      <w:r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{"citationID":"pWROgMFw","properties":{"formattedCitation":"\\super 3,11\\nosupersub{}","plainCitation":"3,11","noteIndex":0},"citationItems":[{"id":55,"uris":["http://zotero.org/users/local/Dew19TPH/items/ED6K927L"],"itemData":{"id":55,"type":"article-journal","container-title":"Health Affairs","DOI":"10.1377/hlthaff.2015.0272","ISSN":"0278-2715, 1544-5208","issue":"10","journalAbbreviation":"Health Affairs","language":"en","page":"1675-1681","source":"DOI.org (Crossref)","title":"High-Cost Patients Had Substantial Rates Of Leaving Medicare Advantage And Joining Traditional Medicare","volume":"34","author":[{"family":"Rahman","given":"Momotazur"},{"family":"Keohane","given":"Laura"},{"family":"Trivedi","given":"Amal N."},{"family":"Mor","given":"Vincent"}],"issued":{"date-parts":[["2015",10]]}}},{"id":507,"uris":["http://zotero.org/users/local/Dew19TPH/items/5KDT7TE3"],"itemData":{"id":507,"type":"article-journal","abstract":"To combat adverse selection, governments increasingly base payments to health plans and providers on enrollees' scores from risk-adjustment formulae. In 2004, Medicare began to risk-adjust capitation payments to private Medicare Advantage (MA) plans to reduce selection-driven overpayments. But because the variance of medical costs increases with the predicted mean, incentivizing enrollment of individuals with higher scores can increase the scope for enrolling “overpriced” individuals with costs significantly below the formula's prediction. Indeed, after risk adjustment, MA plans enrolled individuals with higher scores but lower costs conditional on their score. We find no evidence that overpayments were on net reduced. (JEL G22, H51, I13, I18)","container-title":"American Economic Review","DOI":"10.1257/aer.104.10.3335","ISSN":"0002-8282","issue":"10","journalAbbreviation":"American Economic Review","language":"en","page":"3335-3364","source":"DOI.org (Crossref)","title":"How Does Risk Selection Respond to Risk Adjustment? New Evidence from the Medicare Advantage Program","title-short":"How Does Risk Selection Respond to Risk Adjustment?","volume":"104","author":[{"family":"Brown","given":"Jason"},{"family":"Duggan","given":"Mark"},{"family":"Kuziemko","given":"Ilyana"},{"family":"Woolston","given":"William"}],"issued":{"date-parts":[["2014",10,1]]}}}],"schema":"https://github.com/citation-style-language/schema/raw/master/csl-citation.json"} </w:instrText>
      </w:r>
      <w:r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3,11</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providing </w:t>
      </w:r>
      <w:r w:rsidR="00FA1332" w:rsidRPr="00A11B6C">
        <w:rPr>
          <w:rFonts w:ascii="Times New Roman" w:hAnsi="Times New Roman" w:cs="Times New Roman"/>
          <w:sz w:val="24"/>
          <w:szCs w:val="24"/>
        </w:rPr>
        <w:t xml:space="preserve">a </w:t>
      </w:r>
      <w:r w:rsidRPr="00A11B6C">
        <w:rPr>
          <w:rFonts w:ascii="Times New Roman" w:hAnsi="Times New Roman" w:cs="Times New Roman"/>
          <w:sz w:val="24"/>
          <w:szCs w:val="24"/>
        </w:rPr>
        <w:t>narrow provider network,</w:t>
      </w:r>
      <w:r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{"citationID":"tIS14AxH","properties":{"formattedCitation":"\\super 14,15\\nosupersub{}","plainCitation":"14,15","noteIndex":0},"citationItems":[{"id":52,"uris":["http://zotero.org/users/local/Dew19TPH/items/T3MECHJL"],"itemData":{"id":52,"type":"article-journal","container-title":"Journal of General Internal Medicine","DOI":"10.1007/s11606-020-06534-2","ISSN":"0884-8734, 1525-1497","issue":"2","journalAbbreviation":"J GEN INTERN MED","language":"en","page":"488-491","source":"DOI.org (Crossref)","title":"Narrow Primary Care Networks in Medicare Advantage","volume":"37","author":[{"family":"Meyers","given":"David J."},{"family":"Rahman","given":"Momotazur"},{"family":"Trivedi","given":"Amal N."}],"issued":{"date-parts":[["2022",2]]}}},{"id":587,"uris":["http://zotero.org/users/local/Dew19TPH/items/9M9XZ3WX"],"itemData":{"id":587,"type":"article-journal","container-title":"Health Affairs","DOI":"10.1377/hlthaff.2022.01547","ISSN":"0278-2715, 1544-5208","issue":"7","journalAbbreviation":"Health Affairs","language":"en","page":"909-918","source":"DOI.org (Crossref)","title":"Psychiatrist Networks In Medicare Advantage Plans Are Substantially Narrower Than In Medicaid And ACA Markets: Study examines psychiatrist networks in Medicare Advantage compared with Medicaid and ACA markets","title-short":"Psychiatrist Networks In Medicare Advantage Plans Are Substantially Narrower Than In Medicaid And ACA Markets","volume":"42","author":[{"family":"Zhu","given":"Jane M."},{"family":"Meiselbach","given":"Mark Katz"},{"family":"Drake","given":"Coleman"},{"family":"Polsky","given":"Daniel"}],"issued":{"date-parts":[["2023",7,1]]}}}],"schema":"https://github.com/citation-style-language/schema/raw/master/csl-citation.json"} </w:instrText>
      </w:r>
      <w:r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14,15</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and requiring prior-authorization</w:t>
      </w:r>
      <w:r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{"citationID":"DgyM1XEK","properties":{"formattedCitation":"\\super 16,17\\nosupersub{}","plainCitation":"16,17","noteIndex":0},"citationItems":[{"id":589,"uris":["http://zotero.org/users/local/Dew19TPH/items/XIBPJVNK"],"itemData":{"id":589,"type":"article-journal","abstract":"Abstract\n            \n              Objective\n              To measure and compare the scope of US insurers’ policies for prior authorization (PA), a process by which insurers assess the necessity of planned medical care, and to quantify differences in PA across insurers, physician specialties, and clinical service categories.\n            \n            \n              Design\n              Cross sectional analysis.\n            \n            \n              Setting\n              PA policies for five insurers serving most of the beneficiaries covered by privately administered Medicare Advantage in the US, 2021, as applied to utilization patterns observed in Medicare Part B.\n            \n            \n              Participants\n              30 540 086 beneficiaries in traditional Medicare Part B.\n            \n            \n              Main outcome measures\n              Proportions of government administered traditional Medicare Part B spending and utilization that would have required PA according to Medicare Advantage insurer rules.\n            \n            \n              Results\n              The insurers required PA for 944 to 2971 of the 14 130 clinical services (median 1899; weighted mean 1429) constituting 17% to 33% of Part B spending (median 28%; weighted mean 23%) and 9% to 41% of Part B utilization (median 22%; weighted mean 18%). 40% of spending ($57bn; £45bn; €53bn) and 48% of service utilization would have required PA by at least one insurer; 12% of spending and 6% of utilization would have required PA by all insurers. 93% of Part B medication spending, or 74% of medication use, would have required PA by at least one Medicare Advantage insurer. For all Medicare Advantage insurers, hematology and oncology drugs represented the largest proportion of PA spending (range 27-34%; median 33%; weighted mean 30%). PA rates varied widely across specialties.\n            \n            \n              Conclusion\n              PA policies varied substantially across private insurers in the US. Despite limited consensus, all insurers required PA extensively, particularly for physician administered medications. These findings indicate substantial differences in coverage policies between government administered and privately administered Medicare. The results may inform ongoing efforts to focus PA more effectively on low value services and reduce administrative burdens for clinicians and patients.","container-title":"BMJ","DOI":"10.1136/bmj-2023-077797","ISSN":"1756-1833","journalAbbreviation":"BMJ","language":"en","page":"e077797","source":"DOI.org (Crossref)","title":"Comparison of prior authorization across insurers: cross sectional evidence from Medicare Advantage","title-short":"Comparison of prior authorization across insurers","author":[{"family":"Gupta","given":"Ravi"},{"family":"Fein","given":"Jay"},{"family":"Newhouse","given":"Joseph P"},{"family":"Schwartz","given":"Aaron L"}],"issued":{"date-parts":[["2024",3,7]]}}},{"id":591,"uris":["http://zotero.org/users/local/Dew19TPH/items/8P8V42NW"],"itemData":{"id":591,"type":"article-journal","abstract":"OBJECTIVES: To assess trends in the use of prior authorization requirements among Medicare Advantage (MA) plans. STUDY DESIGN: Descriptive quantitative analysis.\nMETHODS: Data were from the CMS MA benefit and enrollment files for 2009-2019, supplemented with area-level data on demographic and provider market characteristics. For each service category, we calculated the annual share of MA enrollees in plans requiring at least some prior authorization and plotted trends over time. We mapped the county-level share of MA enrollees exposed to prior authorization in 2009 vs 2019. We quantified the association between local share of MA enrollees exposed to prior authorization and characteristics of that county in the same year. Finally, we plotted the share of MA enrollees exposed to prior authorization requirements over time for the 6 largest MA carriers.\nRESULTS: From 2009 to 2019, the share of MA enrollees in plans requiring prior authorization for any service remained stable. By service category, the share of MA enrollees exposed to prior authorization ranged from 30.7% (physician specialist services) to 72.2% (durable medical equipment) in 2019, with most service categories requiring prior authorization more often over time. Several area-level demographic and provider market characteristics were associated with prior authorization requirements, but these associations weakened over time. The use of prior authorization varied widely across plans.\nCONCLUSIONS: In 2019, roughly 3 in 4 MA enrollees were in a plan requiring prior authorization. Service-level, area-level, and carrier-level patterns suggest a wide range of approaches to prior authorization requirements.","container-title":"The American Journal of Managed Care","DOI":"10.37765/ajmc.2024.89519","ISSN":"1936-2692, 1088-0224","issue":"3","journalAbbreviation":"Am J Manag Care","language":"en","page":"e85-e92","source":"DOI.org (Crossref)","title":"The Extent and Growth of Prior Authorization in Medicare Advantage","volume":"30","author":[{"family":"Neprash","given":"T Hannah"},{"family":"Mulcahy","given":"John"},{"family":"Golberstein","given":"Ezra"}],"issued":{"date-parts":[["2024",3,7]]}}}],"schema":"https://github.com/citation-style-language/schema/raw/master/csl-citation.json"} </w:instrText>
      </w:r>
      <w:r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16,17</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w:t>
      </w:r>
      <w:r w:rsidR="006A0CE5" w:rsidRPr="00A11B6C">
        <w:rPr>
          <w:rFonts w:ascii="Times New Roman" w:hAnsi="Times New Roman" w:cs="Times New Roman"/>
          <w:sz w:val="24"/>
          <w:szCs w:val="24"/>
        </w:rPr>
        <w:t xml:space="preserve">Consequently, </w:t>
      </w:r>
      <w:r w:rsidR="00021E64" w:rsidRPr="00A11B6C">
        <w:rPr>
          <w:rFonts w:ascii="Times New Roman" w:hAnsi="Times New Roman" w:cs="Times New Roman"/>
          <w:sz w:val="24"/>
          <w:szCs w:val="24"/>
        </w:rPr>
        <w:t>existing</w:t>
      </w:r>
      <w:r w:rsidRPr="00A11B6C">
        <w:rPr>
          <w:rFonts w:ascii="Times New Roman" w:hAnsi="Times New Roman" w:cs="Times New Roman"/>
          <w:sz w:val="24"/>
          <w:szCs w:val="24"/>
        </w:rPr>
        <w:t xml:space="preserve"> studies using data prior to 2020 have found </w:t>
      </w:r>
      <w:r w:rsidR="002A3EEB" w:rsidRPr="00A11B6C">
        <w:rPr>
          <w:rFonts w:ascii="Times New Roman" w:hAnsi="Times New Roman" w:cs="Times New Roman"/>
          <w:sz w:val="24"/>
          <w:szCs w:val="24"/>
        </w:rPr>
        <w:t>large</w:t>
      </w:r>
      <w:r w:rsidRPr="00A11B6C">
        <w:rPr>
          <w:rFonts w:ascii="Times New Roman" w:hAnsi="Times New Roman" w:cs="Times New Roman"/>
          <w:sz w:val="24"/>
          <w:szCs w:val="24"/>
        </w:rPr>
        <w:t xml:space="preserve"> health </w:t>
      </w:r>
      <w:r w:rsidR="002A3EEB" w:rsidRPr="00A11B6C">
        <w:rPr>
          <w:rFonts w:ascii="Times New Roman" w:hAnsi="Times New Roman" w:cs="Times New Roman"/>
          <w:sz w:val="24"/>
          <w:szCs w:val="24"/>
        </w:rPr>
        <w:t xml:space="preserve">gaps </w:t>
      </w:r>
      <w:r w:rsidR="00C77C0D" w:rsidRPr="00A11B6C">
        <w:rPr>
          <w:rFonts w:ascii="Times New Roman" w:hAnsi="Times New Roman" w:cs="Times New Roman"/>
          <w:sz w:val="24"/>
          <w:szCs w:val="24"/>
        </w:rPr>
        <w:t>between</w:t>
      </w:r>
      <w:r w:rsidRPr="00A11B6C">
        <w:rPr>
          <w:rFonts w:ascii="Times New Roman" w:hAnsi="Times New Roman" w:cs="Times New Roman"/>
          <w:sz w:val="24"/>
          <w:szCs w:val="24"/>
        </w:rPr>
        <w:t xml:space="preserve"> beneficiaries</w:t>
      </w:r>
      <w:r w:rsidR="00897FFC" w:rsidRPr="00A11B6C">
        <w:rPr>
          <w:rFonts w:ascii="Times New Roman" w:hAnsi="Times New Roman" w:cs="Times New Roman"/>
          <w:sz w:val="24"/>
          <w:szCs w:val="24"/>
        </w:rPr>
        <w:t xml:space="preserve"> with ADRD</w:t>
      </w:r>
      <w:r w:rsidRPr="00A11B6C">
        <w:rPr>
          <w:rFonts w:ascii="Times New Roman" w:hAnsi="Times New Roman" w:cs="Times New Roman"/>
          <w:sz w:val="24"/>
          <w:szCs w:val="24"/>
        </w:rPr>
        <w:t xml:space="preserve"> in MA </w:t>
      </w:r>
      <w:r w:rsidR="00C77C0D" w:rsidRPr="00A11B6C">
        <w:rPr>
          <w:rFonts w:ascii="Times New Roman" w:hAnsi="Times New Roman" w:cs="Times New Roman"/>
          <w:sz w:val="24"/>
          <w:szCs w:val="24"/>
        </w:rPr>
        <w:t xml:space="preserve">and TM </w:t>
      </w:r>
      <w:r w:rsidRPr="00A11B6C">
        <w:rPr>
          <w:rFonts w:ascii="Times New Roman" w:hAnsi="Times New Roman" w:cs="Times New Roman"/>
          <w:sz w:val="24"/>
          <w:szCs w:val="24"/>
        </w:rPr>
        <w:t>before the reintroduction of ADRD into the risk-adjustment model.</w:t>
      </w:r>
      <w:r w:rsidR="004139C7" w:rsidRPr="00A11B6C">
        <w:rPr>
          <w:rFonts w:ascii="Times New Roman" w:hAnsi="Times New Roman" w:cs="Times New Roman"/>
          <w:sz w:val="24"/>
          <w:szCs w:val="24"/>
        </w:rPr>
        <w:fldChar w:fldCharType="begin"/>
      </w:r>
      <w:r w:rsidR="00BC3593" w:rsidRPr="00A11B6C">
        <w:rPr>
          <w:rFonts w:ascii="Times New Roman" w:hAnsi="Times New Roman" w:cs="Times New Roman"/>
          <w:sz w:val="24"/>
          <w:szCs w:val="24"/>
        </w:rPr>
        <w:instrText xml:space="preserve"> ADDIN ZOTERO_ITEM CSL_CITATION {"citationID":"vh5D3iA3","properties":{"formattedCitation":"\\super 6,7,18\\nosupersub{}","plainCitation":"6,7,18","noteIndex":0},"citationItems":[{"id":87,"uris":["http://zotero.org/users/local/Dew19TPH/items/8SDTV4DA"],"itemData":{"id":87,"type":"article-journal","abstract":"Background: The Medicare Advantage (MA) program is rapidly growing. Limited evidence exists about the care experiences of MA beneficiaries with Alzheimer's Disease and Related Dementia (ADRD). Our objective was to compare care experiences for MA beneficiaries with and without ADRD.\nMethods: We examined MA beneficiaries who completed the Medicare Advantage Consumer Assessment of Healthcare Providers and Systems (CAHPS) and used inpatient, nursing home, or home health services in the past 3 years. We classified beneficiaries with ADRD using the presence of diagnosis codes in hospitals, nursing homes, and home health records. Our key measures included overall ratings of care and health plan, and indices of receiving timely care, care coordination, receiving needed care, and customer service. We compared differences between beneficiaries with and without ADRD using regression analysis adjusting for demographic, health, and plan characteristics, and stratifying by proxy response status.\nResults: Among beneficiaries sampled by CAHPS, 22.2% with ADRD completed the survey compared to 38.5% without ADRD. Among proxy responses, beneficiaries with ADRD were 4.2 (95% CI: 0.1–8.4) percentage points less likely to report a high score for receiving needed care, and 3.5 percentage points (95% CI: 0.2–6.9) less likely to report a high score for customer service. Among non-proxy responses, those with ADRD were 9.0 (95% CI: 5.5–12.5) percentage points less likely to report a high score for needed care, and 8.5 (95% CI: 5.4–11.5) percentage points less likely to report a high score for customer service.\nConclusions: ADRD respondents to the CAHPS were more likely to be excluded from CAHPS performance measures because they did not meet eligibility requirements and rates of non-response were higher. Among responders with or without a proxy, MA enrollees with an ADRD diagnosis reported worse care experiences in receiving needed care and in customer service than those without an ADRD diagnosis.","container-title":"Journal of the American Geriatrics Society","DOI":"10.1111/jgs.17817","ISSN":"0002-8614, 1532-5415","issue":"8","journalAbbreviation":"J American Geriatrics Society","language":"en","page":"2344-2353","source":"DOI.org (Crossref)","title":"Comparing the care experiences of Medicare Advantage beneficiaries with and without Alzheimer's disease and related dementias","volume":"70","author":[{"family":"Meyers","given":"David J."},{"family":"Rivera‐Hernandez","given":"Maricruz"},{"family":"Kim","given":"Daeho"},{"family":"Keohane","given":"Laura M."},{"family":"Mor","given":"Vincent"},{"family":"Trivedi","given":"Amal N."}],"issued":{"date-parts":[["2022",8]]}}},{"id":439,"uris":["http://zotero.org/users/local/Dew19TPH/items/XZJDFBAY"],"itemData":{"id":439,"type":"article-journal","abstract":"Enrollment in Medicare Advantage (MA) has been rapidly growing. We examined whether MA enrollment affects the outcomes of post-acute nursing home care among patients with Alzheimer’s disease and related dementias (ADRD). We exploited year-to-year changes in MA penetration rates within counties from 2012 through 2019. After adjusting for patient-level characteristics and county fixed effects, we found that MA enrollment was not associated with days spent at home, nursing home days, likelihood of becoming a long-stay resident, hospital days, hospital readmission, or 1-year mortality. There was a modest increase in successful discharge to the community by 0.73 percentage points (relative increase of 2.4%) associated with a 10-percentage-point increase in MA enrollment. The results are consistent among racial/ethnic subgroups and dual-eligible patients. These findings suggest an imperative need to monitor and improve quality of managed care among enrollees with ADRD.","container-title":"Health Affairs Scholar","DOI":"10.1093/haschl/qxae084","ISSN":"2976-5390","issue":"6","language":"en","license":"https://creativecommons.org/licenses/by/4.0/","page":"qxae084","source":"DOI.org (Crossref)","title":"Medicare Advantage enrollment and outcomes of post-acute nursing home care among patients with dementia","volume":"2","author":[{"family":"Kim","given":"Daeho"},{"family":"Meyers","given":"David J"},{"family":"Keohane","given":"Laura M"},{"family":"Varma","given":"Hiren"},{"family":"Achola","given":"Emma M"},{"family":"Trivedi","given":"Amal N"}],"issued":{"date-parts":[["2024",5,30]]}}},{"id":482,"uris":["http://zotero.org/users/local/Dew19TPH/items/EIWXV564"],"itemData":{"id":482,"type":"article-journal","abstract":"Unlike fee-for-service (FFS) Medicare, most Medicare Advantage (MA) plans have a preferred network of care providers that serve most of a plan’s enrollees. Little is known about how the quality of care MA enrollees receive differs from that of FFS Medicare enrollees. This article evaluates the differences in the quality of skilled nursing facilities (SNFs) that Medicare Advantage and FFS beneficiaries entered in the period 2012–14. After we controlled for patients’ clinical, demographic, and residential neighborhood effects, we found that FFS Medicare patients have substantially higher probabilities of entering higher-quality SNFs (those rated four or five stars by Nursing Home Compare) and those with lower readmission rates, compared to MA enrollees. The difference between MA and FFS Medicare SNF selections was less for enrollees in higher-quality MA plans than those in lower-quality plans, but Medicare Advantage still guided patients to lower-quality facilities.","container-title":"Health Affairs","DOI":"10.1377/hlthaff.2017.0714","ISSN":"0278-2715, 1544-5208","issue":"1","journalAbbreviation":"Health Affairs","language":"en","page":"78-85","source":"DOI.org (Crossref)","title":"Medicare Advantage Enrollees More Likely To Enter Lower-Quality Nursing Homes Compared To Fee-For-Service Enrollees","volume":"37","author":[{"family":"Meyers","given":"David J."},{"family":"Mor","given":"Vincent"},{"family":"Rahman","given":"Momotazur"}],"issued":{"date-parts":[["2018",1]]}}}],"schema":"https://github.com/citation-style-language/schema/raw/master/csl-citation.json"} </w:instrText>
      </w:r>
      <w:r w:rsidR="004139C7" w:rsidRPr="00A11B6C">
        <w:rPr>
          <w:rFonts w:ascii="Times New Roman" w:hAnsi="Times New Roman" w:cs="Times New Roman"/>
          <w:sz w:val="24"/>
          <w:szCs w:val="24"/>
        </w:rPr>
        <w:fldChar w:fldCharType="separate"/>
      </w:r>
      <w:r w:rsidR="00BC3593" w:rsidRPr="00A11B6C">
        <w:rPr>
          <w:rFonts w:ascii="Times New Roman" w:hAnsi="Times New Roman" w:cs="Times New Roman"/>
          <w:kern w:val="0"/>
          <w:sz w:val="24"/>
          <w:szCs w:val="24"/>
          <w:vertAlign w:val="superscript"/>
        </w:rPr>
        <w:t>6,7,18</w:t>
      </w:r>
      <w:r w:rsidR="004139C7"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Compared to TM, the diagnosed dementia rates in MA </w:t>
      </w:r>
      <w:r w:rsidR="00DF6C3E" w:rsidRPr="00A11B6C">
        <w:rPr>
          <w:rFonts w:ascii="Times New Roman" w:hAnsi="Times New Roman" w:cs="Times New Roman"/>
          <w:sz w:val="24"/>
          <w:szCs w:val="24"/>
        </w:rPr>
        <w:t>are</w:t>
      </w:r>
      <w:r w:rsidRPr="00A11B6C">
        <w:rPr>
          <w:rFonts w:ascii="Times New Roman" w:hAnsi="Times New Roman" w:cs="Times New Roman"/>
          <w:sz w:val="24"/>
          <w:szCs w:val="24"/>
        </w:rPr>
        <w:t xml:space="preserve"> notably lower,</w:t>
      </w:r>
      <w:r w:rsidRPr="00A11B6C">
        <w:rPr>
          <w:rFonts w:ascii="Times New Roman" w:hAnsi="Times New Roman" w:cs="Times New Roman"/>
          <w:sz w:val="24"/>
          <w:szCs w:val="24"/>
        </w:rPr>
        <w:fldChar w:fldCharType="begin"/>
      </w:r>
      <w:r w:rsidR="004139C7" w:rsidRPr="00A11B6C">
        <w:rPr>
          <w:rFonts w:ascii="Times New Roman" w:hAnsi="Times New Roman" w:cs="Times New Roman"/>
          <w:sz w:val="24"/>
          <w:szCs w:val="24"/>
        </w:rPr>
        <w:instrText xml:space="preserve"> ADDIN ZOTERO_ITEM CSL_CITATION {"citationID":"UNrKEGjA","properties":{"formattedCitation":"\\super 19\\nosupersub{}","plainCitation":"19","noteIndex":0},"citationItems":[{"id":29,"uris":["http://zotero.org/users/local/Dew19TPH/items/IZNHMWHX"],"itemData":{"id":29,"type":"article-journal","abstract":"Approximately half of Medicare beneficiaries are enrolled in Medicare Advantage (MA), a private plan alternative to traditional Medicare (TM). Yet little is known about diagnosed dementia rates among MA enrollees, limiting population estimates. All (100%) claims of Medicare beneficiaries using encounter data for MA and claims for TM for the years 2015 to 2018 were used to quantify diagnosed dementia prevalence and incidence rates in MA, compare rates to TM, and provide estimates for the entire Medicare population and for different racial/ethnic populations. In 2017, dementia incidence and prevalence among MA beneficiaries were 2.54% (95% confidence interval [CI]: 2.53 to 2.55) and 7.04% (95% CI: 7.03 to 7.06). Comparison to TM adjusted for sociodemographic and health differences among beneficiaries in MA and TM; the prevalence of diagnosed dementia among beneficiaries in MA was lower (7.1%; 95% CI: 7.12 to 7.13) than in TM (8.7%; 95% CI: 8.71 to 8.72). The diagnosed dementia incidence rate was also lower in MA (2.50%; 95% CI: 2.50 to 2.50) compared to TM (2.99%; 95% CI: 2.99 to 2.99). There were lower rates in MA compared to TM for men and women and White, Black, Hispanic, Asian, American Indian/Alaska Native persons. Diagnosed dementia prevalence and incidence for the entire Medicare population was 7.9% (95% CI: 7.91 to 7.93) and 2.8% (95% CI: 2.77 to 2.78). Lower diagnosed dementia rates in MA compared to TM may exacerbate racial/ethnic disparities in diagnosed dementia. Rates tracked over time will provide understanding of the impact on dementia diagnosis of 2020 MA risk adjustment for dementia.","container-title":"Alzheimer's &amp; Dementia: Diagnosis, Assessment &amp; Disease Monitoring","DOI":"10.1002/dad2.12472","ISSN":"2352-8729, 2352-8729","issue":"3","journalAbbreviation":"Alz &amp; Dem Diag Ass &amp; Dis Mo","language":"en","page":"e12472","source":"DOI.org (Crossref)","title":"Estimates of diagnosed dementia prevalence and incidence among diverse beneficiaries in traditional Medicare and Medicare Advantage","volume":"15","author":[{"family":"Haye","given":"Sidra"},{"family":"Thunell","given":"Johanna"},{"family":"Joyce","given":"Geoffrey"},{"family":"Ferido","given":"Patricia"},{"family":"Tysinger","given":"Bryan"},{"family":"Jacobson","given":"Mireille"},{"family":"Zissimopoulos","given":"Julie"}],"issued":{"date-parts":[["2023",7]]}}}],"schema":"https://github.com/citation-style-language/schema/raw/master/csl-citation.json"} </w:instrText>
      </w:r>
      <w:r w:rsidRPr="00A11B6C">
        <w:rPr>
          <w:rFonts w:ascii="Times New Roman" w:hAnsi="Times New Roman" w:cs="Times New Roman"/>
          <w:sz w:val="24"/>
          <w:szCs w:val="24"/>
        </w:rPr>
        <w:fldChar w:fldCharType="separate"/>
      </w:r>
      <w:r w:rsidR="004139C7" w:rsidRPr="00A11B6C">
        <w:rPr>
          <w:rFonts w:ascii="Times New Roman" w:hAnsi="Times New Roman" w:cs="Times New Roman"/>
          <w:kern w:val="0"/>
          <w:sz w:val="24"/>
          <w:szCs w:val="24"/>
          <w:vertAlign w:val="superscript"/>
        </w:rPr>
        <w:t>19</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suggesting a potential under-diagnosis of ADRD in MA. This underdiagnosis further </w:t>
      </w:r>
      <w:r w:rsidR="007925D4" w:rsidRPr="00A11B6C">
        <w:rPr>
          <w:rFonts w:ascii="Times New Roman" w:hAnsi="Times New Roman" w:cs="Times New Roman"/>
          <w:sz w:val="24"/>
          <w:szCs w:val="24"/>
        </w:rPr>
        <w:t>delays in</w:t>
      </w:r>
      <w:r w:rsidRPr="00A11B6C">
        <w:rPr>
          <w:rFonts w:ascii="Times New Roman" w:hAnsi="Times New Roman" w:cs="Times New Roman"/>
          <w:sz w:val="24"/>
          <w:szCs w:val="24"/>
        </w:rPr>
        <w:t xml:space="preserve"> access to appropriate interventions, exacerbating </w:t>
      </w:r>
      <w:r w:rsidR="009D4188" w:rsidRPr="00A11B6C">
        <w:rPr>
          <w:rFonts w:ascii="Times New Roman" w:hAnsi="Times New Roman" w:cs="Times New Roman"/>
          <w:sz w:val="24"/>
          <w:szCs w:val="24"/>
        </w:rPr>
        <w:t>gaps</w:t>
      </w:r>
      <w:r w:rsidRPr="00A11B6C">
        <w:rPr>
          <w:rFonts w:ascii="Times New Roman" w:hAnsi="Times New Roman" w:cs="Times New Roman"/>
          <w:sz w:val="24"/>
          <w:szCs w:val="24"/>
        </w:rPr>
        <w:t xml:space="preserve"> in care quality and outcomes. Moreover, beneficiaries </w:t>
      </w:r>
      <w:r w:rsidR="00897FFC" w:rsidRPr="00A11B6C">
        <w:rPr>
          <w:rFonts w:ascii="Times New Roman" w:hAnsi="Times New Roman" w:cs="Times New Roman"/>
          <w:sz w:val="24"/>
          <w:szCs w:val="24"/>
        </w:rPr>
        <w:t xml:space="preserve">with ADRD </w:t>
      </w:r>
      <w:r w:rsidRPr="00A11B6C">
        <w:rPr>
          <w:rFonts w:ascii="Times New Roman" w:hAnsi="Times New Roman" w:cs="Times New Roman"/>
          <w:sz w:val="24"/>
          <w:szCs w:val="24"/>
        </w:rPr>
        <w:t>enrolled in MA have a substantial</w:t>
      </w:r>
      <w:r w:rsidR="00387E3B" w:rsidRPr="00A11B6C">
        <w:rPr>
          <w:rFonts w:ascii="Times New Roman" w:hAnsi="Times New Roman" w:cs="Times New Roman"/>
          <w:sz w:val="24"/>
          <w:szCs w:val="24"/>
        </w:rPr>
        <w:t>ly</w:t>
      </w:r>
      <w:r w:rsidRPr="00A11B6C">
        <w:rPr>
          <w:rFonts w:ascii="Times New Roman" w:hAnsi="Times New Roman" w:cs="Times New Roman"/>
          <w:sz w:val="24"/>
          <w:szCs w:val="24"/>
        </w:rPr>
        <w:t xml:space="preserve"> high rate of leaving MA and joining TM, especially for those experiencing </w:t>
      </w:r>
      <w:r w:rsidRPr="00A11B6C">
        <w:rPr>
          <w:rFonts w:ascii="Times New Roman" w:hAnsi="Times New Roman" w:cs="Times New Roman"/>
          <w:sz w:val="24"/>
          <w:szCs w:val="24"/>
        </w:rPr>
        <w:lastRenderedPageBreak/>
        <w:t>a great demand for post-acute hospitalization, home care, and long-term nursing home care in the previous year.</w:t>
      </w:r>
      <w:r w:rsidRPr="00A11B6C">
        <w:rPr>
          <w:rFonts w:ascii="Times New Roman" w:hAnsi="Times New Roman" w:cs="Times New Roman"/>
          <w:sz w:val="24"/>
          <w:szCs w:val="24"/>
        </w:rPr>
        <w:fldChar w:fldCharType="begin"/>
      </w:r>
      <w:r w:rsidR="00F13AD3" w:rsidRPr="00A11B6C">
        <w:rPr>
          <w:rFonts w:ascii="Times New Roman" w:hAnsi="Times New Roman" w:cs="Times New Roman"/>
          <w:sz w:val="24"/>
          <w:szCs w:val="24"/>
        </w:rPr>
        <w:instrText xml:space="preserve"> ADDIN ZOTERO_ITEM CSL_CITATION {"citationID":"IHiet8R4","properties":{"formattedCitation":"\\super 2\\uc0\\u8211{}5,7\\nosupersub{}","plainCitation":"2–5,7","noteIndex":0},"citationItems":[{"id":414,"uris":["http://zotero.org/users/local/Dew19TPH/items/7TDG2QAP"],"itemData":{"id":414,"type":"article-journal","abstract":"OBJECTIVE To evaluate patterns in Medicare Advantage enrollment and disenrollment among beneficiaries with or without ADRD. DESIGN, SETTING, AND PARTICIPANTS This cross-sectional study used 6 national data sources between January 1, 2011, and December 31, 2018. Analyses were performed between June 2021 and August 2022. The cohort comprised US Medicare beneficiaries with acute or postacute care utilization between 2013 and 2018. EXPOSURE ADRD diagnosis from an acute or postacute care encounter Medicare data source. MAIN OUTCOMES AND MEASURES Enrollment in Medicare Advantage, disenrollment from Medicare Advantage to traditional Medicare, and contract exit (leaving a Medicare Advantage contract for traditional Medicare or a different Medicare Advantage contract).\nRESULTS The 32 796 872 Medicare beneficiaries in the cohort had a mean (SD) age of 74.0 (12.5) years and included 18 228 513 females (55.6%). Enrollment in Medicare Advantage among beneficiaries with ADRD increased from 24.7% (95% CI, 24.7%-24.8%) in 2013 to 33.0% (95% CI, 32.9%-33.1%) in 2018, an absolute increase of 8.3 percentage points and a 33.4% relative increase after adjusting for demographic characteristics, comorbid conditions, and utilization and including county fixed effects. Among beneficiaries without ADRD, enrollment in Medicare Advantage increased by 8.2 percentage points from 27.6% (95% CI, 27.6%-27.6%) in 2013 to 35.8% (95% CI, 35.8%-35.8%) in 2018, a 29.7% relative increase over the study period. Beneficiaries with ADRD were 1.4 times as likely to disenroll from their Medicare Advantage contract to traditional Medicare (4.4% vs 3.2% in 2017-2018; P &lt; .001) in adjusted analyses. Regardless of ADRD status, beneficiaries had similar rates of switching to a new Medicare Advantage contract. Differences in contract exit rates were associated with higher rates of disenrollment from Medicare Advantage to traditional Medicare among beneficiaries with ADRD vs those without ADRD (16.3% [95% CI, 16.2%-16.3%] vs 15.1% [95% CI, 15.1%-15.1%]). Beneficiaries with ADRD and dual eligibility for Medicaid enrollment had higher rates of contract exit than those without dual eligibility (19.7% [95% CI, 19.6%-19.7%] vs 14.9% [95% CI, 14.8%-14.9%]), and these differences were even greater than those among beneficiaries without ADRD and with and without dual-eligibility status, respectively (18.3% [95% CI, 18.2%-18.3%] vs 13.8% [95% CI, 13.7%-13.8%]).\nCONCLUSIONS AND RELEVANCE In this cross-sectional study of the Medicare population with acute and postacute care use, beneficiaries with ADRD had increasing enrollment in the Medicare","container-title":"JAMA Health Forum","DOI":"10.1001/jamahealthforum.2023.3080","ISSN":"2689-0186","issue":"9","journalAbbreviation":"JAMA Health Forum","language":"en","page":"e233080","source":"DOI.org (Crossref)","title":"Medicare Advantage Enrollment and Disenrollment Among Persons With Alzheimer Disease and Related Dementias","volume":"4","author":[{"family":"James","given":"Hannah O."},{"family":"Trivedi","given":"Amal N."},{"family":"Meyers","given":"David J."}],"issued":{"date-parts":[["2023",9,15]]}}},{"id":55,"uris":["http://zotero.org/users/local/Dew19TPH/items/ED6K927L"],"itemData":{"id":55,"type":"article-journal","container-title":"Health Affairs","DOI":"10.1377/hlthaff.2015.0272","ISSN":"0278-2715, 1544-5208","issue":"10","journalAbbreviation":"Health Affairs","language":"en","page":"1675-1681","source":"DOI.org (Crossref)","title":"High-Cost Patients Had Substantial Rates Of Leaving Medicare Advantage And Joining Traditional Medicare","volume":"34","author":[{"family":"Rahman","given":"Momotazur"},{"family":"Keohane","given":"Laura"},{"family":"Trivedi","given":"Amal N."},{"family":"Mor","given":"Vincent"}],"issued":{"date-parts":[["2015",10]]}}},{"id":437,"uris":["http://zotero.org/users/local/Dew19TPH/items/CPLZQMZN"],"itemData":{"id":437,"type":"article-journal","abstract":"Introduction: One-third of Medicare beneficiaries are enrolled in Medicare Advantage (MA). Yet, little is known about MA beneficiaries diagnosed with Alzheimer’s disease (AD) and AD-related dementias (AD/ADRD).","container-title":"Alzheimer's &amp; Dementia: Diagnosis, Assessment &amp; Disease Monitoring","DOI":"10.1002/dad2.12048","ISSN":"2352-8729, 2352-8729","issue":"1","journalAbbreviation":"Alzheimer's &amp;amp; Dementia: Diagnosis, Assessment &amp;amp; Disease Monitoring","language":"en","license":"http://creativecommons.org/licenses/by-nc/4.0/","source":"DOI.org (Crossref)","title":"Diagnosed prevalence of Alzheimer's disease and related dementias in Medicare Advantage plans","URL":"https://onlinelibrary.wiley.com/doi/10.1002/dad2.12048","volume":"12","author":[{"family":"Jutkowitz","given":"Eric"},{"family":"Bynum","given":"Julie P.W."},{"family":"Mitchell","given":"Susan L."},{"family":"Cocoros","given":"Noelle M."},{"family":"Shapira","given":"Oren"},{"family":"Haynes","given":"Kevin"},{"family":"Nair","given":"Vinit P."},{"family":"McMahill‐Walraven","given":"Cheryl N."},{"family":"Platt","given":"Richard"},{"family":"McCarthy","given":"Ellen P."}],"accessed":{"date-parts":[["2024",12,24]]},"issued":{"date-parts":[["2020",1]]}}},{"id":435,"uris":["http://zotero.org/users/local/Dew19TPH/items/V4IL3853"],"itemData":{"id":435,"type":"article-journal","abstract":"Introduction: Patients with Alzheimer’s disease and related dementias (ADRD) face substantial challenges in selecting, and remaining enrolled in, health insurance. Little is known about how patients with ADRD experience the Medicare Advantage (MA) program.","container-title":"Alzheimer's &amp; Dementia: Translational Research &amp; Clinical Interventions","DOI":"10.1002/trc2.12150","ISSN":"2352-8737, 2352-8737","issue":"1","journalAbbreviation":"A&amp;D Transl Res &amp; Clin Interv","language":"en","page":"e12150","source":"DOI.org (Crossref)","title":"Plan switching among Medicare Advantage beneficiaries with Alzheimer's disease and other dementias","volume":"7","author":[{"family":"Meyers","given":"David J."},{"family":"Rahman","given":"Momotazur"},{"family":"Rivera‐Hernandez","given":"Maricruz"},{"family":"Trivedi","given":"Amal N."},{"family":"Mor","given":"Vincent"}],"issued":{"date-parts":[["2021",1]]}}},{"id":439,"uris":["http://zotero.org/users/local/Dew19TPH/items/XZJDFBAY"],"itemData":{"id":439,"type":"article-journal","abstract":"Enrollment in Medicare Advantage (MA) has been rapidly growing. We examined whether MA enrollment affects the outcomes of post-acute nursing home care among patients with Alzheimer’s disease and related dementias (ADRD). We exploited year-to-year changes in MA penetration rates within counties from 2012 through 2019. After adjusting for patient-level characteristics and county fixed effects, we found that MA enrollment was not associated with days spent at home, nursing home days, likelihood of becoming a long-stay resident, hospital days, hospital readmission, or 1-year mortality. There was a modest increase in successful discharge to the community by 0.73 percentage points (relative increase of 2.4%) associated with a 10-percentage-point increase in MA enrollment. The results are consistent among racial/ethnic subgroups and dual-eligible patients. These findings suggest an imperative need to monitor and improve quality of managed care among enrollees with ADRD.","container-title":"Health Affairs Scholar","DOI":"10.1093/haschl/qxae084","ISSN":"2976-5390","issue":"6","language":"en","license":"https://creativecommons.org/licenses/by/4.0/","page":"qxae084","source":"DOI.org (Crossref)","title":"Medicare Advantage enrollment and outcomes of post-acute nursing home care among patients with dementia","volume":"2","author":[{"family":"Kim","given":"Daeho"},{"family":"Meyers","given":"David J"},{"family":"Keohane","given":"Laura M"},{"family":"Varma","given":"Hiren"},{"family":"Achola","given":"Emma M"},{"family":"Trivedi","given":"Amal N"}],"issued":{"date-parts":[["2024",5,30]]}}}],"schema":"https://github.com/citation-style-language/schema/raw/master/csl-citation.json"} </w:instrText>
      </w:r>
      <w:r w:rsidRPr="00A11B6C">
        <w:rPr>
          <w:rFonts w:ascii="Times New Roman" w:hAnsi="Times New Roman" w:cs="Times New Roman"/>
          <w:sz w:val="24"/>
          <w:szCs w:val="24"/>
        </w:rPr>
        <w:fldChar w:fldCharType="separate"/>
      </w:r>
      <w:r w:rsidR="00F13AD3" w:rsidRPr="00A11B6C">
        <w:rPr>
          <w:rFonts w:ascii="Times New Roman" w:hAnsi="Times New Roman" w:cs="Times New Roman"/>
          <w:kern w:val="0"/>
          <w:sz w:val="24"/>
          <w:szCs w:val="24"/>
          <w:vertAlign w:val="superscript"/>
        </w:rPr>
        <w:t>2–5,7</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High-cost MA beneficiaries, including ADRD patients, also have a larger </w:t>
      </w:r>
      <w:r w:rsidR="001A41EF" w:rsidRPr="00A11B6C">
        <w:rPr>
          <w:rFonts w:ascii="Times New Roman" w:hAnsi="Times New Roman" w:cs="Times New Roman"/>
          <w:sz w:val="24"/>
          <w:szCs w:val="24"/>
        </w:rPr>
        <w:t xml:space="preserve">chance </w:t>
      </w:r>
      <w:r w:rsidRPr="00A11B6C">
        <w:rPr>
          <w:rFonts w:ascii="Times New Roman" w:hAnsi="Times New Roman" w:cs="Times New Roman"/>
          <w:sz w:val="24"/>
          <w:szCs w:val="24"/>
        </w:rPr>
        <w:t>of entering into low-quality nursing homes compared to their TM counterpart</w:t>
      </w:r>
      <w:r w:rsidR="00387E3B" w:rsidRPr="00A11B6C">
        <w:rPr>
          <w:rFonts w:ascii="Times New Roman" w:hAnsi="Times New Roman" w:cs="Times New Roman"/>
          <w:sz w:val="24"/>
          <w:szCs w:val="24"/>
        </w:rPr>
        <w:t>s</w:t>
      </w:r>
      <w:r w:rsidRPr="00A11B6C">
        <w:rPr>
          <w:rFonts w:ascii="Times New Roman" w:hAnsi="Times New Roman" w:cs="Times New Roman"/>
          <w:sz w:val="24"/>
          <w:szCs w:val="24"/>
        </w:rPr>
        <w:t>.</w:t>
      </w:r>
      <w:r w:rsidRPr="00A11B6C">
        <w:rPr>
          <w:rFonts w:ascii="Times New Roman" w:hAnsi="Times New Roman" w:cs="Times New Roman"/>
          <w:sz w:val="24"/>
          <w:szCs w:val="24"/>
        </w:rPr>
        <w:fldChar w:fldCharType="begin"/>
      </w:r>
      <w:r w:rsidR="004139C7" w:rsidRPr="00A11B6C">
        <w:rPr>
          <w:rFonts w:ascii="Times New Roman" w:hAnsi="Times New Roman" w:cs="Times New Roman"/>
          <w:sz w:val="24"/>
          <w:szCs w:val="24"/>
        </w:rPr>
        <w:instrText xml:space="preserve"> ADDIN ZOTERO_ITEM CSL_CITATION {"citationID":"L6QMhefl","properties":{"formattedCitation":"\\super 18\\nosupersub{}","plainCitation":"18","noteIndex":0},"citationItems":[{"id":482,"uris":["http://zotero.org/users/local/Dew19TPH/items/EIWXV564"],"itemData":{"id":482,"type":"article-journal","abstract":"Unlike fee-for-service (FFS) Medicare, most Medicare Advantage (MA) plans have a preferred network of care providers that serve most of a plan’s enrollees. Little is known about how the quality of care MA enrollees receive differs from that of FFS Medicare enrollees. This article evaluates the differences in the quality of skilled nursing facilities (SNFs) that Medicare Advantage and FFS beneficiaries entered in the period 2012–14. After we controlled for patients’ clinical, demographic, and residential neighborhood effects, we found that FFS Medicare patients have substantially higher probabilities of entering higher-quality SNFs (those rated four or five stars by Nursing Home Compare) and those with lower readmission rates, compared to MA enrollees. The difference between MA and FFS Medicare SNF selections was less for enrollees in higher-quality MA plans than those in lower-quality plans, but Medicare Advantage still guided patients to lower-quality facilities.","container-title":"Health Affairs","DOI":"10.1377/hlthaff.2017.0714","ISSN":"0278-2715, 1544-5208","issue":"1","journalAbbreviation":"Health Affairs","language":"en","page":"78-85","source":"DOI.org (Crossref)","title":"Medicare Advantage Enrollees More Likely To Enter Lower-Quality Nursing Homes Compared To Fee-For-Service Enrollees","volume":"37","author":[{"family":"Meyers","given":"David J."},{"family":"Mor","given":"Vincent"},{"family":"Rahman","given":"Momotazur"}],"issued":{"date-parts":[["2018",1]]}}}],"schema":"https://github.com/citation-style-language/schema/raw/master/csl-citation.json"} </w:instrText>
      </w:r>
      <w:r w:rsidRPr="00A11B6C">
        <w:rPr>
          <w:rFonts w:ascii="Times New Roman" w:hAnsi="Times New Roman" w:cs="Times New Roman"/>
          <w:sz w:val="24"/>
          <w:szCs w:val="24"/>
        </w:rPr>
        <w:fldChar w:fldCharType="separate"/>
      </w:r>
      <w:r w:rsidR="004139C7" w:rsidRPr="00A11B6C">
        <w:rPr>
          <w:rFonts w:ascii="Times New Roman" w:hAnsi="Times New Roman" w:cs="Times New Roman"/>
          <w:kern w:val="0"/>
          <w:sz w:val="24"/>
          <w:szCs w:val="24"/>
          <w:vertAlign w:val="superscript"/>
        </w:rPr>
        <w:t>18</w:t>
      </w:r>
      <w:r w:rsidRPr="00A11B6C">
        <w:rPr>
          <w:rFonts w:ascii="Times New Roman" w:hAnsi="Times New Roman" w:cs="Times New Roman"/>
          <w:sz w:val="24"/>
          <w:szCs w:val="24"/>
        </w:rPr>
        <w:fldChar w:fldCharType="end"/>
      </w:r>
      <w:r w:rsidRPr="00A11B6C">
        <w:rPr>
          <w:rFonts w:ascii="Times New Roman" w:hAnsi="Times New Roman" w:cs="Times New Roman"/>
          <w:sz w:val="24"/>
          <w:szCs w:val="24"/>
        </w:rPr>
        <w:t xml:space="preserve"> </w:t>
      </w:r>
    </w:p>
    <w:p w14:paraId="22DB2616" w14:textId="77777777" w:rsidR="001671C0" w:rsidRDefault="001671C0" w:rsidP="001671C0">
      <w:pPr>
        <w:spacing w:after="0" w:line="480" w:lineRule="auto"/>
        <w:jc w:val="both"/>
        <w:rPr>
          <w:rFonts w:ascii="Times New Roman" w:hAnsi="Times New Roman" w:cs="Times New Roman"/>
          <w:sz w:val="24"/>
          <w:szCs w:val="24"/>
        </w:rPr>
      </w:pPr>
    </w:p>
    <w:p w14:paraId="18DE6D90" w14:textId="45B0989A" w:rsidR="0000049B" w:rsidRPr="00A11B6C" w:rsidRDefault="00741DD6"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Our study </w:t>
      </w:r>
      <w:r w:rsidR="00CE33BE" w:rsidRPr="00A11B6C">
        <w:rPr>
          <w:rFonts w:ascii="Times New Roman" w:hAnsi="Times New Roman" w:cs="Times New Roman"/>
          <w:sz w:val="24"/>
          <w:szCs w:val="24"/>
        </w:rPr>
        <w:t>uses</w:t>
      </w:r>
      <w:r w:rsidRPr="00A11B6C">
        <w:rPr>
          <w:rFonts w:ascii="Times New Roman" w:hAnsi="Times New Roman" w:cs="Times New Roman"/>
          <w:sz w:val="24"/>
          <w:szCs w:val="24"/>
        </w:rPr>
        <w:t xml:space="preserve"> the 2020 reintroduction of ADRD HCC in</w:t>
      </w:r>
      <w:r w:rsidR="00702B00" w:rsidRPr="00A11B6C">
        <w:rPr>
          <w:rFonts w:ascii="Times New Roman" w:hAnsi="Times New Roman" w:cs="Times New Roman"/>
          <w:sz w:val="24"/>
          <w:szCs w:val="24"/>
        </w:rPr>
        <w:t>to</w:t>
      </w:r>
      <w:r w:rsidRPr="00A11B6C">
        <w:rPr>
          <w:rFonts w:ascii="Times New Roman" w:hAnsi="Times New Roman" w:cs="Times New Roman"/>
          <w:sz w:val="24"/>
          <w:szCs w:val="24"/>
        </w:rPr>
        <w:t xml:space="preserve"> the </w:t>
      </w:r>
      <w:r w:rsidR="00F13AD3" w:rsidRPr="00A11B6C">
        <w:rPr>
          <w:rFonts w:ascii="Times New Roman" w:hAnsi="Times New Roman" w:cs="Times New Roman"/>
          <w:sz w:val="24"/>
          <w:szCs w:val="24"/>
        </w:rPr>
        <w:t xml:space="preserve">payment </w:t>
      </w:r>
      <w:r w:rsidRPr="00A11B6C">
        <w:rPr>
          <w:rFonts w:ascii="Times New Roman" w:hAnsi="Times New Roman" w:cs="Times New Roman"/>
          <w:sz w:val="24"/>
          <w:szCs w:val="24"/>
        </w:rPr>
        <w:t xml:space="preserve">model as a pertinent case study to provide insights </w:t>
      </w:r>
      <w:r w:rsidR="00CE33BE" w:rsidRPr="00A11B6C">
        <w:rPr>
          <w:rFonts w:ascii="Times New Roman" w:hAnsi="Times New Roman" w:cs="Times New Roman"/>
          <w:sz w:val="24"/>
          <w:szCs w:val="24"/>
        </w:rPr>
        <w:t>into the</w:t>
      </w:r>
      <w:r w:rsidRPr="00A11B6C">
        <w:rPr>
          <w:rFonts w:ascii="Times New Roman" w:hAnsi="Times New Roman" w:cs="Times New Roman"/>
          <w:sz w:val="24"/>
          <w:szCs w:val="24"/>
        </w:rPr>
        <w:t xml:space="preserve"> underlying recalibration of the risk-adjustment formula.</w:t>
      </w:r>
      <w:r w:rsidR="00380800" w:rsidRPr="00A11B6C">
        <w:rPr>
          <w:rFonts w:ascii="Times New Roman" w:hAnsi="Times New Roman" w:cs="Times New Roman"/>
          <w:sz w:val="24"/>
          <w:szCs w:val="24"/>
        </w:rPr>
        <w:t xml:space="preserve"> We </w:t>
      </w:r>
      <w:r w:rsidRPr="00A11B6C">
        <w:rPr>
          <w:rFonts w:ascii="Times New Roman" w:hAnsi="Times New Roman" w:cs="Times New Roman"/>
          <w:sz w:val="24"/>
          <w:szCs w:val="24"/>
        </w:rPr>
        <w:t>find</w:t>
      </w:r>
      <w:r w:rsidR="0000049B" w:rsidRPr="00A11B6C">
        <w:rPr>
          <w:rFonts w:ascii="Times New Roman" w:hAnsi="Times New Roman" w:cs="Times New Roman"/>
          <w:sz w:val="24"/>
          <w:szCs w:val="24"/>
        </w:rPr>
        <w:t xml:space="preserve"> that the 2020 reintroduction of ADRD HCCs is associated with improved </w:t>
      </w:r>
      <w:r w:rsidR="00F246FF" w:rsidRPr="00A11B6C">
        <w:rPr>
          <w:rFonts w:ascii="Times New Roman" w:hAnsi="Times New Roman" w:cs="Times New Roman"/>
          <w:sz w:val="24"/>
          <w:szCs w:val="24"/>
        </w:rPr>
        <w:t>care</w:t>
      </w:r>
      <w:r w:rsidR="0000049B" w:rsidRPr="00A11B6C">
        <w:rPr>
          <w:rFonts w:ascii="Times New Roman" w:hAnsi="Times New Roman" w:cs="Times New Roman"/>
          <w:sz w:val="24"/>
          <w:szCs w:val="24"/>
        </w:rPr>
        <w:t xml:space="preserve"> access and reduced financial strain among MA beneficiaries with ADRD. </w:t>
      </w:r>
      <w:r w:rsidR="006A76E6" w:rsidRPr="00A11B6C">
        <w:rPr>
          <w:rFonts w:ascii="Times New Roman" w:hAnsi="Times New Roman" w:cs="Times New Roman"/>
          <w:sz w:val="24"/>
          <w:szCs w:val="24"/>
        </w:rPr>
        <w:t xml:space="preserve">These improvements suggest that updating the risk adjustment model to better reflect the costs of chronic and complex conditions can help </w:t>
      </w:r>
      <w:r w:rsidR="009436B9" w:rsidRPr="00A11B6C">
        <w:rPr>
          <w:rFonts w:ascii="Times New Roman" w:hAnsi="Times New Roman" w:cs="Times New Roman"/>
          <w:sz w:val="24"/>
          <w:szCs w:val="24"/>
        </w:rPr>
        <w:t>re</w:t>
      </w:r>
      <w:r w:rsidR="006A76E6" w:rsidRPr="00A11B6C">
        <w:rPr>
          <w:rFonts w:ascii="Times New Roman" w:hAnsi="Times New Roman" w:cs="Times New Roman"/>
          <w:sz w:val="24"/>
          <w:szCs w:val="24"/>
        </w:rPr>
        <w:t>align MA plan incentives with the needs of vulnerable populations</w:t>
      </w:r>
      <w:r w:rsidR="0000049B" w:rsidRPr="00A11B6C">
        <w:rPr>
          <w:rFonts w:ascii="Times New Roman" w:hAnsi="Times New Roman" w:cs="Times New Roman"/>
          <w:sz w:val="24"/>
          <w:szCs w:val="24"/>
        </w:rPr>
        <w:t>. </w:t>
      </w:r>
      <w:r w:rsidR="004B4F7D" w:rsidRPr="00A11B6C">
        <w:rPr>
          <w:rFonts w:ascii="Times New Roman" w:hAnsi="Times New Roman" w:cs="Times New Roman"/>
          <w:sz w:val="24"/>
          <w:szCs w:val="24"/>
        </w:rPr>
        <w:t xml:space="preserve"> </w:t>
      </w:r>
      <w:r w:rsidR="007B261D" w:rsidRPr="00A11B6C">
        <w:rPr>
          <w:rFonts w:ascii="Times New Roman" w:hAnsi="Times New Roman" w:cs="Times New Roman"/>
          <w:sz w:val="24"/>
          <w:szCs w:val="24"/>
        </w:rPr>
        <w:t xml:space="preserve">These findings </w:t>
      </w:r>
      <w:r w:rsidR="0000049B" w:rsidRPr="00A11B6C">
        <w:rPr>
          <w:rFonts w:ascii="Times New Roman" w:hAnsi="Times New Roman" w:cs="Times New Roman"/>
          <w:sz w:val="24"/>
          <w:szCs w:val="24"/>
        </w:rPr>
        <w:t xml:space="preserve">provide a timely assessment </w:t>
      </w:r>
      <w:r w:rsidR="00387E3B" w:rsidRPr="00A11B6C">
        <w:rPr>
          <w:rFonts w:ascii="Times New Roman" w:hAnsi="Times New Roman" w:cs="Times New Roman"/>
          <w:sz w:val="24"/>
          <w:szCs w:val="24"/>
        </w:rPr>
        <w:t xml:space="preserve">of </w:t>
      </w:r>
      <w:r w:rsidR="0000049B" w:rsidRPr="00A11B6C">
        <w:rPr>
          <w:rFonts w:ascii="Times New Roman" w:hAnsi="Times New Roman" w:cs="Times New Roman"/>
          <w:sz w:val="24"/>
          <w:szCs w:val="24"/>
        </w:rPr>
        <w:t>this condition-specific risk adjustment change, inform CMS’s ongoing refinement of risk</w:t>
      </w:r>
      <w:r w:rsidR="00083627" w:rsidRPr="00A11B6C">
        <w:rPr>
          <w:rFonts w:ascii="Times New Roman" w:hAnsi="Times New Roman" w:cs="Times New Roman"/>
          <w:sz w:val="24"/>
          <w:szCs w:val="24"/>
        </w:rPr>
        <w:t>-</w:t>
      </w:r>
      <w:r w:rsidR="0000049B" w:rsidRPr="00A11B6C">
        <w:rPr>
          <w:rFonts w:ascii="Times New Roman" w:hAnsi="Times New Roman" w:cs="Times New Roman"/>
          <w:sz w:val="24"/>
          <w:szCs w:val="24"/>
        </w:rPr>
        <w:t xml:space="preserve">adjusted payment models, and offer insights not only for ADRD but also for other chronic and complex conditions that could benefit from more nuanced risk adjustment. </w:t>
      </w:r>
    </w:p>
    <w:p w14:paraId="55DB4440" w14:textId="77777777" w:rsidR="001671C0" w:rsidRDefault="001671C0" w:rsidP="001671C0">
      <w:pPr>
        <w:spacing w:after="0" w:line="480" w:lineRule="auto"/>
        <w:jc w:val="both"/>
        <w:rPr>
          <w:rFonts w:ascii="Times New Roman" w:hAnsi="Times New Roman" w:cs="Times New Roman"/>
          <w:sz w:val="24"/>
          <w:szCs w:val="24"/>
        </w:rPr>
      </w:pPr>
    </w:p>
    <w:p w14:paraId="4A3E6C7E" w14:textId="4C50E12C" w:rsidR="00B56549" w:rsidRPr="00A11B6C" w:rsidRDefault="00853E73"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Despite these promising results, our study also identifies several areas of concern.</w:t>
      </w:r>
      <w:r w:rsidR="00B56549" w:rsidRPr="00A11B6C">
        <w:rPr>
          <w:rFonts w:ascii="Times New Roman" w:hAnsi="Times New Roman" w:cs="Times New Roman"/>
          <w:sz w:val="24"/>
          <w:szCs w:val="24"/>
        </w:rPr>
        <w:t xml:space="preserve"> For instance, the improvements in access to specialists and overall care quality </w:t>
      </w:r>
      <w:r w:rsidR="003A7245" w:rsidRPr="00A11B6C">
        <w:rPr>
          <w:rFonts w:ascii="Times New Roman" w:hAnsi="Times New Roman" w:cs="Times New Roman"/>
          <w:sz w:val="24"/>
          <w:szCs w:val="24"/>
        </w:rPr>
        <w:t>are</w:t>
      </w:r>
      <w:r w:rsidR="00B56549" w:rsidRPr="00A11B6C">
        <w:rPr>
          <w:rFonts w:ascii="Times New Roman" w:hAnsi="Times New Roman" w:cs="Times New Roman"/>
          <w:sz w:val="24"/>
          <w:szCs w:val="24"/>
        </w:rPr>
        <w:t xml:space="preserve"> limited</w:t>
      </w:r>
      <w:r w:rsidR="00FC5C8D" w:rsidRPr="00A11B6C">
        <w:rPr>
          <w:rFonts w:ascii="Times New Roman" w:hAnsi="Times New Roman" w:cs="Times New Roman"/>
          <w:sz w:val="24"/>
          <w:szCs w:val="24"/>
        </w:rPr>
        <w:t xml:space="preserve"> after the reintroduction of ADRD into risk adjustment</w:t>
      </w:r>
      <w:r w:rsidR="00B56549" w:rsidRPr="00A11B6C">
        <w:rPr>
          <w:rFonts w:ascii="Times New Roman" w:hAnsi="Times New Roman" w:cs="Times New Roman"/>
          <w:sz w:val="24"/>
          <w:szCs w:val="24"/>
        </w:rPr>
        <w:t xml:space="preserve">, and benefits </w:t>
      </w:r>
      <w:r w:rsidR="00B55933" w:rsidRPr="00A11B6C">
        <w:rPr>
          <w:rFonts w:ascii="Times New Roman" w:hAnsi="Times New Roman" w:cs="Times New Roman"/>
          <w:sz w:val="24"/>
          <w:szCs w:val="24"/>
        </w:rPr>
        <w:t>are</w:t>
      </w:r>
      <w:r w:rsidR="00B56549" w:rsidRPr="00A11B6C">
        <w:rPr>
          <w:rFonts w:ascii="Times New Roman" w:hAnsi="Times New Roman" w:cs="Times New Roman"/>
          <w:sz w:val="24"/>
          <w:szCs w:val="24"/>
        </w:rPr>
        <w:t xml:space="preserve"> more pronounced among urban and highly educated populations than among rural or less-educated groups.</w:t>
      </w:r>
      <w:r w:rsidR="006C72BD" w:rsidRPr="00A11B6C">
        <w:rPr>
          <w:rFonts w:ascii="Times New Roman" w:hAnsi="Times New Roman" w:cs="Times New Roman"/>
          <w:sz w:val="24"/>
          <w:szCs w:val="24"/>
        </w:rPr>
        <w:t xml:space="preserve"> These </w:t>
      </w:r>
      <w:r w:rsidR="00D92649" w:rsidRPr="00A11B6C">
        <w:rPr>
          <w:rFonts w:ascii="Times New Roman" w:hAnsi="Times New Roman" w:cs="Times New Roman"/>
          <w:sz w:val="24"/>
          <w:szCs w:val="24"/>
        </w:rPr>
        <w:t>gaps</w:t>
      </w:r>
      <w:r w:rsidR="006C72BD" w:rsidRPr="00A11B6C">
        <w:rPr>
          <w:rFonts w:ascii="Times New Roman" w:hAnsi="Times New Roman" w:cs="Times New Roman"/>
          <w:sz w:val="24"/>
          <w:szCs w:val="24"/>
        </w:rPr>
        <w:t xml:space="preserve"> indicate that while the policy change represents progress, it does not fully overcome systemic barriers to high-quality and comprehensive care for all beneficiaries</w:t>
      </w:r>
      <w:r w:rsidR="00897FFC" w:rsidRPr="00A11B6C">
        <w:rPr>
          <w:rFonts w:ascii="Times New Roman" w:hAnsi="Times New Roman" w:cs="Times New Roman"/>
          <w:sz w:val="24"/>
          <w:szCs w:val="24"/>
        </w:rPr>
        <w:t xml:space="preserve"> with ADRD</w:t>
      </w:r>
      <w:r w:rsidR="006C72BD" w:rsidRPr="00A11B6C">
        <w:rPr>
          <w:rFonts w:ascii="Times New Roman" w:hAnsi="Times New Roman" w:cs="Times New Roman"/>
          <w:sz w:val="24"/>
          <w:szCs w:val="24"/>
        </w:rPr>
        <w:t>.</w:t>
      </w:r>
      <w:r w:rsidR="004A2915" w:rsidRPr="00A11B6C">
        <w:rPr>
          <w:rFonts w:ascii="Times New Roman" w:hAnsi="Times New Roman" w:cs="Times New Roman"/>
          <w:sz w:val="24"/>
          <w:szCs w:val="24"/>
        </w:rPr>
        <w:t xml:space="preserve"> Policymakers should consider complementary strategies</w:t>
      </w:r>
      <w:r w:rsidR="00302A78" w:rsidRPr="00A11B6C">
        <w:rPr>
          <w:rFonts w:ascii="Times New Roman" w:hAnsi="Times New Roman" w:cs="Times New Roman"/>
          <w:sz w:val="24"/>
          <w:szCs w:val="24"/>
        </w:rPr>
        <w:t xml:space="preserve"> - </w:t>
      </w:r>
      <w:r w:rsidR="004A2915" w:rsidRPr="00A11B6C">
        <w:rPr>
          <w:rFonts w:ascii="Times New Roman" w:hAnsi="Times New Roman" w:cs="Times New Roman"/>
          <w:sz w:val="24"/>
          <w:szCs w:val="24"/>
        </w:rPr>
        <w:t>such as enhanced care coordination, expanded provider networks, and ADRD-specific quality metrics (e.g., caregiver support and dementia care training)</w:t>
      </w:r>
      <w:r w:rsidR="00302A78" w:rsidRPr="00A11B6C">
        <w:rPr>
          <w:rFonts w:ascii="Times New Roman" w:hAnsi="Times New Roman" w:cs="Times New Roman"/>
          <w:sz w:val="24"/>
          <w:szCs w:val="24"/>
        </w:rPr>
        <w:t xml:space="preserve"> - </w:t>
      </w:r>
      <w:r w:rsidR="004A2915" w:rsidRPr="00A11B6C">
        <w:rPr>
          <w:rFonts w:ascii="Times New Roman" w:hAnsi="Times New Roman" w:cs="Times New Roman"/>
          <w:sz w:val="24"/>
          <w:szCs w:val="24"/>
        </w:rPr>
        <w:t xml:space="preserve">to further </w:t>
      </w:r>
      <w:r w:rsidR="004A2915" w:rsidRPr="00A11B6C">
        <w:rPr>
          <w:rFonts w:ascii="Times New Roman" w:hAnsi="Times New Roman" w:cs="Times New Roman"/>
          <w:sz w:val="24"/>
          <w:szCs w:val="24"/>
        </w:rPr>
        <w:lastRenderedPageBreak/>
        <w:t>incentivize high-quality</w:t>
      </w:r>
      <w:r w:rsidR="006A2CFB" w:rsidRPr="00A11B6C">
        <w:rPr>
          <w:rFonts w:ascii="Times New Roman" w:hAnsi="Times New Roman" w:cs="Times New Roman"/>
          <w:sz w:val="24"/>
          <w:szCs w:val="24"/>
        </w:rPr>
        <w:t xml:space="preserve"> and</w:t>
      </w:r>
      <w:r w:rsidR="004A2915" w:rsidRPr="00A11B6C">
        <w:rPr>
          <w:rFonts w:ascii="Times New Roman" w:hAnsi="Times New Roman" w:cs="Times New Roman"/>
          <w:sz w:val="24"/>
          <w:szCs w:val="24"/>
        </w:rPr>
        <w:t xml:space="preserve"> comprehensive care</w:t>
      </w:r>
      <w:r w:rsidR="002B4090" w:rsidRPr="00A11B6C">
        <w:rPr>
          <w:rFonts w:ascii="Times New Roman" w:hAnsi="Times New Roman" w:cs="Times New Roman"/>
          <w:sz w:val="24"/>
          <w:szCs w:val="24"/>
        </w:rPr>
        <w:t>, s</w:t>
      </w:r>
      <w:r w:rsidR="004A2915" w:rsidRPr="00A11B6C">
        <w:rPr>
          <w:rFonts w:ascii="Times New Roman" w:hAnsi="Times New Roman" w:cs="Times New Roman"/>
          <w:sz w:val="24"/>
          <w:szCs w:val="24"/>
        </w:rPr>
        <w:t>pecifically for beneficiaries in under-</w:t>
      </w:r>
      <w:r w:rsidR="00360A52" w:rsidRPr="00A11B6C">
        <w:rPr>
          <w:rFonts w:ascii="Times New Roman" w:hAnsi="Times New Roman" w:cs="Times New Roman"/>
          <w:sz w:val="24"/>
          <w:szCs w:val="24"/>
        </w:rPr>
        <w:t>served</w:t>
      </w:r>
      <w:r w:rsidR="004A2915" w:rsidRPr="00A11B6C">
        <w:rPr>
          <w:rFonts w:ascii="Times New Roman" w:hAnsi="Times New Roman" w:cs="Times New Roman"/>
          <w:sz w:val="24"/>
          <w:szCs w:val="24"/>
        </w:rPr>
        <w:t xml:space="preserve"> </w:t>
      </w:r>
      <w:r w:rsidR="009436B9" w:rsidRPr="00A11B6C">
        <w:rPr>
          <w:rFonts w:ascii="Times New Roman" w:hAnsi="Times New Roman" w:cs="Times New Roman"/>
          <w:sz w:val="24"/>
          <w:szCs w:val="24"/>
        </w:rPr>
        <w:t>contexts</w:t>
      </w:r>
      <w:r w:rsidR="004A2915" w:rsidRPr="00A11B6C">
        <w:rPr>
          <w:rFonts w:ascii="Times New Roman" w:hAnsi="Times New Roman" w:cs="Times New Roman"/>
          <w:sz w:val="24"/>
          <w:szCs w:val="24"/>
        </w:rPr>
        <w:t xml:space="preserve">. </w:t>
      </w:r>
    </w:p>
    <w:p w14:paraId="51956445" w14:textId="77777777" w:rsidR="001671C0" w:rsidRDefault="001671C0" w:rsidP="001671C0">
      <w:pPr>
        <w:spacing w:after="0" w:line="480" w:lineRule="auto"/>
        <w:jc w:val="both"/>
        <w:rPr>
          <w:rFonts w:ascii="Times New Roman" w:hAnsi="Times New Roman" w:cs="Times New Roman"/>
          <w:sz w:val="24"/>
          <w:szCs w:val="24"/>
        </w:rPr>
      </w:pPr>
    </w:p>
    <w:p w14:paraId="3D3673AA" w14:textId="57D64156" w:rsidR="00275199" w:rsidRDefault="0037144E"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W</w:t>
      </w:r>
      <w:r w:rsidR="008F43FA" w:rsidRPr="00A11B6C">
        <w:rPr>
          <w:rFonts w:ascii="Times New Roman" w:hAnsi="Times New Roman" w:cs="Times New Roman"/>
          <w:sz w:val="24"/>
          <w:szCs w:val="24"/>
        </w:rPr>
        <w:t>e also acknowledge</w:t>
      </w:r>
      <w:r w:rsidR="001A5972" w:rsidRPr="00A11B6C">
        <w:rPr>
          <w:rFonts w:ascii="Times New Roman" w:hAnsi="Times New Roman" w:cs="Times New Roman"/>
          <w:sz w:val="24"/>
          <w:szCs w:val="24"/>
        </w:rPr>
        <w:t xml:space="preserve"> the need to monitor the unintended consequences of risk adjustment reforms. While the inclusion of ADRD HCCs addresses under-compensation for this population, it is essential to ensure that this adjustment does not inadvertently lead to cost-shifting or restricted benefits in other areas. Policymakers should consider periodic reviews of risk adjustment models to</w:t>
      </w:r>
      <w:r w:rsidR="007D334C" w:rsidRPr="00A11B6C">
        <w:rPr>
          <w:rFonts w:ascii="Times New Roman" w:hAnsi="Times New Roman" w:cs="Times New Roman"/>
          <w:sz w:val="24"/>
          <w:szCs w:val="24"/>
        </w:rPr>
        <w:t xml:space="preserve"> avoid up-coding and </w:t>
      </w:r>
      <w:r w:rsidR="00EF0300" w:rsidRPr="00A11B6C">
        <w:rPr>
          <w:rFonts w:ascii="Times New Roman" w:hAnsi="Times New Roman" w:cs="Times New Roman"/>
          <w:sz w:val="24"/>
          <w:szCs w:val="24"/>
        </w:rPr>
        <w:t>over-</w:t>
      </w:r>
      <w:r w:rsidR="007D334C" w:rsidRPr="00A11B6C">
        <w:rPr>
          <w:rFonts w:ascii="Times New Roman" w:hAnsi="Times New Roman" w:cs="Times New Roman"/>
          <w:sz w:val="24"/>
          <w:szCs w:val="24"/>
        </w:rPr>
        <w:t>diagnosis</w:t>
      </w:r>
      <w:r w:rsidR="0003686F" w:rsidRPr="00A11B6C">
        <w:rPr>
          <w:rFonts w:ascii="Times New Roman" w:hAnsi="Times New Roman" w:cs="Times New Roman"/>
          <w:sz w:val="24"/>
          <w:szCs w:val="24"/>
        </w:rPr>
        <w:t>,</w:t>
      </w:r>
      <w:r w:rsidR="007D334C"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{"citationID":"iHg9I19D","properties":{"formattedCitation":"\\super 8,10,13\\nosupersub{}","plainCitation":"8,10,13","noteIndex":0},"citationItems":[{"id":416,"uris":["http://zotero.org/users/local/Dew19TPH/items/9V3JAQT5"],"itemData":{"id":416,"type":"article-journal","abstract":"In 2020 Medicare reintroduced Alzheimer’s disease and related dementias (ADRD) Hierarchical Condition Categories (HCCs) to riskadjust Medicare Advantage and accountable care organization (ACO) payments. The potential for Medicare spending increases from this policy change are not well understood because the baseline accuracy of ADRD HCCs is uncertain. Using linked 2016–18 claims and electronic health record data from a large ACO, we evaluated the accuracy of claims-based ADRD HCCs against a reference standard of clinician-adjudicated disease. An estimated 7.5 percent of beneficiaries had clinician-adjudicated ADRD. Among those with ADRD HCCs, 34 percent did not have clinicianadjudicated disease. The false-negative and false-positive rates were 22.7 percent and 3.2 percent, respectively. Medicare spending for those with false-negative ADRD HCCs exceeded that of true positives by $14,619 per beneficiary. If, after the reintroduction of risk adjustment for ADRD, all false negatives were coded as having ADRD, expenditure benchmarks for beneficiaries with ADRD would increase by 9 percent. Monitoring ADRD coding could become challenging in the setting of concurrent incentives to decrease false-negative rates and increase false-positive rates.","container-title":"Health Affairs","DOI":"10.1377/hlthaff.2022.00185","ISSN":"0278-2715, 1544-5208","issue":"9","journalAbbreviation":"Health Affairs","language":"en","page":"1324-1332","source":"DOI.org (Crossref)","title":"Evaluating The Accuracy Of Medicare Risk Adjustment For Alzheimer’s Disease And Related Dementias: Study examines the accuracy of Medicare Advantage and ACO payments of Alzheimer's Disease and related dementias claims.","title-short":"Evaluating The Accuracy Of Medicare Risk Adjustment For Alzheimer’s Disease And Related Dementias","volume":"41","author":[{"family":"Festa","given":"Natalia"},{"family":"Price","given":"Mary"},{"family":"Weiss","given":"Max"},{"family":"Moura","given":"Lidia M. V. R."},{"family":"Benson","given":"Nicole M."},{"family":"Zafar","given":"Sahar"},{"family":"Blacker","given":"Deborah"},{"family":"Normand","given":"Sharon-Lise T."},{"family":"Newhouse","given":"Joseph P."},{"family":"Hsu","given":"John"}],"issued":{"date-parts":[["2022",9,1]]}}},{"id":504,"uris":["http://zotero.org/users/local/Dew19TPH/items/DRSSWBFI"],"itemData":{"id":504,"type":"article-journal","container-title":"Journal of Political Economy","issue":"3","language":"en","page":"984-1026","source":"Zotero","title":"Upcoding: Evidence from Medicare on Squishy Risk Adjustment","volume":"128","author":[{"family":"Geruso","given":"Michael"},{"family":"Layton","given":"Timothy"}]}},{"id":593,"uris":["http://zotero.org/users/local/Dew19TPH/items/X7M6YB2G"],"itemData":{"id":593,"type":"article-journal","abstract":"In 2020, the Centers for Medicare and Medicaid Services reintroduced Alzheimer’s disease and related dementias to its riskadjustment payment model for Medicare Advantage (MA) plans. Using 2017–20 data for 100 percent of community-dwelling beneficiaries enrolled in Medicare, we evaluated how the reintroduction of dementia to the risk-adjustment model affected rates of new (incident) dementia diagnoses among beneficiaries enrolled in MA relative to those enrolled in traditional Medicare. In response to the payment change, annual incident dementia diagnosis rates in MA increased by 11.5 percent relative to traditional Medicare. This increase was concentrated among beneficiaries who were more likely to have undiagnosed dementia—specifically, beneficiaries who were Hispanic or Black, were ages eightyfive and older, or were dually eligible for Medicaid or received a Part D low-income subsidy. Only a third of the increase came through chart reviews. Financial incentives to detect dementia increased dementia diagnoses, particularly among beneficiaries at high risk for dementia and undetected dementia, but questions remain about potential overdiagnosis or upcoding.","container-title":"Health Affairs","DOI":"10.1377/hlthaff.2024.00723","ISSN":"0278-2715, 1544-5208","issue":"1","journalAbbreviation":"Health Affairs","language":"en","page":"81-89","source":"DOI.org (Crossref)","title":"After Risk-Adjustment Change, Dementia Diagnoses Increased In Medicare Advantage Relative To Traditional Medicare: Article examines dementia diagnosis in Medicare Advantage after risk-adjustment change","title-short":"After Risk-Adjustment Change, Dementia Diagnoses Increased In Medicare Advantage Relative To Traditional Medicare","volume":"44","author":[{"family":"Haye","given":"Sidra"},{"family":"Jacobson","given":"Mireille"},{"family":"Joyce","given":"Geoffrey"},{"family":"Zissimopoulos","given":"Julie M."}],"issued":{"date-parts":[["2025",1,1]]}}}],"schema":"https://github.com/citation-style-language/schema/raw/master/csl-citation.json"} </w:instrText>
      </w:r>
      <w:r w:rsidR="007D334C"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8,10,13</w:t>
      </w:r>
      <w:r w:rsidR="007D334C" w:rsidRPr="00A11B6C">
        <w:rPr>
          <w:rFonts w:ascii="Times New Roman" w:hAnsi="Times New Roman" w:cs="Times New Roman"/>
          <w:sz w:val="24"/>
          <w:szCs w:val="24"/>
        </w:rPr>
        <w:fldChar w:fldCharType="end"/>
      </w:r>
      <w:r w:rsidR="007D334C" w:rsidRPr="00A11B6C">
        <w:rPr>
          <w:rFonts w:ascii="Times New Roman" w:hAnsi="Times New Roman" w:cs="Times New Roman"/>
          <w:sz w:val="24"/>
          <w:szCs w:val="24"/>
        </w:rPr>
        <w:t xml:space="preserve"> ensuring</w:t>
      </w:r>
      <w:r w:rsidR="001A5972" w:rsidRPr="00A11B6C">
        <w:rPr>
          <w:rFonts w:ascii="Times New Roman" w:hAnsi="Times New Roman" w:cs="Times New Roman"/>
          <w:sz w:val="24"/>
          <w:szCs w:val="24"/>
        </w:rPr>
        <w:t xml:space="preserve"> </w:t>
      </w:r>
      <w:r w:rsidR="0035383D" w:rsidRPr="00A11B6C">
        <w:rPr>
          <w:rFonts w:ascii="Times New Roman" w:hAnsi="Times New Roman" w:cs="Times New Roman"/>
          <w:sz w:val="24"/>
          <w:szCs w:val="24"/>
        </w:rPr>
        <w:t xml:space="preserve">a </w:t>
      </w:r>
      <w:r w:rsidR="001A5972" w:rsidRPr="00A11B6C">
        <w:rPr>
          <w:rFonts w:ascii="Times New Roman" w:hAnsi="Times New Roman" w:cs="Times New Roman"/>
          <w:sz w:val="24"/>
          <w:szCs w:val="24"/>
        </w:rPr>
        <w:t xml:space="preserve">balance </w:t>
      </w:r>
      <w:r w:rsidR="0035383D" w:rsidRPr="00A11B6C">
        <w:rPr>
          <w:rFonts w:ascii="Times New Roman" w:hAnsi="Times New Roman" w:cs="Times New Roman"/>
          <w:sz w:val="24"/>
          <w:szCs w:val="24"/>
        </w:rPr>
        <w:t xml:space="preserve">of </w:t>
      </w:r>
      <w:r w:rsidR="001A5972" w:rsidRPr="00A11B6C">
        <w:rPr>
          <w:rFonts w:ascii="Times New Roman" w:hAnsi="Times New Roman" w:cs="Times New Roman"/>
          <w:sz w:val="24"/>
          <w:szCs w:val="24"/>
        </w:rPr>
        <w:t>financial sustainability and equity in care delivery.</w:t>
      </w:r>
    </w:p>
    <w:p w14:paraId="5BAD097E" w14:textId="77777777" w:rsidR="001671C0" w:rsidRPr="00A11B6C" w:rsidRDefault="001671C0" w:rsidP="001671C0">
      <w:pPr>
        <w:spacing w:after="0" w:line="480" w:lineRule="auto"/>
        <w:jc w:val="both"/>
        <w:rPr>
          <w:rFonts w:ascii="Times New Roman" w:hAnsi="Times New Roman" w:cs="Times New Roman"/>
          <w:sz w:val="24"/>
          <w:szCs w:val="24"/>
        </w:rPr>
      </w:pPr>
    </w:p>
    <w:p w14:paraId="37EAB205" w14:textId="4187B6AC" w:rsidR="001D613F" w:rsidRPr="00611241" w:rsidRDefault="001D613F" w:rsidP="00A11B6C">
      <w:pPr>
        <w:pStyle w:val="Heading3"/>
        <w:spacing w:before="0" w:after="0" w:line="480" w:lineRule="auto"/>
        <w:rPr>
          <w:rFonts w:cs="Times New Roman"/>
          <w:b w:val="0"/>
          <w:i/>
          <w:iCs/>
          <w:color w:val="000000" w:themeColor="text1"/>
          <w:szCs w:val="24"/>
        </w:rPr>
      </w:pPr>
      <w:r w:rsidRPr="00611241">
        <w:rPr>
          <w:rFonts w:cs="Times New Roman"/>
          <w:b w:val="0"/>
          <w:i/>
          <w:iCs/>
          <w:color w:val="000000" w:themeColor="text1"/>
          <w:szCs w:val="24"/>
        </w:rPr>
        <w:t>Limitations</w:t>
      </w:r>
    </w:p>
    <w:p w14:paraId="67BB07D8" w14:textId="44DD5A77" w:rsidR="00120108" w:rsidRPr="00A11B6C" w:rsidRDefault="00F65C8F"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O</w:t>
      </w:r>
      <w:r w:rsidR="00C0585D" w:rsidRPr="00A11B6C">
        <w:rPr>
          <w:rFonts w:ascii="Times New Roman" w:hAnsi="Times New Roman" w:cs="Times New Roman"/>
          <w:sz w:val="24"/>
          <w:szCs w:val="24"/>
        </w:rPr>
        <w:t xml:space="preserve">ur analysis </w:t>
      </w:r>
      <w:r w:rsidR="004D30EF" w:rsidRPr="00A11B6C">
        <w:rPr>
          <w:rFonts w:ascii="Times New Roman" w:hAnsi="Times New Roman" w:cs="Times New Roman"/>
          <w:sz w:val="24"/>
          <w:szCs w:val="24"/>
        </w:rPr>
        <w:t>has some</w:t>
      </w:r>
      <w:r w:rsidR="00A74206" w:rsidRPr="00A11B6C">
        <w:rPr>
          <w:rFonts w:ascii="Times New Roman" w:hAnsi="Times New Roman" w:cs="Times New Roman"/>
          <w:sz w:val="24"/>
          <w:szCs w:val="24"/>
        </w:rPr>
        <w:t xml:space="preserve"> </w:t>
      </w:r>
      <w:r w:rsidR="00C0585D" w:rsidRPr="00A11B6C">
        <w:rPr>
          <w:rFonts w:ascii="Times New Roman" w:hAnsi="Times New Roman" w:cs="Times New Roman"/>
          <w:sz w:val="24"/>
          <w:szCs w:val="24"/>
        </w:rPr>
        <w:t>limitations</w:t>
      </w:r>
      <w:r w:rsidR="00C061EA" w:rsidRPr="00A11B6C">
        <w:rPr>
          <w:rFonts w:ascii="Times New Roman" w:hAnsi="Times New Roman" w:cs="Times New Roman"/>
          <w:sz w:val="24"/>
          <w:szCs w:val="24"/>
        </w:rPr>
        <w:t xml:space="preserve">. First, </w:t>
      </w:r>
      <w:r w:rsidR="00F6174D" w:rsidRPr="00A11B6C">
        <w:rPr>
          <w:rFonts w:ascii="Times New Roman" w:hAnsi="Times New Roman" w:cs="Times New Roman"/>
          <w:sz w:val="24"/>
          <w:szCs w:val="24"/>
        </w:rPr>
        <w:t xml:space="preserve">we cannot directly observe </w:t>
      </w:r>
      <w:r w:rsidR="004D30EF" w:rsidRPr="00A11B6C">
        <w:rPr>
          <w:rFonts w:ascii="Times New Roman" w:hAnsi="Times New Roman" w:cs="Times New Roman"/>
          <w:sz w:val="24"/>
          <w:szCs w:val="24"/>
        </w:rPr>
        <w:t>enrollment</w:t>
      </w:r>
      <w:r w:rsidR="00F6174D" w:rsidRPr="00A11B6C">
        <w:rPr>
          <w:rFonts w:ascii="Times New Roman" w:hAnsi="Times New Roman" w:cs="Times New Roman"/>
          <w:sz w:val="24"/>
          <w:szCs w:val="24"/>
        </w:rPr>
        <w:t xml:space="preserve"> </w:t>
      </w:r>
      <w:r w:rsidR="004D30EF" w:rsidRPr="00A11B6C">
        <w:rPr>
          <w:rFonts w:ascii="Times New Roman" w:hAnsi="Times New Roman" w:cs="Times New Roman"/>
          <w:sz w:val="24"/>
          <w:szCs w:val="24"/>
        </w:rPr>
        <w:t xml:space="preserve">and diagnosis </w:t>
      </w:r>
      <w:r w:rsidR="00F6174D" w:rsidRPr="00A11B6C">
        <w:rPr>
          <w:rFonts w:ascii="Times New Roman" w:hAnsi="Times New Roman" w:cs="Times New Roman"/>
          <w:sz w:val="24"/>
          <w:szCs w:val="24"/>
        </w:rPr>
        <w:t>tim</w:t>
      </w:r>
      <w:r w:rsidR="004D30EF" w:rsidRPr="00A11B6C">
        <w:rPr>
          <w:rFonts w:ascii="Times New Roman" w:hAnsi="Times New Roman" w:cs="Times New Roman"/>
          <w:sz w:val="24"/>
          <w:szCs w:val="24"/>
        </w:rPr>
        <w:t>ing</w:t>
      </w:r>
      <w:r w:rsidR="00DC2C51" w:rsidRPr="00A11B6C">
        <w:rPr>
          <w:rFonts w:ascii="Times New Roman" w:hAnsi="Times New Roman" w:cs="Times New Roman"/>
          <w:sz w:val="24"/>
          <w:szCs w:val="24"/>
        </w:rPr>
        <w:t xml:space="preserve">, which </w:t>
      </w:r>
      <w:r w:rsidR="00941EB0" w:rsidRPr="00A11B6C">
        <w:rPr>
          <w:rFonts w:ascii="Times New Roman" w:hAnsi="Times New Roman" w:cs="Times New Roman"/>
          <w:sz w:val="24"/>
          <w:szCs w:val="24"/>
        </w:rPr>
        <w:t xml:space="preserve">limits our ability to address the potential compositional changes in </w:t>
      </w:r>
      <w:r w:rsidR="002D71B2" w:rsidRPr="00A11B6C">
        <w:rPr>
          <w:rFonts w:ascii="Times New Roman" w:hAnsi="Times New Roman" w:cs="Times New Roman"/>
          <w:sz w:val="24"/>
          <w:szCs w:val="24"/>
        </w:rPr>
        <w:t xml:space="preserve">the </w:t>
      </w:r>
      <w:r w:rsidR="00941EB0" w:rsidRPr="00A11B6C">
        <w:rPr>
          <w:rFonts w:ascii="Times New Roman" w:hAnsi="Times New Roman" w:cs="Times New Roman"/>
          <w:sz w:val="24"/>
          <w:szCs w:val="24"/>
        </w:rPr>
        <w:t xml:space="preserve">treatment group </w:t>
      </w:r>
      <w:r w:rsidR="002D71B2" w:rsidRPr="00A11B6C">
        <w:rPr>
          <w:rFonts w:ascii="Times New Roman" w:hAnsi="Times New Roman" w:cs="Times New Roman"/>
          <w:sz w:val="24"/>
          <w:szCs w:val="24"/>
        </w:rPr>
        <w:t>-</w:t>
      </w:r>
      <w:r w:rsidR="00941EB0" w:rsidRPr="00A11B6C">
        <w:rPr>
          <w:rFonts w:ascii="Times New Roman" w:hAnsi="Times New Roman" w:cs="Times New Roman"/>
          <w:sz w:val="24"/>
          <w:szCs w:val="24"/>
        </w:rPr>
        <w:t xml:space="preserve"> specifically, an increasing rate of dementia diagnoses in MA </w:t>
      </w:r>
      <w:r w:rsidR="00C72926" w:rsidRPr="00A11B6C">
        <w:rPr>
          <w:rFonts w:ascii="Times New Roman" w:hAnsi="Times New Roman" w:cs="Times New Roman"/>
          <w:sz w:val="24"/>
          <w:szCs w:val="24"/>
        </w:rPr>
        <w:t xml:space="preserve">beneficiaries who </w:t>
      </w:r>
      <w:r w:rsidR="003C2836" w:rsidRPr="00A11B6C">
        <w:rPr>
          <w:rFonts w:ascii="Times New Roman" w:hAnsi="Times New Roman" w:cs="Times New Roman"/>
          <w:sz w:val="24"/>
          <w:szCs w:val="24"/>
        </w:rPr>
        <w:t>are</w:t>
      </w:r>
      <w:r w:rsidR="00C72926" w:rsidRPr="00A11B6C">
        <w:rPr>
          <w:rFonts w:ascii="Times New Roman" w:hAnsi="Times New Roman" w:cs="Times New Roman"/>
          <w:sz w:val="24"/>
          <w:szCs w:val="24"/>
        </w:rPr>
        <w:t xml:space="preserve"> Hispanic or Black, dual-eligible, or received low-income subsid</w:t>
      </w:r>
      <w:r w:rsidR="0011280D" w:rsidRPr="00A11B6C">
        <w:rPr>
          <w:rFonts w:ascii="Times New Roman" w:hAnsi="Times New Roman" w:cs="Times New Roman"/>
          <w:sz w:val="24"/>
          <w:szCs w:val="24"/>
        </w:rPr>
        <w:t>ies</w:t>
      </w:r>
      <w:r w:rsidR="00C72926" w:rsidRPr="00A11B6C">
        <w:rPr>
          <w:rFonts w:ascii="Times New Roman" w:hAnsi="Times New Roman" w:cs="Times New Roman"/>
          <w:sz w:val="24"/>
          <w:szCs w:val="24"/>
        </w:rPr>
        <w:t xml:space="preserve"> </w:t>
      </w:r>
      <w:r w:rsidR="00941EB0" w:rsidRPr="00A11B6C">
        <w:rPr>
          <w:rFonts w:ascii="Times New Roman" w:hAnsi="Times New Roman" w:cs="Times New Roman"/>
          <w:sz w:val="24"/>
          <w:szCs w:val="24"/>
        </w:rPr>
        <w:t>following the 2020 payment model change.</w:t>
      </w:r>
      <w:r w:rsidR="00941EB0" w:rsidRPr="00A11B6C">
        <w:rPr>
          <w:rFonts w:ascii="Times New Roman" w:hAnsi="Times New Roman" w:cs="Times New Roman"/>
          <w:sz w:val="24"/>
          <w:szCs w:val="24"/>
        </w:rPr>
        <w:fldChar w:fldCharType="begin"/>
      </w:r>
      <w:r w:rsidR="00F4135E" w:rsidRPr="00A11B6C">
        <w:rPr>
          <w:rFonts w:ascii="Times New Roman" w:hAnsi="Times New Roman" w:cs="Times New Roman"/>
          <w:sz w:val="24"/>
          <w:szCs w:val="24"/>
        </w:rPr>
        <w:instrText xml:space="preserve"> ADDIN ZOTERO_ITEM CSL_CITATION {"citationID":"MD5HWzkv","properties":{"formattedCitation":"\\super 8,10\\nosupersub{}","plainCitation":"8,10","noteIndex":0},"citationItems":[{"id":416,"uris":["http://zotero.org/users/local/Dew19TPH/items/9V3JAQT5"],"itemData":{"id":416,"type":"article-journal","abstract":"In 2020 Medicare reintroduced Alzheimer’s disease and related dementias (ADRD) Hierarchical Condition Categories (HCCs) to riskadjust Medicare Advantage and accountable care organization (ACO) payments. The potential for Medicare spending increases from this policy change are not well understood because the baseline accuracy of ADRD HCCs is uncertain. Using linked 2016–18 claims and electronic health record data from a large ACO, we evaluated the accuracy of claims-based ADRD HCCs against a reference standard of clinician-adjudicated disease. An estimated 7.5 percent of beneficiaries had clinician-adjudicated ADRD. Among those with ADRD HCCs, 34 percent did not have clinicianadjudicated disease. The false-negative and false-positive rates were 22.7 percent and 3.2 percent, respectively. Medicare spending for those with false-negative ADRD HCCs exceeded that of true positives by $14,619 per beneficiary. If, after the reintroduction of risk adjustment for ADRD, all false negatives were coded as having ADRD, expenditure benchmarks for beneficiaries with ADRD would increase by 9 percent. Monitoring ADRD coding could become challenging in the setting of concurrent incentives to decrease false-negative rates and increase false-positive rates.","container-title":"Health Affairs","DOI":"10.1377/hlthaff.2022.00185","ISSN":"0278-2715, 1544-5208","issue":"9","journalAbbreviation":"Health Affairs","language":"en","page":"1324-1332","source":"DOI.org (Crossref)","title":"Evaluating The Accuracy Of Medicare Risk Adjustment For Alzheimer’s Disease And Related Dementias: Study examines the accuracy of Medicare Advantage and ACO payments of Alzheimer's Disease and related dementias claims.","title-short":"Evaluating The Accuracy Of Medicare Risk Adjustment For Alzheimer’s Disease And Related Dementias","volume":"41","author":[{"family":"Festa","given":"Natalia"},{"family":"Price","given":"Mary"},{"family":"Weiss","given":"Max"},{"family":"Moura","given":"Lidia M. V. R."},{"family":"Benson","given":"Nicole M."},{"family":"Zafar","given":"Sahar"},{"family":"Blacker","given":"Deborah"},{"family":"Normand","given":"Sharon-Lise T."},{"family":"Newhouse","given":"Joseph P."},{"family":"Hsu","given":"John"}],"issued":{"date-parts":[["2022",9,1]]}}},{"id":593,"uris":["http://zotero.org/users/local/Dew19TPH/items/X7M6YB2G"],"itemData":{"id":593,"type":"article-journal","abstract":"In 2020, the Centers for Medicare and Medicaid Services reintroduced Alzheimer’s disease and related dementias to its riskadjustment payment model for Medicare Advantage (MA) plans. Using 2017–20 data for 100 percent of community-dwelling beneficiaries enrolled in Medicare, we evaluated how the reintroduction of dementia to the risk-adjustment model affected rates of new (incident) dementia diagnoses among beneficiaries enrolled in MA relative to those enrolled in traditional Medicare. In response to the payment change, annual incident dementia diagnosis rates in MA increased by 11.5 percent relative to traditional Medicare. This increase was concentrated among beneficiaries who were more likely to have undiagnosed dementia—specifically, beneficiaries who were Hispanic or Black, were ages eightyfive and older, or were dually eligible for Medicaid or received a Part D low-income subsidy. Only a third of the increase came through chart reviews. Financial incentives to detect dementia increased dementia diagnoses, particularly among beneficiaries at high risk for dementia and undetected dementia, but questions remain about potential overdiagnosis or upcoding.","container-title":"Health Affairs","DOI":"10.1377/hlthaff.2024.00723","ISSN":"0278-2715, 1544-5208","issue":"1","journalAbbreviation":"Health Affairs","language":"en","page":"81-89","source":"DOI.org (Crossref)","title":"After Risk-Adjustment Change, Dementia Diagnoses Increased In Medicare Advantage Relative To Traditional Medicare: Article examines dementia diagnosis in Medicare Advantage after risk-adjustment change","title-short":"After Risk-Adjustment Change, Dementia Diagnoses Increased In Medicare Advantage Relative To Traditional Medicare","volume":"44","author":[{"family":"Haye","given":"Sidra"},{"family":"Jacobson","given":"Mireille"},{"family":"Joyce","given":"Geoffrey"},{"family":"Zissimopoulos","given":"Julie M."}],"issued":{"date-parts":[["2025",1,1]]}}}],"schema":"https://github.com/citation-style-language/schema/raw/master/csl-citation.json"} </w:instrText>
      </w:r>
      <w:r w:rsidR="00941EB0" w:rsidRPr="00A11B6C">
        <w:rPr>
          <w:rFonts w:ascii="Times New Roman" w:hAnsi="Times New Roman" w:cs="Times New Roman"/>
          <w:sz w:val="24"/>
          <w:szCs w:val="24"/>
        </w:rPr>
        <w:fldChar w:fldCharType="separate"/>
      </w:r>
      <w:r w:rsidR="00F4135E" w:rsidRPr="00A11B6C">
        <w:rPr>
          <w:rFonts w:ascii="Times New Roman" w:hAnsi="Times New Roman" w:cs="Times New Roman"/>
          <w:kern w:val="0"/>
          <w:sz w:val="24"/>
          <w:szCs w:val="24"/>
          <w:vertAlign w:val="superscript"/>
        </w:rPr>
        <w:t>8,10</w:t>
      </w:r>
      <w:r w:rsidR="00941EB0" w:rsidRPr="00A11B6C">
        <w:rPr>
          <w:rFonts w:ascii="Times New Roman" w:hAnsi="Times New Roman" w:cs="Times New Roman"/>
          <w:sz w:val="24"/>
          <w:szCs w:val="24"/>
        </w:rPr>
        <w:fldChar w:fldCharType="end"/>
      </w:r>
      <w:r w:rsidR="00941EB0" w:rsidRPr="00A11B6C">
        <w:rPr>
          <w:rFonts w:ascii="Times New Roman" w:hAnsi="Times New Roman" w:cs="Times New Roman"/>
          <w:sz w:val="24"/>
          <w:szCs w:val="24"/>
        </w:rPr>
        <w:t xml:space="preserve"> Because these groups are more likely to face access and payment challenges, their increased representation in the post-2020 treatment group may lead to an underestimation </w:t>
      </w:r>
      <w:r w:rsidR="00C130C9" w:rsidRPr="00A11B6C">
        <w:rPr>
          <w:rFonts w:ascii="Times New Roman" w:hAnsi="Times New Roman" w:cs="Times New Roman"/>
          <w:sz w:val="24"/>
          <w:szCs w:val="24"/>
        </w:rPr>
        <w:t>of</w:t>
      </w:r>
      <w:r w:rsidR="00941EB0" w:rsidRPr="00A11B6C">
        <w:rPr>
          <w:rFonts w:ascii="Times New Roman" w:hAnsi="Times New Roman" w:cs="Times New Roman"/>
          <w:sz w:val="24"/>
          <w:szCs w:val="24"/>
        </w:rPr>
        <w:t xml:space="preserve"> our estimates. </w:t>
      </w:r>
      <w:r w:rsidR="006800CF" w:rsidRPr="00A11B6C">
        <w:rPr>
          <w:rFonts w:ascii="Times New Roman" w:hAnsi="Times New Roman" w:cs="Times New Roman"/>
          <w:sz w:val="24"/>
          <w:szCs w:val="24"/>
        </w:rPr>
        <w:t>Second</w:t>
      </w:r>
      <w:r w:rsidR="00AD4906" w:rsidRPr="00A11B6C">
        <w:rPr>
          <w:rFonts w:ascii="Times New Roman" w:hAnsi="Times New Roman" w:cs="Times New Roman"/>
          <w:sz w:val="24"/>
          <w:szCs w:val="24"/>
        </w:rPr>
        <w:t xml:space="preserve">, </w:t>
      </w:r>
      <w:r w:rsidR="00941EB0" w:rsidRPr="00A11B6C">
        <w:rPr>
          <w:rFonts w:ascii="Times New Roman" w:hAnsi="Times New Roman" w:cs="Times New Roman"/>
          <w:sz w:val="24"/>
          <w:szCs w:val="24"/>
        </w:rPr>
        <w:t>our estimates represent average associations across beneficiaries with varying levels of disease severity.</w:t>
      </w:r>
      <w:r w:rsidR="00700274" w:rsidRPr="00A11B6C">
        <w:rPr>
          <w:rFonts w:ascii="Times New Roman" w:hAnsi="Times New Roman" w:cs="Times New Roman"/>
          <w:sz w:val="24"/>
          <w:szCs w:val="24"/>
        </w:rPr>
        <w:t xml:space="preserve"> </w:t>
      </w:r>
      <w:r w:rsidR="00B75AC4" w:rsidRPr="00A11B6C">
        <w:rPr>
          <w:rFonts w:ascii="Times New Roman" w:hAnsi="Times New Roman" w:cs="Times New Roman"/>
          <w:sz w:val="24"/>
          <w:szCs w:val="24"/>
        </w:rPr>
        <w:t>F</w:t>
      </w:r>
      <w:r w:rsidR="00120108" w:rsidRPr="00A11B6C">
        <w:rPr>
          <w:rFonts w:ascii="Times New Roman" w:hAnsi="Times New Roman" w:cs="Times New Roman"/>
          <w:sz w:val="24"/>
          <w:szCs w:val="24"/>
        </w:rPr>
        <w:t xml:space="preserve">uture research </w:t>
      </w:r>
      <w:r w:rsidR="00700274" w:rsidRPr="00A11B6C">
        <w:rPr>
          <w:rFonts w:ascii="Times New Roman" w:hAnsi="Times New Roman" w:cs="Times New Roman"/>
          <w:sz w:val="24"/>
          <w:szCs w:val="24"/>
        </w:rPr>
        <w:t>using</w:t>
      </w:r>
      <w:r w:rsidR="00120108" w:rsidRPr="00A11B6C">
        <w:rPr>
          <w:rFonts w:ascii="Times New Roman" w:hAnsi="Times New Roman" w:cs="Times New Roman"/>
          <w:sz w:val="24"/>
          <w:szCs w:val="24"/>
        </w:rPr>
        <w:t xml:space="preserve"> individual longitudinal data </w:t>
      </w:r>
      <w:r w:rsidR="00446AB8" w:rsidRPr="00A11B6C">
        <w:rPr>
          <w:rFonts w:ascii="Times New Roman" w:hAnsi="Times New Roman" w:cs="Times New Roman"/>
          <w:sz w:val="24"/>
          <w:szCs w:val="24"/>
        </w:rPr>
        <w:t>to track</w:t>
      </w:r>
      <w:r w:rsidR="00120108" w:rsidRPr="00A11B6C">
        <w:rPr>
          <w:rFonts w:ascii="Times New Roman" w:hAnsi="Times New Roman" w:cs="Times New Roman"/>
          <w:sz w:val="24"/>
          <w:szCs w:val="24"/>
        </w:rPr>
        <w:t xml:space="preserve"> </w:t>
      </w:r>
      <w:r w:rsidR="00107EBF" w:rsidRPr="00A11B6C">
        <w:rPr>
          <w:rFonts w:ascii="Times New Roman" w:hAnsi="Times New Roman" w:cs="Times New Roman"/>
          <w:sz w:val="24"/>
          <w:szCs w:val="24"/>
        </w:rPr>
        <w:t xml:space="preserve">within-person </w:t>
      </w:r>
      <w:r w:rsidR="00120108" w:rsidRPr="00A11B6C">
        <w:rPr>
          <w:rFonts w:ascii="Times New Roman" w:hAnsi="Times New Roman" w:cs="Times New Roman"/>
          <w:sz w:val="24"/>
          <w:szCs w:val="24"/>
        </w:rPr>
        <w:t xml:space="preserve">changes over time </w:t>
      </w:r>
      <w:r w:rsidR="00700274" w:rsidRPr="00A11B6C">
        <w:rPr>
          <w:rFonts w:ascii="Times New Roman" w:hAnsi="Times New Roman" w:cs="Times New Roman"/>
          <w:sz w:val="24"/>
          <w:szCs w:val="24"/>
        </w:rPr>
        <w:t>would</w:t>
      </w:r>
      <w:r w:rsidR="00120108" w:rsidRPr="00A11B6C">
        <w:rPr>
          <w:rFonts w:ascii="Times New Roman" w:hAnsi="Times New Roman" w:cs="Times New Roman"/>
          <w:sz w:val="24"/>
          <w:szCs w:val="24"/>
        </w:rPr>
        <w:t xml:space="preserve"> provide more </w:t>
      </w:r>
      <w:r w:rsidR="00700274" w:rsidRPr="00A11B6C">
        <w:rPr>
          <w:rFonts w:ascii="Times New Roman" w:hAnsi="Times New Roman" w:cs="Times New Roman"/>
          <w:sz w:val="24"/>
          <w:szCs w:val="24"/>
        </w:rPr>
        <w:t>robust</w:t>
      </w:r>
      <w:r w:rsidR="00120108" w:rsidRPr="00A11B6C">
        <w:rPr>
          <w:rFonts w:ascii="Times New Roman" w:hAnsi="Times New Roman" w:cs="Times New Roman"/>
          <w:sz w:val="24"/>
          <w:szCs w:val="24"/>
        </w:rPr>
        <w:t xml:space="preserve"> evidence</w:t>
      </w:r>
      <w:r w:rsidR="00700274" w:rsidRPr="00A11B6C">
        <w:rPr>
          <w:rFonts w:ascii="Times New Roman" w:hAnsi="Times New Roman" w:cs="Times New Roman"/>
          <w:sz w:val="24"/>
          <w:szCs w:val="24"/>
        </w:rPr>
        <w:t xml:space="preserve">, overcoming the lack </w:t>
      </w:r>
      <w:r w:rsidR="00A97F2F" w:rsidRPr="00A11B6C">
        <w:rPr>
          <w:rFonts w:ascii="Times New Roman" w:hAnsi="Times New Roman" w:cs="Times New Roman"/>
          <w:sz w:val="24"/>
          <w:szCs w:val="24"/>
        </w:rPr>
        <w:t xml:space="preserve">of </w:t>
      </w:r>
      <w:r w:rsidR="00700274" w:rsidRPr="00A11B6C">
        <w:rPr>
          <w:rFonts w:ascii="Times New Roman" w:hAnsi="Times New Roman" w:cs="Times New Roman"/>
          <w:sz w:val="24"/>
          <w:szCs w:val="24"/>
        </w:rPr>
        <w:t xml:space="preserve">unique individual identifiers in </w:t>
      </w:r>
      <w:r w:rsidR="002D71B2" w:rsidRPr="00A11B6C">
        <w:rPr>
          <w:rFonts w:ascii="Times New Roman" w:hAnsi="Times New Roman" w:cs="Times New Roman"/>
          <w:sz w:val="24"/>
          <w:szCs w:val="24"/>
        </w:rPr>
        <w:t xml:space="preserve">the </w:t>
      </w:r>
      <w:r w:rsidR="00700274" w:rsidRPr="00A11B6C">
        <w:rPr>
          <w:rFonts w:ascii="Times New Roman" w:hAnsi="Times New Roman" w:cs="Times New Roman"/>
          <w:sz w:val="24"/>
          <w:szCs w:val="24"/>
        </w:rPr>
        <w:t xml:space="preserve">MCBS public use files. </w:t>
      </w:r>
    </w:p>
    <w:p w14:paraId="3B1F246E" w14:textId="77777777" w:rsidR="001671C0" w:rsidRDefault="001671C0" w:rsidP="001671C0">
      <w:pPr>
        <w:spacing w:after="0" w:line="480" w:lineRule="auto"/>
        <w:jc w:val="both"/>
        <w:rPr>
          <w:rFonts w:ascii="Times New Roman" w:hAnsi="Times New Roman" w:cs="Times New Roman"/>
          <w:sz w:val="24"/>
          <w:szCs w:val="24"/>
        </w:rPr>
      </w:pPr>
    </w:p>
    <w:p w14:paraId="1EE8A469" w14:textId="25AB63C4" w:rsidR="00120108" w:rsidRPr="00A11B6C" w:rsidRDefault="00120108"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lastRenderedPageBreak/>
        <w:t xml:space="preserve">Moreover, </w:t>
      </w:r>
      <w:r w:rsidR="00446AB8" w:rsidRPr="00A11B6C">
        <w:rPr>
          <w:rFonts w:ascii="Times New Roman" w:hAnsi="Times New Roman" w:cs="Times New Roman"/>
          <w:sz w:val="24"/>
          <w:szCs w:val="24"/>
        </w:rPr>
        <w:t xml:space="preserve">caution should be warranted </w:t>
      </w:r>
      <w:r w:rsidR="0011280D" w:rsidRPr="00A11B6C">
        <w:rPr>
          <w:rFonts w:ascii="Times New Roman" w:hAnsi="Times New Roman" w:cs="Times New Roman"/>
          <w:sz w:val="24"/>
          <w:szCs w:val="24"/>
        </w:rPr>
        <w:t>when</w:t>
      </w:r>
      <w:r w:rsidR="00446AB8" w:rsidRPr="00A11B6C">
        <w:rPr>
          <w:rFonts w:ascii="Times New Roman" w:hAnsi="Times New Roman" w:cs="Times New Roman"/>
          <w:sz w:val="24"/>
          <w:szCs w:val="24"/>
        </w:rPr>
        <w:t xml:space="preserve"> interpreting</w:t>
      </w:r>
      <w:r w:rsidR="007C3748" w:rsidRPr="00A11B6C">
        <w:rPr>
          <w:rFonts w:ascii="Times New Roman" w:hAnsi="Times New Roman" w:cs="Times New Roman"/>
          <w:sz w:val="24"/>
          <w:szCs w:val="24"/>
        </w:rPr>
        <w:t xml:space="preserve"> </w:t>
      </w:r>
      <w:r w:rsidRPr="00A11B6C">
        <w:rPr>
          <w:rFonts w:ascii="Times New Roman" w:hAnsi="Times New Roman" w:cs="Times New Roman"/>
          <w:sz w:val="24"/>
          <w:szCs w:val="24"/>
        </w:rPr>
        <w:t>care experience measures</w:t>
      </w:r>
      <w:r w:rsidR="00A47288" w:rsidRPr="00A11B6C">
        <w:rPr>
          <w:rFonts w:ascii="Times New Roman" w:hAnsi="Times New Roman" w:cs="Times New Roman"/>
          <w:sz w:val="24"/>
          <w:szCs w:val="24"/>
        </w:rPr>
        <w:t>.</w:t>
      </w:r>
      <w:r w:rsidR="00446AB8" w:rsidRPr="00A11B6C">
        <w:rPr>
          <w:rFonts w:ascii="Times New Roman" w:hAnsi="Times New Roman" w:cs="Times New Roman"/>
          <w:sz w:val="24"/>
          <w:szCs w:val="24"/>
        </w:rPr>
        <w:t xml:space="preserve"> T</w:t>
      </w:r>
      <w:r w:rsidR="00A47288" w:rsidRPr="00A11B6C">
        <w:rPr>
          <w:rFonts w:ascii="Times New Roman" w:hAnsi="Times New Roman" w:cs="Times New Roman"/>
          <w:sz w:val="24"/>
          <w:szCs w:val="24"/>
        </w:rPr>
        <w:t xml:space="preserve">he satisfaction metrics, such as access to specialists and quality of care, are self-reported and may be subject to response bias. </w:t>
      </w:r>
      <w:r w:rsidR="00446AB8" w:rsidRPr="00A11B6C">
        <w:rPr>
          <w:rFonts w:ascii="Times New Roman" w:hAnsi="Times New Roman" w:cs="Times New Roman"/>
          <w:sz w:val="24"/>
          <w:szCs w:val="24"/>
        </w:rPr>
        <w:t xml:space="preserve">Furthermore, </w:t>
      </w:r>
      <w:r w:rsidR="00A47288" w:rsidRPr="00A11B6C">
        <w:rPr>
          <w:rFonts w:ascii="Times New Roman" w:hAnsi="Times New Roman" w:cs="Times New Roman"/>
          <w:sz w:val="24"/>
          <w:szCs w:val="24"/>
        </w:rPr>
        <w:t xml:space="preserve">our </w:t>
      </w:r>
      <w:r w:rsidR="00104FD5" w:rsidRPr="00A11B6C">
        <w:rPr>
          <w:rFonts w:ascii="Times New Roman" w:hAnsi="Times New Roman" w:cs="Times New Roman"/>
          <w:sz w:val="24"/>
          <w:szCs w:val="24"/>
        </w:rPr>
        <w:t xml:space="preserve">satisfaction metrics </w:t>
      </w:r>
      <w:r w:rsidR="00A47288" w:rsidRPr="00A11B6C">
        <w:rPr>
          <w:rFonts w:ascii="Times New Roman" w:hAnsi="Times New Roman" w:cs="Times New Roman"/>
          <w:sz w:val="24"/>
          <w:szCs w:val="24"/>
        </w:rPr>
        <w:t xml:space="preserve">are general </w:t>
      </w:r>
      <w:r w:rsidR="00446AB8" w:rsidRPr="00A11B6C">
        <w:rPr>
          <w:rFonts w:ascii="Times New Roman" w:hAnsi="Times New Roman" w:cs="Times New Roman"/>
          <w:sz w:val="24"/>
          <w:szCs w:val="24"/>
        </w:rPr>
        <w:t xml:space="preserve">rather than specifically tailored to ADRD care, </w:t>
      </w:r>
      <w:r w:rsidR="00153244" w:rsidRPr="00A11B6C">
        <w:rPr>
          <w:rFonts w:ascii="Times New Roman" w:hAnsi="Times New Roman" w:cs="Times New Roman"/>
          <w:sz w:val="24"/>
          <w:szCs w:val="24"/>
        </w:rPr>
        <w:t xml:space="preserve">so </w:t>
      </w:r>
      <w:r w:rsidR="00446AB8" w:rsidRPr="00A11B6C">
        <w:rPr>
          <w:rFonts w:ascii="Times New Roman" w:hAnsi="Times New Roman" w:cs="Times New Roman"/>
          <w:sz w:val="24"/>
          <w:szCs w:val="24"/>
        </w:rPr>
        <w:t>they</w:t>
      </w:r>
      <w:r w:rsidR="00AA5493" w:rsidRPr="00A11B6C">
        <w:rPr>
          <w:rFonts w:ascii="Times New Roman" w:hAnsi="Times New Roman" w:cs="Times New Roman"/>
          <w:sz w:val="24"/>
          <w:szCs w:val="24"/>
        </w:rPr>
        <w:t xml:space="preserve"> may </w:t>
      </w:r>
      <w:r w:rsidR="00446AB8" w:rsidRPr="00A11B6C">
        <w:rPr>
          <w:rFonts w:ascii="Times New Roman" w:hAnsi="Times New Roman" w:cs="Times New Roman"/>
          <w:sz w:val="24"/>
          <w:szCs w:val="24"/>
        </w:rPr>
        <w:t>introduce</w:t>
      </w:r>
      <w:r w:rsidR="00AA5493" w:rsidRPr="00A11B6C">
        <w:rPr>
          <w:rFonts w:ascii="Times New Roman" w:hAnsi="Times New Roman" w:cs="Times New Roman"/>
          <w:sz w:val="24"/>
          <w:szCs w:val="24"/>
        </w:rPr>
        <w:t xml:space="preserve"> noise</w:t>
      </w:r>
      <w:r w:rsidR="007C3748" w:rsidRPr="00A11B6C">
        <w:rPr>
          <w:rFonts w:ascii="Times New Roman" w:hAnsi="Times New Roman" w:cs="Times New Roman"/>
          <w:sz w:val="24"/>
          <w:szCs w:val="24"/>
        </w:rPr>
        <w:t>s</w:t>
      </w:r>
      <w:r w:rsidR="00AA5493" w:rsidRPr="00A11B6C">
        <w:rPr>
          <w:rFonts w:ascii="Times New Roman" w:hAnsi="Times New Roman" w:cs="Times New Roman"/>
          <w:sz w:val="24"/>
          <w:szCs w:val="24"/>
        </w:rPr>
        <w:t xml:space="preserve"> </w:t>
      </w:r>
      <w:r w:rsidR="00446AB8" w:rsidRPr="00A11B6C">
        <w:rPr>
          <w:rFonts w:ascii="Times New Roman" w:hAnsi="Times New Roman" w:cs="Times New Roman"/>
          <w:sz w:val="24"/>
          <w:szCs w:val="24"/>
        </w:rPr>
        <w:t>that</w:t>
      </w:r>
      <w:r w:rsidR="00AA5493" w:rsidRPr="00A11B6C">
        <w:rPr>
          <w:rFonts w:ascii="Times New Roman" w:hAnsi="Times New Roman" w:cs="Times New Roman"/>
          <w:sz w:val="24"/>
          <w:szCs w:val="24"/>
        </w:rPr>
        <w:t xml:space="preserve"> mask the true </w:t>
      </w:r>
      <w:r w:rsidR="00446AB8" w:rsidRPr="00A11B6C">
        <w:rPr>
          <w:rFonts w:ascii="Times New Roman" w:hAnsi="Times New Roman" w:cs="Times New Roman"/>
          <w:sz w:val="24"/>
          <w:szCs w:val="24"/>
        </w:rPr>
        <w:t>associations.</w:t>
      </w:r>
      <w:r w:rsidR="00AA5493" w:rsidRPr="00A11B6C">
        <w:rPr>
          <w:rFonts w:ascii="Times New Roman" w:hAnsi="Times New Roman" w:cs="Times New Roman"/>
          <w:sz w:val="24"/>
          <w:szCs w:val="24"/>
        </w:rPr>
        <w:t xml:space="preserve"> </w:t>
      </w:r>
    </w:p>
    <w:p w14:paraId="125C4776" w14:textId="77777777" w:rsidR="001671C0" w:rsidRDefault="001671C0" w:rsidP="001671C0">
      <w:pPr>
        <w:spacing w:after="0" w:line="480" w:lineRule="auto"/>
        <w:jc w:val="both"/>
        <w:rPr>
          <w:rFonts w:ascii="Times New Roman" w:hAnsi="Times New Roman" w:cs="Times New Roman"/>
          <w:sz w:val="24"/>
          <w:szCs w:val="24"/>
        </w:rPr>
      </w:pPr>
    </w:p>
    <w:p w14:paraId="638FBDBD" w14:textId="34C55BB7" w:rsidR="00A97F2F" w:rsidRDefault="00120108" w:rsidP="001671C0">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Lastly</w:t>
      </w:r>
      <w:r w:rsidR="00310D08" w:rsidRPr="00A11B6C">
        <w:rPr>
          <w:rFonts w:ascii="Times New Roman" w:hAnsi="Times New Roman" w:cs="Times New Roman"/>
          <w:sz w:val="24"/>
          <w:szCs w:val="24"/>
        </w:rPr>
        <w:t>, we do not account for the cost of overdiagnosis, a potential consequence of the risk</w:t>
      </w:r>
      <w:r w:rsidR="00700489" w:rsidRPr="00A11B6C">
        <w:rPr>
          <w:rFonts w:ascii="Times New Roman" w:hAnsi="Times New Roman" w:cs="Times New Roman"/>
          <w:sz w:val="24"/>
          <w:szCs w:val="24"/>
        </w:rPr>
        <w:t>-</w:t>
      </w:r>
      <w:r w:rsidR="00310D08" w:rsidRPr="00A11B6C">
        <w:rPr>
          <w:rFonts w:ascii="Times New Roman" w:hAnsi="Times New Roman" w:cs="Times New Roman"/>
          <w:sz w:val="24"/>
          <w:szCs w:val="24"/>
        </w:rPr>
        <w:t>adjusted payment model change</w:t>
      </w:r>
      <w:r w:rsidR="00446AB8" w:rsidRPr="00A11B6C">
        <w:rPr>
          <w:rFonts w:ascii="Times New Roman" w:hAnsi="Times New Roman" w:cs="Times New Roman"/>
          <w:sz w:val="24"/>
          <w:szCs w:val="24"/>
        </w:rPr>
        <w:t>.</w:t>
      </w:r>
      <w:r w:rsidR="009B42F1" w:rsidRPr="00A11B6C">
        <w:rPr>
          <w:rFonts w:ascii="Times New Roman" w:hAnsi="Times New Roman" w:cs="Times New Roman"/>
          <w:sz w:val="24"/>
          <w:szCs w:val="24"/>
        </w:rPr>
        <w:fldChar w:fldCharType="begin"/>
      </w:r>
      <w:r w:rsidR="009B42F1" w:rsidRPr="00A11B6C">
        <w:rPr>
          <w:rFonts w:ascii="Times New Roman" w:hAnsi="Times New Roman" w:cs="Times New Roman"/>
          <w:sz w:val="24"/>
          <w:szCs w:val="24"/>
        </w:rPr>
        <w:instrText xml:space="preserve"> ADDIN ZOTERO_ITEM CSL_CITATION {"citationID":"V8COxqsA","properties":{"formattedCitation":"\\super 8\\nosupersub{}","plainCitation":"8","noteIndex":0},"citationItems":[{"id":416,"uris":["http://zotero.org/users/local/Dew19TPH/items/9V3JAQT5"],"itemData":{"id":416,"type":"article-journal","abstract":"In 2020 Medicare reintroduced Alzheimer’s disease and related dementias (ADRD) Hierarchical Condition Categories (HCCs) to riskadjust Medicare Advantage and accountable care organization (ACO) payments. The potential for Medicare spending increases from this policy change are not well understood because the baseline accuracy of ADRD HCCs is uncertain. Using linked 2016–18 claims and electronic health record data from a large ACO, we evaluated the accuracy of claims-based ADRD HCCs against a reference standard of clinician-adjudicated disease. An estimated 7.5 percent of beneficiaries had clinician-adjudicated ADRD. Among those with ADRD HCCs, 34 percent did not have clinicianadjudicated disease. The false-negative and false-positive rates were 22.7 percent and 3.2 percent, respectively. Medicare spending for those with false-negative ADRD HCCs exceeded that of true positives by $14,619 per beneficiary. If, after the reintroduction of risk adjustment for ADRD, all false negatives were coded as having ADRD, expenditure benchmarks for beneficiaries with ADRD would increase by 9 percent. Monitoring ADRD coding could become challenging in the setting of concurrent incentives to decrease false-negative rates and increase false-positive rates.","container-title":"Health Affairs","DOI":"10.1377/hlthaff.2022.00185","ISSN":"0278-2715, 1544-5208","issue":"9","journalAbbreviation":"Health Affairs","language":"en","page":"1324-1332","source":"DOI.org (Crossref)","title":"Evaluating The Accuracy Of Medicare Risk Adjustment For Alzheimer’s Disease And Related Dementias: Study examines the accuracy of Medicare Advantage and ACO payments of Alzheimer's Disease and related dementias claims.","title-short":"Evaluating The Accuracy Of Medicare Risk Adjustment For Alzheimer’s Disease And Related Dementias","volume":"41","author":[{"family":"Festa","given":"Natalia"},{"family":"Price","given":"Mary"},{"family":"Weiss","given":"Max"},{"family":"Moura","given":"Lidia M. V. R."},{"family":"Benson","given":"Nicole M."},{"family":"Zafar","given":"Sahar"},{"family":"Blacker","given":"Deborah"},{"family":"Normand","given":"Sharon-Lise T."},{"family":"Newhouse","given":"Joseph P."},{"family":"Hsu","given":"John"}],"issued":{"date-parts":[["2022",9,1]]}}}],"schema":"https://github.com/citation-style-language/schema/raw/master/csl-citation.json"} </w:instrText>
      </w:r>
      <w:r w:rsidR="009B42F1" w:rsidRPr="00A11B6C">
        <w:rPr>
          <w:rFonts w:ascii="Times New Roman" w:hAnsi="Times New Roman" w:cs="Times New Roman"/>
          <w:sz w:val="24"/>
          <w:szCs w:val="24"/>
        </w:rPr>
        <w:fldChar w:fldCharType="separate"/>
      </w:r>
      <w:r w:rsidR="009B42F1" w:rsidRPr="00A11B6C">
        <w:rPr>
          <w:rFonts w:ascii="Times New Roman" w:hAnsi="Times New Roman" w:cs="Times New Roman"/>
          <w:kern w:val="0"/>
          <w:sz w:val="24"/>
          <w:szCs w:val="24"/>
          <w:vertAlign w:val="superscript"/>
        </w:rPr>
        <w:t>8</w:t>
      </w:r>
      <w:r w:rsidR="009B42F1" w:rsidRPr="00A11B6C">
        <w:rPr>
          <w:rFonts w:ascii="Times New Roman" w:hAnsi="Times New Roman" w:cs="Times New Roman"/>
          <w:sz w:val="24"/>
          <w:szCs w:val="24"/>
        </w:rPr>
        <w:fldChar w:fldCharType="end"/>
      </w:r>
      <w:r w:rsidR="00446AB8" w:rsidRPr="00A11B6C">
        <w:rPr>
          <w:rFonts w:ascii="Times New Roman" w:hAnsi="Times New Roman" w:cs="Times New Roman"/>
          <w:sz w:val="24"/>
          <w:szCs w:val="24"/>
        </w:rPr>
        <w:t xml:space="preserve"> Thus, our study may not fully capture the broader impact of risk adjustment on both access to care and quality of care.</w:t>
      </w:r>
    </w:p>
    <w:p w14:paraId="09A8BABC" w14:textId="77777777" w:rsidR="001671C0" w:rsidRPr="00A11B6C" w:rsidRDefault="001671C0" w:rsidP="001671C0">
      <w:pPr>
        <w:spacing w:after="0" w:line="480" w:lineRule="auto"/>
        <w:jc w:val="both"/>
        <w:rPr>
          <w:rFonts w:ascii="Times New Roman" w:hAnsi="Times New Roman" w:cs="Times New Roman"/>
          <w:sz w:val="24"/>
          <w:szCs w:val="24"/>
        </w:rPr>
      </w:pPr>
    </w:p>
    <w:p w14:paraId="514C3CDA" w14:textId="322379AA" w:rsidR="00A97F2F" w:rsidRPr="001671C0" w:rsidRDefault="00A97F2F" w:rsidP="00A11B6C">
      <w:pPr>
        <w:pStyle w:val="Heading2"/>
        <w:spacing w:before="0" w:after="0" w:line="480" w:lineRule="auto"/>
        <w:rPr>
          <w:rFonts w:cs="Times New Roman"/>
          <w:b/>
          <w:bCs/>
          <w:color w:val="000000" w:themeColor="text1"/>
          <w:sz w:val="24"/>
          <w:szCs w:val="24"/>
        </w:rPr>
      </w:pPr>
      <w:r w:rsidRPr="001671C0">
        <w:rPr>
          <w:rFonts w:cs="Times New Roman"/>
          <w:b/>
          <w:bCs/>
          <w:color w:val="000000" w:themeColor="text1"/>
          <w:sz w:val="24"/>
          <w:szCs w:val="24"/>
        </w:rPr>
        <w:t>Conclusions</w:t>
      </w:r>
    </w:p>
    <w:p w14:paraId="7CB2034D" w14:textId="57FE1322" w:rsidR="00D709D2" w:rsidRPr="00A11B6C" w:rsidRDefault="00AA5F6F" w:rsidP="002D2687">
      <w:pPr>
        <w:spacing w:after="0" w:line="480" w:lineRule="auto"/>
        <w:jc w:val="both"/>
        <w:rPr>
          <w:rFonts w:ascii="Times New Roman" w:hAnsi="Times New Roman" w:cs="Times New Roman"/>
          <w:sz w:val="24"/>
          <w:szCs w:val="24"/>
        </w:rPr>
      </w:pPr>
      <w:r w:rsidRPr="00A11B6C">
        <w:rPr>
          <w:rFonts w:ascii="Times New Roman" w:hAnsi="Times New Roman" w:cs="Times New Roman"/>
          <w:sz w:val="24"/>
          <w:szCs w:val="24"/>
        </w:rPr>
        <w:t xml:space="preserve">Amid the growing aging population and the rising </w:t>
      </w:r>
      <w:r w:rsidR="00D970FC" w:rsidRPr="00A11B6C">
        <w:rPr>
          <w:rFonts w:ascii="Times New Roman" w:hAnsi="Times New Roman" w:cs="Times New Roman"/>
          <w:sz w:val="24"/>
          <w:szCs w:val="24"/>
        </w:rPr>
        <w:t>burden</w:t>
      </w:r>
      <w:r w:rsidRPr="00A11B6C">
        <w:rPr>
          <w:rFonts w:ascii="Times New Roman" w:hAnsi="Times New Roman" w:cs="Times New Roman"/>
          <w:sz w:val="24"/>
          <w:szCs w:val="24"/>
        </w:rPr>
        <w:t xml:space="preserve"> of ADRD, the findings of this study provide</w:t>
      </w:r>
      <w:r w:rsidR="003B0E24" w:rsidRPr="00A11B6C">
        <w:rPr>
          <w:rFonts w:ascii="Times New Roman" w:hAnsi="Times New Roman" w:cs="Times New Roman"/>
          <w:sz w:val="24"/>
          <w:szCs w:val="24"/>
        </w:rPr>
        <w:t xml:space="preserve"> </w:t>
      </w:r>
      <w:r w:rsidRPr="00A11B6C">
        <w:rPr>
          <w:rFonts w:ascii="Times New Roman" w:hAnsi="Times New Roman" w:cs="Times New Roman"/>
          <w:sz w:val="24"/>
          <w:szCs w:val="24"/>
        </w:rPr>
        <w:t>insights into the</w:t>
      </w:r>
      <w:r w:rsidR="003B0E24" w:rsidRPr="00A11B6C">
        <w:rPr>
          <w:rFonts w:ascii="Times New Roman" w:hAnsi="Times New Roman" w:cs="Times New Roman"/>
          <w:sz w:val="24"/>
          <w:szCs w:val="24"/>
        </w:rPr>
        <w:t xml:space="preserve"> importan</w:t>
      </w:r>
      <w:r w:rsidRPr="00A11B6C">
        <w:rPr>
          <w:rFonts w:ascii="Times New Roman" w:hAnsi="Times New Roman" w:cs="Times New Roman"/>
          <w:sz w:val="24"/>
          <w:szCs w:val="24"/>
        </w:rPr>
        <w:t>ce of</w:t>
      </w:r>
      <w:r w:rsidR="003B0E24" w:rsidRPr="00A11B6C">
        <w:rPr>
          <w:rFonts w:ascii="Times New Roman" w:hAnsi="Times New Roman" w:cs="Times New Roman"/>
          <w:sz w:val="24"/>
          <w:szCs w:val="24"/>
        </w:rPr>
        <w:t xml:space="preserve"> refin</w:t>
      </w:r>
      <w:r w:rsidRPr="00A11B6C">
        <w:rPr>
          <w:rFonts w:ascii="Times New Roman" w:hAnsi="Times New Roman" w:cs="Times New Roman"/>
          <w:sz w:val="24"/>
          <w:szCs w:val="24"/>
        </w:rPr>
        <w:t>ing</w:t>
      </w:r>
      <w:r w:rsidR="003B0E24" w:rsidRPr="00A11B6C">
        <w:rPr>
          <w:rFonts w:ascii="Times New Roman" w:hAnsi="Times New Roman" w:cs="Times New Roman"/>
          <w:sz w:val="24"/>
          <w:szCs w:val="24"/>
        </w:rPr>
        <w:t xml:space="preserve"> risk adjustment models to better capture both clinical and social complexities</w:t>
      </w:r>
      <w:r w:rsidR="004750A0" w:rsidRPr="00A11B6C">
        <w:rPr>
          <w:rFonts w:ascii="Times New Roman" w:hAnsi="Times New Roman" w:cs="Times New Roman"/>
          <w:sz w:val="24"/>
          <w:szCs w:val="24"/>
        </w:rPr>
        <w:t xml:space="preserve">. Expanding the scope of risk adjustment to include social determinants of health, such as caregiver burden, socioeconomic status, or access to community resources, </w:t>
      </w:r>
      <w:r w:rsidR="00DD036F" w:rsidRPr="00A11B6C">
        <w:rPr>
          <w:rFonts w:ascii="Times New Roman" w:hAnsi="Times New Roman" w:cs="Times New Roman"/>
          <w:sz w:val="24"/>
          <w:szCs w:val="24"/>
        </w:rPr>
        <w:t xml:space="preserve">may provide a more holistic approach to mitigating </w:t>
      </w:r>
      <w:r w:rsidR="00CA0C21" w:rsidRPr="00A11B6C">
        <w:rPr>
          <w:rFonts w:ascii="Times New Roman" w:hAnsi="Times New Roman" w:cs="Times New Roman"/>
          <w:sz w:val="24"/>
          <w:szCs w:val="24"/>
        </w:rPr>
        <w:t>gaps</w:t>
      </w:r>
      <w:r w:rsidR="00DD036F" w:rsidRPr="00A11B6C">
        <w:rPr>
          <w:rFonts w:ascii="Times New Roman" w:hAnsi="Times New Roman" w:cs="Times New Roman"/>
          <w:sz w:val="24"/>
          <w:szCs w:val="24"/>
        </w:rPr>
        <w:t xml:space="preserve"> and ensuring equitable care for ADRD patients and their families.</w:t>
      </w:r>
    </w:p>
    <w:p w14:paraId="5057AFB7" w14:textId="77777777" w:rsidR="001B597C" w:rsidRDefault="001B597C" w:rsidP="00305085">
      <w:pPr>
        <w:spacing w:before="60" w:after="60" w:line="360" w:lineRule="auto"/>
        <w:jc w:val="both"/>
        <w:rPr>
          <w:rFonts w:ascii="Times New Roman" w:hAnsi="Times New Roman" w:cs="Times New Roman"/>
        </w:rPr>
      </w:pPr>
    </w:p>
    <w:p w14:paraId="5AB01284" w14:textId="77777777" w:rsidR="00305085" w:rsidRDefault="00305085" w:rsidP="00305085">
      <w:pPr>
        <w:spacing w:before="60" w:after="60" w:line="360" w:lineRule="auto"/>
        <w:jc w:val="both"/>
        <w:rPr>
          <w:rFonts w:ascii="Times New Roman" w:hAnsi="Times New Roman" w:cs="Times New Roman"/>
        </w:rPr>
      </w:pPr>
    </w:p>
    <w:p w14:paraId="07D11022" w14:textId="77777777" w:rsidR="00FF6224" w:rsidRDefault="00FF6224" w:rsidP="00305085">
      <w:pPr>
        <w:spacing w:before="60" w:after="60" w:line="360" w:lineRule="auto"/>
        <w:jc w:val="both"/>
        <w:rPr>
          <w:rFonts w:ascii="Times New Roman" w:hAnsi="Times New Roman" w:cs="Times New Roman"/>
        </w:rPr>
      </w:pPr>
    </w:p>
    <w:p w14:paraId="7F311767" w14:textId="77777777" w:rsidR="00FF6224" w:rsidRDefault="00FF6224" w:rsidP="00305085">
      <w:pPr>
        <w:spacing w:before="60" w:after="60" w:line="360" w:lineRule="auto"/>
        <w:jc w:val="both"/>
        <w:rPr>
          <w:rFonts w:ascii="Times New Roman" w:hAnsi="Times New Roman" w:cs="Times New Roman"/>
        </w:rPr>
      </w:pPr>
    </w:p>
    <w:p w14:paraId="6FC9DAE8" w14:textId="77777777" w:rsidR="00FF6224" w:rsidRDefault="00FF6224" w:rsidP="00305085">
      <w:pPr>
        <w:spacing w:before="60" w:after="60" w:line="360" w:lineRule="auto"/>
        <w:jc w:val="both"/>
        <w:rPr>
          <w:rFonts w:ascii="Times New Roman" w:hAnsi="Times New Roman" w:cs="Times New Roman"/>
        </w:rPr>
      </w:pPr>
    </w:p>
    <w:p w14:paraId="7FE0D42D" w14:textId="77777777" w:rsidR="00FF6224" w:rsidRDefault="00FF6224" w:rsidP="00305085">
      <w:pPr>
        <w:spacing w:before="60" w:after="60" w:line="360" w:lineRule="auto"/>
        <w:jc w:val="both"/>
        <w:rPr>
          <w:rFonts w:ascii="Times New Roman" w:hAnsi="Times New Roman" w:cs="Times New Roman"/>
        </w:rPr>
      </w:pPr>
    </w:p>
    <w:p w14:paraId="71EAF1C1" w14:textId="77777777" w:rsidR="00FF6224" w:rsidRDefault="00FF6224" w:rsidP="00305085">
      <w:pPr>
        <w:spacing w:before="60" w:after="60" w:line="360" w:lineRule="auto"/>
        <w:jc w:val="both"/>
        <w:rPr>
          <w:rFonts w:ascii="Times New Roman" w:hAnsi="Times New Roman" w:cs="Times New Roman"/>
        </w:rPr>
      </w:pPr>
    </w:p>
    <w:p w14:paraId="45A7D3FB" w14:textId="5226BE5C" w:rsidR="00CC360E" w:rsidRPr="00E01EEF" w:rsidRDefault="00CC360E" w:rsidP="00305085">
      <w:pPr>
        <w:pStyle w:val="Heading2"/>
        <w:spacing w:before="0" w:after="0" w:line="480" w:lineRule="auto"/>
        <w:rPr>
          <w:rFonts w:cs="Times New Roman"/>
          <w:b/>
          <w:bCs/>
          <w:color w:val="000000" w:themeColor="text1"/>
          <w:sz w:val="24"/>
          <w:szCs w:val="24"/>
        </w:rPr>
      </w:pPr>
      <w:r w:rsidRPr="00E01EEF">
        <w:rPr>
          <w:rFonts w:cs="Times New Roman"/>
          <w:b/>
          <w:bCs/>
          <w:color w:val="000000" w:themeColor="text1"/>
          <w:sz w:val="24"/>
          <w:szCs w:val="24"/>
        </w:rPr>
        <w:lastRenderedPageBreak/>
        <w:t>References</w:t>
      </w:r>
    </w:p>
    <w:p w14:paraId="3BE0CBAC" w14:textId="77777777" w:rsidR="00BC3593" w:rsidRPr="00305085" w:rsidRDefault="001217E5"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sz w:val="24"/>
          <w:szCs w:val="24"/>
          <w:highlight w:val="yellow"/>
        </w:rPr>
        <w:fldChar w:fldCharType="begin"/>
      </w:r>
      <w:r w:rsidR="00327872" w:rsidRPr="00305085">
        <w:rPr>
          <w:rFonts w:ascii="Times New Roman" w:hAnsi="Times New Roman" w:cs="Times New Roman"/>
          <w:sz w:val="24"/>
          <w:szCs w:val="24"/>
          <w:highlight w:val="yellow"/>
        </w:rPr>
        <w:instrText xml:space="preserve"> ADDIN ZOTERO_BIBL {"uncited":[["http://zotero.org/users/local/Dew19TPH/items/X7M6YB2G"]],"omitted":[],"custom":[]} CSL_BIBLIOGRAPHY </w:instrText>
      </w:r>
      <w:r w:rsidRPr="00305085">
        <w:rPr>
          <w:rFonts w:ascii="Times New Roman" w:hAnsi="Times New Roman" w:cs="Times New Roman"/>
          <w:sz w:val="24"/>
          <w:szCs w:val="24"/>
          <w:highlight w:val="yellow"/>
        </w:rPr>
        <w:fldChar w:fldCharType="separate"/>
      </w:r>
      <w:r w:rsidR="00BC3593" w:rsidRPr="00305085">
        <w:rPr>
          <w:rFonts w:ascii="Times New Roman" w:hAnsi="Times New Roman" w:cs="Times New Roman"/>
          <w:kern w:val="0"/>
          <w:sz w:val="24"/>
          <w:szCs w:val="24"/>
        </w:rPr>
        <w:t>1.</w:t>
      </w:r>
      <w:r w:rsidR="00BC3593" w:rsidRPr="00305085">
        <w:rPr>
          <w:rFonts w:ascii="Times New Roman" w:hAnsi="Times New Roman" w:cs="Times New Roman"/>
          <w:kern w:val="0"/>
          <w:sz w:val="24"/>
          <w:szCs w:val="24"/>
        </w:rPr>
        <w:tab/>
        <w:t xml:space="preserve">2024 Alzheimer’s disease facts and figures. </w:t>
      </w:r>
      <w:r w:rsidR="00BC3593" w:rsidRPr="00305085">
        <w:rPr>
          <w:rFonts w:ascii="Times New Roman" w:hAnsi="Times New Roman" w:cs="Times New Roman"/>
          <w:i/>
          <w:iCs/>
          <w:kern w:val="0"/>
          <w:sz w:val="24"/>
          <w:szCs w:val="24"/>
        </w:rPr>
        <w:t>Alzheimers Dement</w:t>
      </w:r>
      <w:r w:rsidR="00BC3593" w:rsidRPr="00305085">
        <w:rPr>
          <w:rFonts w:ascii="Times New Roman" w:hAnsi="Times New Roman" w:cs="Times New Roman"/>
          <w:kern w:val="0"/>
          <w:sz w:val="24"/>
          <w:szCs w:val="24"/>
        </w:rPr>
        <w:t>. 2024;20(5):3708-3821. doi:10.1002/alz.13809</w:t>
      </w:r>
    </w:p>
    <w:p w14:paraId="39F249AB"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2.</w:t>
      </w:r>
      <w:r w:rsidRPr="00305085">
        <w:rPr>
          <w:rFonts w:ascii="Times New Roman" w:hAnsi="Times New Roman" w:cs="Times New Roman"/>
          <w:kern w:val="0"/>
          <w:sz w:val="24"/>
          <w:szCs w:val="24"/>
        </w:rPr>
        <w:tab/>
        <w:t xml:space="preserve">James HO, Trivedi AN, Meyers DJ. Medicare Advantage Enrollment and Disenrollment Among Persons With Alzheimer Disease and Related Dementias. </w:t>
      </w:r>
      <w:r w:rsidRPr="00305085">
        <w:rPr>
          <w:rFonts w:ascii="Times New Roman" w:hAnsi="Times New Roman" w:cs="Times New Roman"/>
          <w:i/>
          <w:iCs/>
          <w:kern w:val="0"/>
          <w:sz w:val="24"/>
          <w:szCs w:val="24"/>
        </w:rPr>
        <w:t>JAMA Health Forum</w:t>
      </w:r>
      <w:r w:rsidRPr="00305085">
        <w:rPr>
          <w:rFonts w:ascii="Times New Roman" w:hAnsi="Times New Roman" w:cs="Times New Roman"/>
          <w:kern w:val="0"/>
          <w:sz w:val="24"/>
          <w:szCs w:val="24"/>
        </w:rPr>
        <w:t>. 2023;4(9):e233080. doi:10.1001/jamahealthforum.2023.3080</w:t>
      </w:r>
    </w:p>
    <w:p w14:paraId="1F010A34"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3.</w:t>
      </w:r>
      <w:r w:rsidRPr="00305085">
        <w:rPr>
          <w:rFonts w:ascii="Times New Roman" w:hAnsi="Times New Roman" w:cs="Times New Roman"/>
          <w:kern w:val="0"/>
          <w:sz w:val="24"/>
          <w:szCs w:val="24"/>
        </w:rPr>
        <w:tab/>
        <w:t xml:space="preserve">Rahman M, Keohane L, Trivedi AN, Mor V. High-Cost Patients Had Substantial Rates Of Leaving Medicare Advantage And Joining Traditional Medicare. </w:t>
      </w:r>
      <w:r w:rsidRPr="00305085">
        <w:rPr>
          <w:rFonts w:ascii="Times New Roman" w:hAnsi="Times New Roman" w:cs="Times New Roman"/>
          <w:i/>
          <w:iCs/>
          <w:kern w:val="0"/>
          <w:sz w:val="24"/>
          <w:szCs w:val="24"/>
        </w:rPr>
        <w:t>Health Aff (Millwood)</w:t>
      </w:r>
      <w:r w:rsidRPr="00305085">
        <w:rPr>
          <w:rFonts w:ascii="Times New Roman" w:hAnsi="Times New Roman" w:cs="Times New Roman"/>
          <w:kern w:val="0"/>
          <w:sz w:val="24"/>
          <w:szCs w:val="24"/>
        </w:rPr>
        <w:t>. 2015;34(10):1675-1681. doi:10.1377/hlthaff.2015.0272</w:t>
      </w:r>
    </w:p>
    <w:p w14:paraId="05F121A5"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4.</w:t>
      </w:r>
      <w:r w:rsidRPr="00305085">
        <w:rPr>
          <w:rFonts w:ascii="Times New Roman" w:hAnsi="Times New Roman" w:cs="Times New Roman"/>
          <w:kern w:val="0"/>
          <w:sz w:val="24"/>
          <w:szCs w:val="24"/>
        </w:rPr>
        <w:tab/>
        <w:t xml:space="preserve">Jutkowitz E, Bynum JPW, Mitchell SL, et al. Diagnosed prevalence of Alzheimer’s disease and related dementias in Medicare Advantage plans. </w:t>
      </w:r>
      <w:r w:rsidRPr="00305085">
        <w:rPr>
          <w:rFonts w:ascii="Times New Roman" w:hAnsi="Times New Roman" w:cs="Times New Roman"/>
          <w:i/>
          <w:iCs/>
          <w:kern w:val="0"/>
          <w:sz w:val="24"/>
          <w:szCs w:val="24"/>
        </w:rPr>
        <w:t>Alzheimers Dement Diagn Assess Dis Monit</w:t>
      </w:r>
      <w:r w:rsidRPr="00305085">
        <w:rPr>
          <w:rFonts w:ascii="Times New Roman" w:hAnsi="Times New Roman" w:cs="Times New Roman"/>
          <w:kern w:val="0"/>
          <w:sz w:val="24"/>
          <w:szCs w:val="24"/>
        </w:rPr>
        <w:t>. 2020;12(1). doi:10.1002/dad2.12048</w:t>
      </w:r>
    </w:p>
    <w:p w14:paraId="0EA465A0"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5.</w:t>
      </w:r>
      <w:r w:rsidRPr="00305085">
        <w:rPr>
          <w:rFonts w:ascii="Times New Roman" w:hAnsi="Times New Roman" w:cs="Times New Roman"/>
          <w:kern w:val="0"/>
          <w:sz w:val="24"/>
          <w:szCs w:val="24"/>
        </w:rPr>
        <w:tab/>
        <w:t xml:space="preserve">Meyers DJ, Rahman M, Rivera‐Hernandez M, Trivedi AN, Mor V. Plan switching among Medicare Advantage beneficiaries with Alzheimer’s disease and other dementias. </w:t>
      </w:r>
      <w:r w:rsidRPr="00305085">
        <w:rPr>
          <w:rFonts w:ascii="Times New Roman" w:hAnsi="Times New Roman" w:cs="Times New Roman"/>
          <w:i/>
          <w:iCs/>
          <w:kern w:val="0"/>
          <w:sz w:val="24"/>
          <w:szCs w:val="24"/>
        </w:rPr>
        <w:t>Alzheimers Dement Transl Res Clin Interv</w:t>
      </w:r>
      <w:r w:rsidRPr="00305085">
        <w:rPr>
          <w:rFonts w:ascii="Times New Roman" w:hAnsi="Times New Roman" w:cs="Times New Roman"/>
          <w:kern w:val="0"/>
          <w:sz w:val="24"/>
          <w:szCs w:val="24"/>
        </w:rPr>
        <w:t>. 2021;7(1):e12150. doi:10.1002/trc2.12150</w:t>
      </w:r>
    </w:p>
    <w:p w14:paraId="53DB64D2"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6.</w:t>
      </w:r>
      <w:r w:rsidRPr="00305085">
        <w:rPr>
          <w:rFonts w:ascii="Times New Roman" w:hAnsi="Times New Roman" w:cs="Times New Roman"/>
          <w:kern w:val="0"/>
          <w:sz w:val="24"/>
          <w:szCs w:val="24"/>
        </w:rPr>
        <w:tab/>
        <w:t xml:space="preserve">Meyers DJ, Rivera‐Hernandez M, Kim D, Keohane LM, Mor V, Trivedi AN. Comparing the care experiences of Medicare Advantage beneficiaries with and without Alzheimer’s disease and related dementias. </w:t>
      </w:r>
      <w:r w:rsidRPr="00305085">
        <w:rPr>
          <w:rFonts w:ascii="Times New Roman" w:hAnsi="Times New Roman" w:cs="Times New Roman"/>
          <w:i/>
          <w:iCs/>
          <w:kern w:val="0"/>
          <w:sz w:val="24"/>
          <w:szCs w:val="24"/>
        </w:rPr>
        <w:t>J Am Geriatr Soc</w:t>
      </w:r>
      <w:r w:rsidRPr="00305085">
        <w:rPr>
          <w:rFonts w:ascii="Times New Roman" w:hAnsi="Times New Roman" w:cs="Times New Roman"/>
          <w:kern w:val="0"/>
          <w:sz w:val="24"/>
          <w:szCs w:val="24"/>
        </w:rPr>
        <w:t>. 2022;70(8):2344-2353. doi:10.1111/jgs.17817</w:t>
      </w:r>
    </w:p>
    <w:p w14:paraId="22B7A0E3"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7.</w:t>
      </w:r>
      <w:r w:rsidRPr="00305085">
        <w:rPr>
          <w:rFonts w:ascii="Times New Roman" w:hAnsi="Times New Roman" w:cs="Times New Roman"/>
          <w:kern w:val="0"/>
          <w:sz w:val="24"/>
          <w:szCs w:val="24"/>
        </w:rPr>
        <w:tab/>
        <w:t xml:space="preserve">Kim D, Meyers DJ, Keohane LM, Varma H, Achola EM, Trivedi AN. Medicare Advantage enrollment and outcomes of post-acute nursing home care among patients with dementia. </w:t>
      </w:r>
      <w:r w:rsidRPr="00305085">
        <w:rPr>
          <w:rFonts w:ascii="Times New Roman" w:hAnsi="Times New Roman" w:cs="Times New Roman"/>
          <w:i/>
          <w:iCs/>
          <w:kern w:val="0"/>
          <w:sz w:val="24"/>
          <w:szCs w:val="24"/>
        </w:rPr>
        <w:t>Health Aff Sch</w:t>
      </w:r>
      <w:r w:rsidRPr="00305085">
        <w:rPr>
          <w:rFonts w:ascii="Times New Roman" w:hAnsi="Times New Roman" w:cs="Times New Roman"/>
          <w:kern w:val="0"/>
          <w:sz w:val="24"/>
          <w:szCs w:val="24"/>
        </w:rPr>
        <w:t>. 2024;2(6):qxae084. doi:10.1093/haschl/qxae084</w:t>
      </w:r>
    </w:p>
    <w:p w14:paraId="79A3DAB6"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8.</w:t>
      </w:r>
      <w:r w:rsidRPr="00305085">
        <w:rPr>
          <w:rFonts w:ascii="Times New Roman" w:hAnsi="Times New Roman" w:cs="Times New Roman"/>
          <w:kern w:val="0"/>
          <w:sz w:val="24"/>
          <w:szCs w:val="24"/>
        </w:rPr>
        <w:tab/>
        <w:t xml:space="preserve">Festa N, Price M, Weiss M, et al. Evaluating The Accuracy Of Medicare Risk Adjustment For Alzheimer’s Disease And Related Dementias: Study examines the accuracy of Medicare </w:t>
      </w:r>
      <w:r w:rsidRPr="00305085">
        <w:rPr>
          <w:rFonts w:ascii="Times New Roman" w:hAnsi="Times New Roman" w:cs="Times New Roman"/>
          <w:kern w:val="0"/>
          <w:sz w:val="24"/>
          <w:szCs w:val="24"/>
        </w:rPr>
        <w:lastRenderedPageBreak/>
        <w:t xml:space="preserve">Advantage and ACO payments of Alzheimer’s Disease and related dementias claims. </w:t>
      </w:r>
      <w:r w:rsidRPr="00305085">
        <w:rPr>
          <w:rFonts w:ascii="Times New Roman" w:hAnsi="Times New Roman" w:cs="Times New Roman"/>
          <w:i/>
          <w:iCs/>
          <w:kern w:val="0"/>
          <w:sz w:val="24"/>
          <w:szCs w:val="24"/>
        </w:rPr>
        <w:t>Health Aff (Millwood)</w:t>
      </w:r>
      <w:r w:rsidRPr="00305085">
        <w:rPr>
          <w:rFonts w:ascii="Times New Roman" w:hAnsi="Times New Roman" w:cs="Times New Roman"/>
          <w:kern w:val="0"/>
          <w:sz w:val="24"/>
          <w:szCs w:val="24"/>
        </w:rPr>
        <w:t>. 2022;41(9):1324-1332. doi:10.1377/hlthaff.2022.00185</w:t>
      </w:r>
    </w:p>
    <w:p w14:paraId="1E0A6571" w14:textId="7777777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9.</w:t>
      </w:r>
      <w:r w:rsidRPr="00305085">
        <w:rPr>
          <w:rFonts w:ascii="Times New Roman" w:hAnsi="Times New Roman" w:cs="Times New Roman"/>
          <w:kern w:val="0"/>
          <w:sz w:val="24"/>
          <w:szCs w:val="24"/>
        </w:rPr>
        <w:tab/>
        <w:t xml:space="preserve">Meyers DJ, Belanger E, Joyce N, McHugh J, Rahman M, Mor V. Analysis of Drivers of Disenrollment and Plan Switching Among Medicare Advantage Beneficiaries. </w:t>
      </w:r>
      <w:r w:rsidRPr="00305085">
        <w:rPr>
          <w:rFonts w:ascii="Times New Roman" w:hAnsi="Times New Roman" w:cs="Times New Roman"/>
          <w:i/>
          <w:iCs/>
          <w:kern w:val="0"/>
          <w:sz w:val="24"/>
          <w:szCs w:val="24"/>
        </w:rPr>
        <w:t>JAMA Intern Med</w:t>
      </w:r>
      <w:r w:rsidRPr="00305085">
        <w:rPr>
          <w:rFonts w:ascii="Times New Roman" w:hAnsi="Times New Roman" w:cs="Times New Roman"/>
          <w:kern w:val="0"/>
          <w:sz w:val="24"/>
          <w:szCs w:val="24"/>
        </w:rPr>
        <w:t>. 2019;179(4):524. doi:10.1001/jamainternmed.2018.7639</w:t>
      </w:r>
    </w:p>
    <w:p w14:paraId="0FE25421" w14:textId="31575C4B"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10.</w:t>
      </w:r>
      <w:r w:rsidR="00E01EE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Haye S, Jacobson M, Joyce G, Zissimopoulos JM. After Risk-Adjustment Change, Dementia Diagnoses Increased In Medicare Advantage Relative To Traditional Medicare: Article examines dementia diagnosis in Medicare Advantage after risk-adjustment change. </w:t>
      </w:r>
      <w:r w:rsidRPr="00305085">
        <w:rPr>
          <w:rFonts w:ascii="Times New Roman" w:hAnsi="Times New Roman" w:cs="Times New Roman"/>
          <w:i/>
          <w:iCs/>
          <w:kern w:val="0"/>
          <w:sz w:val="24"/>
          <w:szCs w:val="24"/>
        </w:rPr>
        <w:t>Health Aff (Millwood)</w:t>
      </w:r>
      <w:r w:rsidRPr="00305085">
        <w:rPr>
          <w:rFonts w:ascii="Times New Roman" w:hAnsi="Times New Roman" w:cs="Times New Roman"/>
          <w:kern w:val="0"/>
          <w:sz w:val="24"/>
          <w:szCs w:val="24"/>
        </w:rPr>
        <w:t>. 2025;44(1):81-89. doi:10.1377/hlthaff.2024.00723</w:t>
      </w:r>
    </w:p>
    <w:p w14:paraId="78C232AD" w14:textId="1347F273"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11.</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Brown J, Duggan M, Kuziemko I, Woolston W. How Does Risk Selection Respond to Risk Adjustment? New Evidence from the Medicare Advantage Program. </w:t>
      </w:r>
      <w:r w:rsidRPr="00305085">
        <w:rPr>
          <w:rFonts w:ascii="Times New Roman" w:hAnsi="Times New Roman" w:cs="Times New Roman"/>
          <w:i/>
          <w:iCs/>
          <w:kern w:val="0"/>
          <w:sz w:val="24"/>
          <w:szCs w:val="24"/>
        </w:rPr>
        <w:t>Am Econ Rev</w:t>
      </w:r>
      <w:r w:rsidRPr="00305085">
        <w:rPr>
          <w:rFonts w:ascii="Times New Roman" w:hAnsi="Times New Roman" w:cs="Times New Roman"/>
          <w:kern w:val="0"/>
          <w:sz w:val="24"/>
          <w:szCs w:val="24"/>
        </w:rPr>
        <w:t>. 2014;104(10):3335-3364. doi:10.1257/aer.104.10.3335</w:t>
      </w:r>
    </w:p>
    <w:p w14:paraId="4D1F1BFF" w14:textId="37FE889C"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12.</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Curto V, Einav L, Finkelstein A, Levin J, Bhattacharya J. Health Care Spending and Utilization in Public and Private Medicare. </w:t>
      </w:r>
      <w:r w:rsidRPr="00305085">
        <w:rPr>
          <w:rFonts w:ascii="Times New Roman" w:hAnsi="Times New Roman" w:cs="Times New Roman"/>
          <w:i/>
          <w:iCs/>
          <w:kern w:val="0"/>
          <w:sz w:val="24"/>
          <w:szCs w:val="24"/>
        </w:rPr>
        <w:t>Am Econ J Appl Econ</w:t>
      </w:r>
      <w:r w:rsidRPr="00305085">
        <w:rPr>
          <w:rFonts w:ascii="Times New Roman" w:hAnsi="Times New Roman" w:cs="Times New Roman"/>
          <w:kern w:val="0"/>
          <w:sz w:val="24"/>
          <w:szCs w:val="24"/>
        </w:rPr>
        <w:t>. 2019;11(2):302-332. doi:10.1257/app.20170295</w:t>
      </w:r>
    </w:p>
    <w:p w14:paraId="3D81D6EF" w14:textId="31264D43"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13.</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Geruso M, Layton T. Upcoding: Evidence from Medicare on Squishy Risk Adjustment. </w:t>
      </w:r>
      <w:r w:rsidRPr="00305085">
        <w:rPr>
          <w:rFonts w:ascii="Times New Roman" w:hAnsi="Times New Roman" w:cs="Times New Roman"/>
          <w:i/>
          <w:iCs/>
          <w:kern w:val="0"/>
          <w:sz w:val="24"/>
          <w:szCs w:val="24"/>
        </w:rPr>
        <w:t>J Polit Econ</w:t>
      </w:r>
      <w:r w:rsidRPr="00305085">
        <w:rPr>
          <w:rFonts w:ascii="Times New Roman" w:hAnsi="Times New Roman" w:cs="Times New Roman"/>
          <w:kern w:val="0"/>
          <w:sz w:val="24"/>
          <w:szCs w:val="24"/>
        </w:rPr>
        <w:t>. 128(3):984-1026.</w:t>
      </w:r>
    </w:p>
    <w:p w14:paraId="391F6BBC" w14:textId="2916C029"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14.</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Meyers DJ, Rahman M, Trivedi AN. Narrow Primary Care Networks in Medicare Advantage. </w:t>
      </w:r>
      <w:r w:rsidRPr="00305085">
        <w:rPr>
          <w:rFonts w:ascii="Times New Roman" w:hAnsi="Times New Roman" w:cs="Times New Roman"/>
          <w:i/>
          <w:iCs/>
          <w:kern w:val="0"/>
          <w:sz w:val="24"/>
          <w:szCs w:val="24"/>
        </w:rPr>
        <w:t>J Gen Intern Med</w:t>
      </w:r>
      <w:r w:rsidRPr="00305085">
        <w:rPr>
          <w:rFonts w:ascii="Times New Roman" w:hAnsi="Times New Roman" w:cs="Times New Roman"/>
          <w:kern w:val="0"/>
          <w:sz w:val="24"/>
          <w:szCs w:val="24"/>
        </w:rPr>
        <w:t>. 2022;37(2):488-491. doi:10.1007/s11606-020-06534-2</w:t>
      </w:r>
    </w:p>
    <w:p w14:paraId="0574EE22" w14:textId="0F439C49"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15.</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Zhu JM, Meiselbach MK, Drake C, Polsky D. Psychiatrist Networks In Medicare Advantage Plans Are Substantially Narrower Than In Medicaid And ACA Markets: Study examines psychiatrist networks in Medicare Advantage compared with Medicaid and ACA markets. </w:t>
      </w:r>
      <w:r w:rsidRPr="00305085">
        <w:rPr>
          <w:rFonts w:ascii="Times New Roman" w:hAnsi="Times New Roman" w:cs="Times New Roman"/>
          <w:i/>
          <w:iCs/>
          <w:kern w:val="0"/>
          <w:sz w:val="24"/>
          <w:szCs w:val="24"/>
        </w:rPr>
        <w:t>Health Aff (Millwood)</w:t>
      </w:r>
      <w:r w:rsidRPr="00305085">
        <w:rPr>
          <w:rFonts w:ascii="Times New Roman" w:hAnsi="Times New Roman" w:cs="Times New Roman"/>
          <w:kern w:val="0"/>
          <w:sz w:val="24"/>
          <w:szCs w:val="24"/>
        </w:rPr>
        <w:t>. 2023;42(7):909-918. doi:10.1377/hlthaff.2022.01547</w:t>
      </w:r>
    </w:p>
    <w:p w14:paraId="71E031DD" w14:textId="404AEF27"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lastRenderedPageBreak/>
        <w:t>16.</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Gupta R, Fein J, Newhouse JP, Schwartz AL. Comparison of prior authorization across insurers: cross sectional evidence from Medicare Advantage. </w:t>
      </w:r>
      <w:r w:rsidRPr="00305085">
        <w:rPr>
          <w:rFonts w:ascii="Times New Roman" w:hAnsi="Times New Roman" w:cs="Times New Roman"/>
          <w:i/>
          <w:iCs/>
          <w:kern w:val="0"/>
          <w:sz w:val="24"/>
          <w:szCs w:val="24"/>
        </w:rPr>
        <w:t>BMJ</w:t>
      </w:r>
      <w:r w:rsidRPr="00305085">
        <w:rPr>
          <w:rFonts w:ascii="Times New Roman" w:hAnsi="Times New Roman" w:cs="Times New Roman"/>
          <w:kern w:val="0"/>
          <w:sz w:val="24"/>
          <w:szCs w:val="24"/>
        </w:rPr>
        <w:t>. Published online March 7, 2024:e077797. doi:10.1136/bmj-2023-077797</w:t>
      </w:r>
    </w:p>
    <w:p w14:paraId="40E5EF3C" w14:textId="54EB76A4"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17.</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Neprash TH, Mulcahy J, Golberstein E. The Extent and Growth of Prior Authorization in Medicare Advantage. </w:t>
      </w:r>
      <w:r w:rsidRPr="00305085">
        <w:rPr>
          <w:rFonts w:ascii="Times New Roman" w:hAnsi="Times New Roman" w:cs="Times New Roman"/>
          <w:i/>
          <w:iCs/>
          <w:kern w:val="0"/>
          <w:sz w:val="24"/>
          <w:szCs w:val="24"/>
        </w:rPr>
        <w:t>Am J Manag Care</w:t>
      </w:r>
      <w:r w:rsidRPr="00305085">
        <w:rPr>
          <w:rFonts w:ascii="Times New Roman" w:hAnsi="Times New Roman" w:cs="Times New Roman"/>
          <w:kern w:val="0"/>
          <w:sz w:val="24"/>
          <w:szCs w:val="24"/>
        </w:rPr>
        <w:t>. 2024;30(3):e85-e92. doi:10.37765/ajmc.2024.89519</w:t>
      </w:r>
    </w:p>
    <w:p w14:paraId="5017A5B1" w14:textId="12E6D94A"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18.</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Meyers DJ, Mor V, Rahman M. Medicare Advantage Enrollees More Likely To Enter Lower-Quality Nursing Homes Compared To Fee-For-Service Enrollees. </w:t>
      </w:r>
      <w:r w:rsidRPr="00305085">
        <w:rPr>
          <w:rFonts w:ascii="Times New Roman" w:hAnsi="Times New Roman" w:cs="Times New Roman"/>
          <w:i/>
          <w:iCs/>
          <w:kern w:val="0"/>
          <w:sz w:val="24"/>
          <w:szCs w:val="24"/>
        </w:rPr>
        <w:t>Health Aff (Millwood)</w:t>
      </w:r>
      <w:r w:rsidRPr="00305085">
        <w:rPr>
          <w:rFonts w:ascii="Times New Roman" w:hAnsi="Times New Roman" w:cs="Times New Roman"/>
          <w:kern w:val="0"/>
          <w:sz w:val="24"/>
          <w:szCs w:val="24"/>
        </w:rPr>
        <w:t>. 2018;37(1):78-85. doi:10.1377/hlthaff.2017.0714</w:t>
      </w:r>
    </w:p>
    <w:p w14:paraId="363C496C" w14:textId="25E2ED19" w:rsidR="00BC3593" w:rsidRPr="00305085" w:rsidRDefault="00BC3593" w:rsidP="00305085">
      <w:pPr>
        <w:pStyle w:val="Bibliography"/>
        <w:spacing w:after="0" w:line="480" w:lineRule="auto"/>
        <w:rPr>
          <w:rFonts w:ascii="Times New Roman" w:hAnsi="Times New Roman" w:cs="Times New Roman"/>
          <w:kern w:val="0"/>
          <w:sz w:val="24"/>
          <w:szCs w:val="24"/>
        </w:rPr>
      </w:pPr>
      <w:r w:rsidRPr="00305085">
        <w:rPr>
          <w:rFonts w:ascii="Times New Roman" w:hAnsi="Times New Roman" w:cs="Times New Roman"/>
          <w:kern w:val="0"/>
          <w:sz w:val="24"/>
          <w:szCs w:val="24"/>
        </w:rPr>
        <w:t>19.</w:t>
      </w:r>
      <w:r w:rsidR="00FE119F">
        <w:rPr>
          <w:rFonts w:ascii="Times New Roman" w:hAnsi="Times New Roman" w:cs="Times New Roman"/>
          <w:kern w:val="0"/>
          <w:sz w:val="24"/>
          <w:szCs w:val="24"/>
        </w:rPr>
        <w:t xml:space="preserve"> </w:t>
      </w:r>
      <w:r w:rsidRPr="00305085">
        <w:rPr>
          <w:rFonts w:ascii="Times New Roman" w:hAnsi="Times New Roman" w:cs="Times New Roman"/>
          <w:kern w:val="0"/>
          <w:sz w:val="24"/>
          <w:szCs w:val="24"/>
        </w:rPr>
        <w:t xml:space="preserve">Haye S, Thunell J, Joyce G, et al. Estimates of diagnosed dementia prevalence and incidence among diverse beneficiaries in traditional Medicare and Medicare Advantage. </w:t>
      </w:r>
      <w:r w:rsidRPr="00305085">
        <w:rPr>
          <w:rFonts w:ascii="Times New Roman" w:hAnsi="Times New Roman" w:cs="Times New Roman"/>
          <w:i/>
          <w:iCs/>
          <w:kern w:val="0"/>
          <w:sz w:val="24"/>
          <w:szCs w:val="24"/>
        </w:rPr>
        <w:t>Alzheimers Dement Diagn Assess Dis Monit</w:t>
      </w:r>
      <w:r w:rsidRPr="00305085">
        <w:rPr>
          <w:rFonts w:ascii="Times New Roman" w:hAnsi="Times New Roman" w:cs="Times New Roman"/>
          <w:kern w:val="0"/>
          <w:sz w:val="24"/>
          <w:szCs w:val="24"/>
        </w:rPr>
        <w:t>. 2023;15(3):e12472. doi:10.1002/dad2.12472</w:t>
      </w:r>
    </w:p>
    <w:p w14:paraId="0D84065B" w14:textId="77777777" w:rsidR="00567708" w:rsidRDefault="001217E5" w:rsidP="00305085">
      <w:pPr>
        <w:spacing w:after="0" w:line="480" w:lineRule="auto"/>
        <w:rPr>
          <w:highlight w:val="yellow"/>
        </w:rPr>
        <w:sectPr w:rsidR="00567708">
          <w:pgSz w:w="12240" w:h="15840"/>
          <w:pgMar w:top="1440" w:right="1440" w:bottom="1440" w:left="1440" w:header="720" w:footer="720" w:gutter="0"/>
          <w:cols w:space="720"/>
          <w:docGrid w:linePitch="360"/>
        </w:sectPr>
      </w:pPr>
      <w:r w:rsidRPr="00305085">
        <w:rPr>
          <w:rFonts w:ascii="Times New Roman" w:hAnsi="Times New Roman" w:cs="Times New Roman"/>
          <w:sz w:val="24"/>
          <w:szCs w:val="24"/>
          <w:highlight w:val="yellow"/>
        </w:rPr>
        <w:fldChar w:fldCharType="end"/>
      </w:r>
    </w:p>
    <w:p w14:paraId="43E8FC2B" w14:textId="707347E7" w:rsidR="0090140E" w:rsidRPr="00D4039D" w:rsidRDefault="0090140E" w:rsidP="00D4039D">
      <w:pPr>
        <w:spacing w:after="0" w:line="240" w:lineRule="auto"/>
        <w:rPr>
          <w:rFonts w:ascii="Times New Roman" w:eastAsia="Times New Roman" w:hAnsi="Times New Roman" w:cs="Times New Roman"/>
          <w:b/>
          <w:bCs/>
          <w:color w:val="000000"/>
          <w:kern w:val="0"/>
          <w:sz w:val="24"/>
          <w:szCs w:val="24"/>
          <w14:ligatures w14:val="none"/>
        </w:rPr>
      </w:pPr>
      <w:r w:rsidRPr="00D4039D">
        <w:rPr>
          <w:rFonts w:ascii="Times New Roman" w:eastAsia="Times New Roman" w:hAnsi="Times New Roman" w:cs="Times New Roman"/>
          <w:b/>
          <w:bCs/>
          <w:color w:val="000000"/>
          <w:kern w:val="0"/>
          <w:sz w:val="24"/>
          <w:szCs w:val="24"/>
          <w14:ligatures w14:val="none"/>
        </w:rPr>
        <w:lastRenderedPageBreak/>
        <w:t>FIGURE LEGENDS</w:t>
      </w:r>
    </w:p>
    <w:p w14:paraId="6C551548" w14:textId="77777777" w:rsidR="0090140E" w:rsidRPr="00D4039D" w:rsidRDefault="0090140E" w:rsidP="00D4039D">
      <w:pPr>
        <w:spacing w:after="0" w:line="240" w:lineRule="auto"/>
        <w:rPr>
          <w:rFonts w:ascii="Times New Roman" w:eastAsia="Times New Roman" w:hAnsi="Times New Roman" w:cs="Times New Roman"/>
          <w:b/>
          <w:bCs/>
          <w:color w:val="000000"/>
          <w:kern w:val="0"/>
          <w:sz w:val="24"/>
          <w:szCs w:val="24"/>
          <w14:ligatures w14:val="none"/>
        </w:rPr>
      </w:pPr>
    </w:p>
    <w:p w14:paraId="4A5BCA1D" w14:textId="77777777" w:rsidR="007A106F" w:rsidRPr="00D4039D" w:rsidRDefault="007A106F" w:rsidP="00D4039D">
      <w:pPr>
        <w:spacing w:after="0" w:line="240" w:lineRule="auto"/>
        <w:rPr>
          <w:rFonts w:ascii="Times New Roman" w:hAnsi="Times New Roman" w:cs="Times New Roman"/>
          <w:b/>
          <w:bCs/>
          <w:noProof/>
          <w:sz w:val="24"/>
          <w:szCs w:val="24"/>
        </w:rPr>
      </w:pPr>
      <w:r w:rsidRPr="00D4039D">
        <w:rPr>
          <w:rFonts w:ascii="Times New Roman" w:hAnsi="Times New Roman" w:cs="Times New Roman"/>
          <w:b/>
          <w:bCs/>
          <w:noProof/>
          <w:sz w:val="24"/>
          <w:szCs w:val="24"/>
        </w:rPr>
        <w:t>Figure 2. Pattern of Care Experiences Over Time</w:t>
      </w:r>
    </w:p>
    <w:p w14:paraId="02A535A5" w14:textId="77777777" w:rsidR="0090140E" w:rsidRPr="00D4039D" w:rsidRDefault="0090140E" w:rsidP="00D4039D">
      <w:pPr>
        <w:spacing w:after="0" w:line="240" w:lineRule="auto"/>
        <w:rPr>
          <w:rFonts w:ascii="Times New Roman" w:eastAsia="Times New Roman" w:hAnsi="Times New Roman" w:cs="Times New Roman"/>
          <w:b/>
          <w:bCs/>
          <w:color w:val="000000"/>
          <w:kern w:val="0"/>
          <w:sz w:val="24"/>
          <w:szCs w:val="24"/>
          <w14:ligatures w14:val="none"/>
        </w:rPr>
      </w:pPr>
    </w:p>
    <w:p w14:paraId="5C3B37CC" w14:textId="77777777" w:rsidR="007A106F" w:rsidRPr="00D4039D" w:rsidRDefault="007A106F" w:rsidP="00D4039D">
      <w:pPr>
        <w:spacing w:after="0" w:line="240" w:lineRule="auto"/>
        <w:rPr>
          <w:rFonts w:ascii="Times New Roman" w:eastAsia="Times New Roman" w:hAnsi="Times New Roman" w:cs="Times New Roman"/>
          <w:color w:val="000000"/>
          <w:kern w:val="0"/>
          <w:sz w:val="24"/>
          <w:szCs w:val="24"/>
          <w14:ligatures w14:val="none"/>
        </w:rPr>
      </w:pPr>
      <w:r w:rsidRPr="00D4039D">
        <w:rPr>
          <w:rFonts w:ascii="Times New Roman" w:hAnsi="Times New Roman" w:cs="Times New Roman"/>
          <w:i/>
          <w:iCs/>
          <w:noProof/>
          <w:sz w:val="24"/>
          <w:szCs w:val="24"/>
        </w:rPr>
        <w:t xml:space="preserve">Notes: </w:t>
      </w:r>
      <w:r w:rsidRPr="00D4039D">
        <w:rPr>
          <w:rFonts w:ascii="Times New Roman" w:eastAsia="Times New Roman" w:hAnsi="Times New Roman" w:cs="Times New Roman"/>
          <w:color w:val="000000"/>
          <w:kern w:val="0"/>
          <w:sz w:val="24"/>
          <w:szCs w:val="24"/>
          <w14:ligatures w14:val="none"/>
        </w:rPr>
        <w:t>The working sample consists of MA beneficiaries from 2015-2022 MCBS. Beneficiaries with only partial enrollment in an MA plan during the past year at the time of the survey and veteran are excluded.</w:t>
      </w:r>
    </w:p>
    <w:p w14:paraId="5F0D4C41" w14:textId="77777777" w:rsidR="00D4039D" w:rsidRPr="00D4039D" w:rsidRDefault="00D4039D" w:rsidP="00D4039D">
      <w:pPr>
        <w:spacing w:after="0" w:line="240" w:lineRule="auto"/>
        <w:rPr>
          <w:rFonts w:ascii="Times New Roman" w:eastAsia="Times New Roman" w:hAnsi="Times New Roman" w:cs="Times New Roman"/>
          <w:color w:val="000000"/>
          <w:kern w:val="0"/>
          <w:sz w:val="24"/>
          <w:szCs w:val="24"/>
          <w14:ligatures w14:val="none"/>
        </w:rPr>
      </w:pPr>
    </w:p>
    <w:p w14:paraId="520603AC" w14:textId="77777777" w:rsidR="00D4039D" w:rsidRPr="00D4039D" w:rsidRDefault="00D4039D" w:rsidP="00D4039D">
      <w:pPr>
        <w:spacing w:after="0" w:line="240" w:lineRule="auto"/>
        <w:rPr>
          <w:rFonts w:ascii="Times New Roman" w:hAnsi="Times New Roman" w:cs="Times New Roman"/>
          <w:b/>
          <w:bCs/>
          <w:sz w:val="24"/>
          <w:szCs w:val="24"/>
        </w:rPr>
      </w:pPr>
      <w:r w:rsidRPr="00D4039D">
        <w:rPr>
          <w:rFonts w:ascii="Times New Roman" w:hAnsi="Times New Roman" w:cs="Times New Roman"/>
          <w:b/>
          <w:bCs/>
          <w:sz w:val="24"/>
          <w:szCs w:val="24"/>
        </w:rPr>
        <w:t>Figure 3. Association between the Inclusion of ADRD HCCs in Payment Model and Care Experiences</w:t>
      </w:r>
    </w:p>
    <w:p w14:paraId="3B3742AF" w14:textId="77777777" w:rsidR="00D4039D" w:rsidRPr="00D4039D" w:rsidRDefault="00D4039D" w:rsidP="00D4039D">
      <w:pPr>
        <w:spacing w:after="0" w:line="240" w:lineRule="auto"/>
        <w:rPr>
          <w:rFonts w:ascii="Times New Roman" w:eastAsia="Times New Roman" w:hAnsi="Times New Roman" w:cs="Times New Roman"/>
          <w:color w:val="000000"/>
          <w:kern w:val="0"/>
          <w:sz w:val="24"/>
          <w:szCs w:val="24"/>
          <w14:ligatures w14:val="none"/>
        </w:rPr>
      </w:pPr>
    </w:p>
    <w:p w14:paraId="7B3D8A44" w14:textId="77777777" w:rsidR="00D4039D" w:rsidRPr="00D4039D" w:rsidRDefault="00D4039D" w:rsidP="00D4039D">
      <w:pPr>
        <w:spacing w:after="0" w:line="240" w:lineRule="auto"/>
        <w:jc w:val="both"/>
        <w:rPr>
          <w:rFonts w:ascii="Times New Roman" w:hAnsi="Times New Roman" w:cs="Times New Roman"/>
          <w:i/>
          <w:iCs/>
          <w:sz w:val="24"/>
          <w:szCs w:val="24"/>
        </w:rPr>
      </w:pPr>
      <w:r w:rsidRPr="00D4039D">
        <w:rPr>
          <w:rFonts w:ascii="Times New Roman" w:hAnsi="Times New Roman" w:cs="Times New Roman"/>
          <w:i/>
          <w:iCs/>
          <w:sz w:val="24"/>
          <w:szCs w:val="24"/>
        </w:rPr>
        <w:t>Notes:</w:t>
      </w:r>
      <w:r w:rsidRPr="00D4039D">
        <w:rPr>
          <w:rFonts w:ascii="Times New Roman" w:eastAsia="Times New Roman" w:hAnsi="Times New Roman" w:cs="Times New Roman"/>
          <w:color w:val="000000"/>
          <w:kern w:val="0"/>
          <w:sz w:val="24"/>
          <w:szCs w:val="24"/>
          <w14:ligatures w14:val="none"/>
        </w:rPr>
        <w:t xml:space="preserve"> The working sample consists of MA beneficiaries from 2015-2022 MCBS. Beneficiaries with only partial enrollment in an MA plan </w:t>
      </w:r>
      <w:r w:rsidRPr="00D4039D">
        <w:rPr>
          <w:rFonts w:ascii="Times New Roman" w:hAnsi="Times New Roman" w:cs="Times New Roman"/>
          <w:color w:val="000000"/>
          <w:kern w:val="0"/>
          <w:sz w:val="24"/>
          <w:szCs w:val="24"/>
          <w14:ligatures w14:val="none"/>
        </w:rPr>
        <w:t>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r w:rsidRPr="00D4039D">
        <w:rPr>
          <w:rFonts w:ascii="Times New Roman" w:eastAsia="Times New Roman" w:hAnsi="Times New Roman" w:cs="Times New Roman"/>
          <w:color w:val="000000"/>
          <w:kern w:val="0"/>
          <w:sz w:val="24"/>
          <w:szCs w:val="24"/>
          <w14:ligatures w14:val="none"/>
        </w:rPr>
        <w:t xml:space="preserve"> </w:t>
      </w:r>
    </w:p>
    <w:p w14:paraId="08D8E385" w14:textId="77777777" w:rsidR="00D4039D" w:rsidRPr="00D4039D" w:rsidRDefault="00D4039D" w:rsidP="00D4039D">
      <w:pPr>
        <w:spacing w:after="0" w:line="240" w:lineRule="auto"/>
        <w:rPr>
          <w:rFonts w:ascii="Times New Roman" w:eastAsia="Times New Roman" w:hAnsi="Times New Roman" w:cs="Times New Roman"/>
          <w:color w:val="000000"/>
          <w:kern w:val="0"/>
          <w:sz w:val="24"/>
          <w:szCs w:val="24"/>
          <w14:ligatures w14:val="none"/>
        </w:rPr>
      </w:pPr>
    </w:p>
    <w:p w14:paraId="3FD8095D" w14:textId="77777777" w:rsidR="00D4039D" w:rsidRPr="00D4039D" w:rsidRDefault="00D4039D" w:rsidP="00D4039D">
      <w:pPr>
        <w:spacing w:after="0" w:line="240" w:lineRule="auto"/>
        <w:rPr>
          <w:rFonts w:ascii="Times New Roman" w:hAnsi="Times New Roman" w:cs="Times New Roman"/>
          <w:b/>
          <w:bCs/>
          <w:sz w:val="24"/>
          <w:szCs w:val="24"/>
        </w:rPr>
      </w:pPr>
      <w:r w:rsidRPr="00D4039D">
        <w:rPr>
          <w:rFonts w:ascii="Times New Roman" w:hAnsi="Times New Roman" w:cs="Times New Roman"/>
          <w:b/>
          <w:bCs/>
          <w:noProof/>
          <w:sz w:val="24"/>
          <w:szCs w:val="24"/>
        </w:rPr>
        <w:t xml:space="preserve">Figure 4. Dynamic Association between </w:t>
      </w:r>
      <w:r w:rsidRPr="00D4039D">
        <w:rPr>
          <w:rFonts w:ascii="Times New Roman" w:hAnsi="Times New Roman" w:cs="Times New Roman"/>
          <w:b/>
          <w:bCs/>
          <w:sz w:val="24"/>
          <w:szCs w:val="24"/>
        </w:rPr>
        <w:t>the Inclusion of ADRD HCCs in Payment Model and Care Experiences</w:t>
      </w:r>
    </w:p>
    <w:p w14:paraId="455F65B9" w14:textId="77777777" w:rsidR="00D4039D" w:rsidRPr="00D4039D" w:rsidRDefault="00D4039D" w:rsidP="00D4039D">
      <w:pPr>
        <w:spacing w:after="0" w:line="240" w:lineRule="auto"/>
        <w:rPr>
          <w:rFonts w:ascii="Times New Roman" w:hAnsi="Times New Roman" w:cs="Times New Roman"/>
          <w:b/>
          <w:bCs/>
          <w:sz w:val="24"/>
          <w:szCs w:val="24"/>
        </w:rPr>
      </w:pPr>
    </w:p>
    <w:p w14:paraId="5EC96B74" w14:textId="77777777" w:rsidR="00D4039D" w:rsidRPr="00D4039D" w:rsidRDefault="00D4039D" w:rsidP="00D4039D">
      <w:pPr>
        <w:spacing w:after="0" w:line="240" w:lineRule="auto"/>
        <w:jc w:val="both"/>
        <w:rPr>
          <w:sz w:val="24"/>
          <w:szCs w:val="24"/>
        </w:rPr>
      </w:pPr>
      <w:r w:rsidRPr="00D4039D">
        <w:rPr>
          <w:rFonts w:ascii="Times New Roman" w:hAnsi="Times New Roman" w:cs="Times New Roman"/>
          <w:i/>
          <w:iCs/>
          <w:sz w:val="24"/>
          <w:szCs w:val="24"/>
        </w:rPr>
        <w:t>Notes:</w:t>
      </w:r>
      <w:r w:rsidRPr="00D4039D">
        <w:rPr>
          <w:rFonts w:ascii="Times New Roman" w:eastAsia="Times New Roman" w:hAnsi="Times New Roman" w:cs="Times New Roman"/>
          <w:color w:val="000000"/>
          <w:kern w:val="0"/>
          <w:sz w:val="24"/>
          <w:szCs w:val="24"/>
          <w14:ligatures w14:val="none"/>
        </w:rPr>
        <w:t xml:space="preserve"> The working sample consists of MA beneficiaries from 2015-2022 MCBS. Beneficiaries with only partial enrollment in an MA plan during the past year at the time of the survey and veteran are excluded. Each figure presents results from an event study model, with the dependent variable specified above. The plotted estimates represent the coefficients for the interaction term between treated indicator and year indicators. </w:t>
      </w:r>
      <w:r w:rsidRPr="00D4039D">
        <w:rPr>
          <w:rFonts w:ascii="Times New Roman" w:hAnsi="Times New Roman" w:cs="Times New Roman"/>
          <w:color w:val="000000"/>
          <w:kern w:val="0"/>
          <w:sz w:val="24"/>
          <w:szCs w:val="24"/>
          <w14:ligatures w14:val="none"/>
        </w:rPr>
        <w:t xml:space="preserve">In each estimation, the treatment group consists of MA beneficiaries with ADRD, and the control group consists of MA beneficiaries without ADRD but with stroke/brain hemorrhage, complete/partial paralysis, or Parkinson’s diseases. </w:t>
      </w:r>
      <w:r w:rsidRPr="00D4039D">
        <w:rPr>
          <w:rFonts w:ascii="Times New Roman" w:eastAsia="Times New Roman" w:hAnsi="Times New Roman" w:cs="Times New Roman"/>
          <w:color w:val="000000"/>
          <w:kern w:val="0"/>
          <w:sz w:val="24"/>
          <w:szCs w:val="24"/>
          <w14:ligatures w14:val="none"/>
        </w:rPr>
        <w:t>The associated 95% CIs are also plotted. Robust standard errors are applied.</w:t>
      </w:r>
    </w:p>
    <w:p w14:paraId="2A02616C" w14:textId="77777777" w:rsidR="00D4039D" w:rsidRPr="00D4039D" w:rsidRDefault="00D4039D" w:rsidP="00D4039D">
      <w:pPr>
        <w:spacing w:after="0" w:line="240" w:lineRule="auto"/>
        <w:rPr>
          <w:rFonts w:ascii="Times New Roman" w:hAnsi="Times New Roman" w:cs="Times New Roman"/>
          <w:b/>
          <w:bCs/>
          <w:sz w:val="24"/>
          <w:szCs w:val="24"/>
        </w:rPr>
      </w:pPr>
    </w:p>
    <w:p w14:paraId="76BC331B" w14:textId="77777777" w:rsidR="00D4039D" w:rsidRDefault="00D4039D" w:rsidP="007A106F">
      <w:pPr>
        <w:spacing w:after="0" w:line="240" w:lineRule="auto"/>
        <w:rPr>
          <w:rFonts w:ascii="Times New Roman" w:eastAsia="Times New Roman" w:hAnsi="Times New Roman" w:cs="Times New Roman"/>
          <w:color w:val="000000"/>
          <w:kern w:val="0"/>
          <w14:ligatures w14:val="none"/>
        </w:rPr>
      </w:pPr>
    </w:p>
    <w:p w14:paraId="1745A634" w14:textId="77777777" w:rsidR="00D4039D" w:rsidRDefault="00D4039D" w:rsidP="007A106F">
      <w:pPr>
        <w:spacing w:after="0" w:line="240" w:lineRule="auto"/>
        <w:rPr>
          <w:rFonts w:ascii="Times New Roman" w:eastAsia="Times New Roman" w:hAnsi="Times New Roman" w:cs="Times New Roman"/>
          <w:color w:val="000000"/>
          <w:kern w:val="0"/>
          <w14:ligatures w14:val="none"/>
        </w:rPr>
      </w:pPr>
    </w:p>
    <w:p w14:paraId="31E7D146" w14:textId="77777777" w:rsidR="00D4039D" w:rsidRPr="00510087" w:rsidRDefault="00D4039D" w:rsidP="007A106F">
      <w:pPr>
        <w:spacing w:after="0" w:line="240" w:lineRule="auto"/>
        <w:sectPr w:rsidR="00D4039D" w:rsidRPr="00510087" w:rsidSect="007A106F">
          <w:pgSz w:w="12240" w:h="15840"/>
          <w:pgMar w:top="1440" w:right="1440" w:bottom="1440" w:left="1440" w:header="720" w:footer="720" w:gutter="0"/>
          <w:cols w:space="720"/>
          <w:docGrid w:linePitch="360"/>
        </w:sectPr>
      </w:pPr>
    </w:p>
    <w:p w14:paraId="314CFC99" w14:textId="29F4FC15" w:rsidR="0090140E" w:rsidRDefault="0090140E" w:rsidP="00DA2372">
      <w:pPr>
        <w:spacing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lastRenderedPageBreak/>
        <w:t>TABLES</w:t>
      </w:r>
    </w:p>
    <w:p w14:paraId="2009707B" w14:textId="77777777" w:rsidR="0090140E" w:rsidRDefault="0090140E" w:rsidP="00DA2372">
      <w:pPr>
        <w:spacing w:after="0" w:line="240" w:lineRule="auto"/>
        <w:rPr>
          <w:rFonts w:ascii="Times New Roman" w:eastAsia="Times New Roman" w:hAnsi="Times New Roman" w:cs="Times New Roman"/>
          <w:b/>
          <w:bCs/>
          <w:color w:val="000000"/>
          <w:kern w:val="0"/>
          <w:sz w:val="24"/>
          <w:szCs w:val="24"/>
          <w14:ligatures w14:val="none"/>
        </w:rPr>
      </w:pPr>
    </w:p>
    <w:p w14:paraId="222B6A9F" w14:textId="082FEABD" w:rsidR="00567708" w:rsidRDefault="00DA2372" w:rsidP="00DA2372">
      <w:pPr>
        <w:spacing w:after="0" w:line="240" w:lineRule="auto"/>
        <w:rPr>
          <w:rFonts w:ascii="Times New Roman" w:eastAsia="Times New Roman" w:hAnsi="Times New Roman" w:cs="Times New Roman"/>
          <w:b/>
          <w:bCs/>
          <w:color w:val="000000"/>
          <w:kern w:val="0"/>
          <w:sz w:val="24"/>
          <w:szCs w:val="24"/>
          <w14:ligatures w14:val="none"/>
        </w:rPr>
      </w:pPr>
      <w:r w:rsidRPr="00F2771B">
        <w:rPr>
          <w:rFonts w:ascii="Times New Roman" w:eastAsia="Times New Roman" w:hAnsi="Times New Roman" w:cs="Times New Roman"/>
          <w:b/>
          <w:bCs/>
          <w:color w:val="000000"/>
          <w:kern w:val="0"/>
          <w:sz w:val="24"/>
          <w:szCs w:val="24"/>
          <w14:ligatures w14:val="none"/>
        </w:rPr>
        <w:t>Table 1. Summary Statistics for Analytical Sample</w:t>
      </w:r>
    </w:p>
    <w:p w14:paraId="1C29AFEA" w14:textId="77777777" w:rsidR="00DA2372" w:rsidRDefault="00DA2372" w:rsidP="00DA2372">
      <w:pPr>
        <w:spacing w:after="0" w:line="240" w:lineRule="auto"/>
        <w:rPr>
          <w:rFonts w:ascii="Times New Roman" w:eastAsia="Times New Roman" w:hAnsi="Times New Roman" w:cs="Times New Roman"/>
          <w:b/>
          <w:bCs/>
          <w:color w:val="000000"/>
          <w:kern w:val="0"/>
          <w14:ligatures w14:val="none"/>
        </w:rPr>
      </w:pPr>
    </w:p>
    <w:tbl>
      <w:tblPr>
        <w:tblW w:w="0" w:type="auto"/>
        <w:tblLook w:val="04A0" w:firstRow="1" w:lastRow="0" w:firstColumn="1" w:lastColumn="0" w:noHBand="0" w:noVBand="1"/>
      </w:tblPr>
      <w:tblGrid>
        <w:gridCol w:w="4139"/>
        <w:gridCol w:w="1481"/>
        <w:gridCol w:w="1591"/>
        <w:gridCol w:w="2081"/>
      </w:tblGrid>
      <w:tr w:rsidR="00DA2372" w:rsidRPr="00DA2372" w14:paraId="24E8A35F" w14:textId="77777777" w:rsidTr="00DA2372">
        <w:trPr>
          <w:trHeight w:val="600"/>
        </w:trPr>
        <w:tc>
          <w:tcPr>
            <w:tcW w:w="0" w:type="auto"/>
            <w:tcBorders>
              <w:top w:val="nil"/>
              <w:left w:val="nil"/>
              <w:bottom w:val="nil"/>
              <w:right w:val="nil"/>
            </w:tcBorders>
            <w:noWrap/>
            <w:vAlign w:val="bottom"/>
            <w:hideMark/>
          </w:tcPr>
          <w:p w14:paraId="1AF0ECEE"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w:t>
            </w:r>
          </w:p>
        </w:tc>
        <w:tc>
          <w:tcPr>
            <w:tcW w:w="0" w:type="auto"/>
            <w:tcBorders>
              <w:top w:val="nil"/>
              <w:left w:val="nil"/>
              <w:bottom w:val="nil"/>
              <w:right w:val="nil"/>
            </w:tcBorders>
            <w:noWrap/>
            <w:vAlign w:val="bottom"/>
            <w:hideMark/>
          </w:tcPr>
          <w:p w14:paraId="27BE1C30" w14:textId="77777777" w:rsidR="00DA2372" w:rsidRPr="00DA2372" w:rsidRDefault="00DA2372" w:rsidP="002E7819">
            <w:pPr>
              <w:spacing w:after="0" w:line="240" w:lineRule="auto"/>
              <w:jc w:val="center"/>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 xml:space="preserve">All </w:t>
            </w:r>
          </w:p>
        </w:tc>
        <w:tc>
          <w:tcPr>
            <w:tcW w:w="0" w:type="auto"/>
            <w:tcBorders>
              <w:top w:val="nil"/>
              <w:left w:val="nil"/>
              <w:bottom w:val="nil"/>
              <w:right w:val="nil"/>
            </w:tcBorders>
            <w:noWrap/>
            <w:vAlign w:val="bottom"/>
            <w:hideMark/>
          </w:tcPr>
          <w:p w14:paraId="434C19FB" w14:textId="77777777" w:rsidR="00DA2372" w:rsidRPr="00DA2372" w:rsidRDefault="00DA2372" w:rsidP="002E7819">
            <w:pPr>
              <w:spacing w:after="0" w:line="240" w:lineRule="auto"/>
              <w:jc w:val="center"/>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 xml:space="preserve">ADRD </w:t>
            </w:r>
          </w:p>
        </w:tc>
        <w:tc>
          <w:tcPr>
            <w:tcW w:w="0" w:type="auto"/>
            <w:tcBorders>
              <w:top w:val="nil"/>
              <w:left w:val="nil"/>
              <w:bottom w:val="nil"/>
              <w:right w:val="nil"/>
            </w:tcBorders>
            <w:vAlign w:val="bottom"/>
            <w:hideMark/>
          </w:tcPr>
          <w:p w14:paraId="598D8308" w14:textId="77777777" w:rsidR="00DA2372" w:rsidRPr="00DA2372" w:rsidRDefault="00DA2372" w:rsidP="002E7819">
            <w:pPr>
              <w:spacing w:after="0" w:line="240" w:lineRule="auto"/>
              <w:jc w:val="center"/>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Stroke/Paralysis/</w:t>
            </w:r>
            <w:r w:rsidRPr="00DA2372">
              <w:rPr>
                <w:rFonts w:ascii="Times New Roman" w:eastAsia="Times New Roman" w:hAnsi="Times New Roman" w:cs="Times New Roman"/>
                <w:b/>
                <w:bCs/>
                <w:kern w:val="0"/>
                <w14:ligatures w14:val="none"/>
              </w:rPr>
              <w:br/>
              <w:t xml:space="preserve">Parkinson's Disease </w:t>
            </w:r>
          </w:p>
        </w:tc>
      </w:tr>
      <w:tr w:rsidR="00DA2372" w:rsidRPr="00DA2372" w14:paraId="41CE824C" w14:textId="77777777" w:rsidTr="00DA2372">
        <w:trPr>
          <w:trHeight w:val="300"/>
        </w:trPr>
        <w:tc>
          <w:tcPr>
            <w:tcW w:w="0" w:type="auto"/>
            <w:tcBorders>
              <w:top w:val="nil"/>
              <w:left w:val="nil"/>
              <w:bottom w:val="single" w:sz="4" w:space="0" w:color="auto"/>
              <w:right w:val="nil"/>
            </w:tcBorders>
            <w:noWrap/>
            <w:vAlign w:val="bottom"/>
            <w:hideMark/>
          </w:tcPr>
          <w:p w14:paraId="0BD048B5"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w:t>
            </w:r>
          </w:p>
        </w:tc>
        <w:tc>
          <w:tcPr>
            <w:tcW w:w="0" w:type="auto"/>
            <w:tcBorders>
              <w:top w:val="nil"/>
              <w:left w:val="nil"/>
              <w:bottom w:val="single" w:sz="4" w:space="0" w:color="auto"/>
              <w:right w:val="nil"/>
            </w:tcBorders>
            <w:noWrap/>
            <w:vAlign w:val="bottom"/>
            <w:hideMark/>
          </w:tcPr>
          <w:p w14:paraId="50820F62" w14:textId="77777777" w:rsidR="00DA2372" w:rsidRPr="00DA2372" w:rsidRDefault="00DA2372" w:rsidP="002E7819">
            <w:pPr>
              <w:spacing w:after="0" w:line="240" w:lineRule="auto"/>
              <w:jc w:val="center"/>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N (%)</w:t>
            </w:r>
          </w:p>
        </w:tc>
        <w:tc>
          <w:tcPr>
            <w:tcW w:w="0" w:type="auto"/>
            <w:tcBorders>
              <w:top w:val="nil"/>
              <w:left w:val="nil"/>
              <w:bottom w:val="single" w:sz="4" w:space="0" w:color="auto"/>
              <w:right w:val="nil"/>
            </w:tcBorders>
            <w:noWrap/>
            <w:vAlign w:val="bottom"/>
            <w:hideMark/>
          </w:tcPr>
          <w:p w14:paraId="28951552" w14:textId="77777777" w:rsidR="00DA2372" w:rsidRPr="00DA2372" w:rsidRDefault="00DA2372" w:rsidP="002E7819">
            <w:pPr>
              <w:spacing w:after="0" w:line="240" w:lineRule="auto"/>
              <w:jc w:val="center"/>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N (%)</w:t>
            </w:r>
          </w:p>
        </w:tc>
        <w:tc>
          <w:tcPr>
            <w:tcW w:w="0" w:type="auto"/>
            <w:tcBorders>
              <w:top w:val="nil"/>
              <w:left w:val="nil"/>
              <w:bottom w:val="single" w:sz="4" w:space="0" w:color="auto"/>
              <w:right w:val="nil"/>
            </w:tcBorders>
            <w:noWrap/>
            <w:vAlign w:val="bottom"/>
            <w:hideMark/>
          </w:tcPr>
          <w:p w14:paraId="7A5FA1C8" w14:textId="77777777" w:rsidR="00DA2372" w:rsidRPr="00DA2372" w:rsidRDefault="00DA2372" w:rsidP="002E7819">
            <w:pPr>
              <w:spacing w:after="0" w:line="240" w:lineRule="auto"/>
              <w:jc w:val="center"/>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N (%)</w:t>
            </w:r>
          </w:p>
        </w:tc>
      </w:tr>
      <w:tr w:rsidR="00DA2372" w:rsidRPr="00DA2372" w14:paraId="5884DB83" w14:textId="77777777" w:rsidTr="00DA2372">
        <w:trPr>
          <w:trHeight w:val="300"/>
        </w:trPr>
        <w:tc>
          <w:tcPr>
            <w:tcW w:w="0" w:type="auto"/>
            <w:tcBorders>
              <w:top w:val="nil"/>
              <w:left w:val="nil"/>
              <w:bottom w:val="nil"/>
              <w:right w:val="nil"/>
            </w:tcBorders>
            <w:noWrap/>
            <w:vAlign w:val="bottom"/>
            <w:hideMark/>
          </w:tcPr>
          <w:p w14:paraId="2A697534"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Observations</w:t>
            </w:r>
          </w:p>
        </w:tc>
        <w:tc>
          <w:tcPr>
            <w:tcW w:w="0" w:type="auto"/>
            <w:tcBorders>
              <w:top w:val="nil"/>
              <w:left w:val="nil"/>
              <w:bottom w:val="nil"/>
              <w:right w:val="nil"/>
            </w:tcBorders>
            <w:noWrap/>
            <w:vAlign w:val="bottom"/>
            <w:hideMark/>
          </w:tcPr>
          <w:p w14:paraId="2AC20C5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5,353 (100%)</w:t>
            </w:r>
          </w:p>
        </w:tc>
        <w:tc>
          <w:tcPr>
            <w:tcW w:w="0" w:type="auto"/>
            <w:tcBorders>
              <w:top w:val="nil"/>
              <w:left w:val="nil"/>
              <w:bottom w:val="nil"/>
              <w:right w:val="nil"/>
            </w:tcBorders>
            <w:noWrap/>
            <w:vAlign w:val="bottom"/>
            <w:hideMark/>
          </w:tcPr>
          <w:p w14:paraId="715FD47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1,629 (100.0%)</w:t>
            </w:r>
          </w:p>
        </w:tc>
        <w:tc>
          <w:tcPr>
            <w:tcW w:w="0" w:type="auto"/>
            <w:tcBorders>
              <w:top w:val="nil"/>
              <w:left w:val="nil"/>
              <w:bottom w:val="nil"/>
              <w:right w:val="nil"/>
            </w:tcBorders>
            <w:noWrap/>
            <w:vAlign w:val="bottom"/>
            <w:hideMark/>
          </w:tcPr>
          <w:p w14:paraId="046602C4"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3,724 (100.0%)</w:t>
            </w:r>
          </w:p>
        </w:tc>
      </w:tr>
      <w:tr w:rsidR="00DA2372" w:rsidRPr="00DA2372" w14:paraId="103F6376" w14:textId="77777777" w:rsidTr="00DA2372">
        <w:trPr>
          <w:trHeight w:val="300"/>
        </w:trPr>
        <w:tc>
          <w:tcPr>
            <w:tcW w:w="0" w:type="auto"/>
            <w:tcBorders>
              <w:top w:val="nil"/>
              <w:left w:val="nil"/>
              <w:bottom w:val="nil"/>
              <w:right w:val="nil"/>
            </w:tcBorders>
            <w:noWrap/>
            <w:vAlign w:val="bottom"/>
            <w:hideMark/>
          </w:tcPr>
          <w:p w14:paraId="7BE62746"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Dependent Vars:</w:t>
            </w:r>
          </w:p>
        </w:tc>
        <w:tc>
          <w:tcPr>
            <w:tcW w:w="0" w:type="auto"/>
            <w:tcBorders>
              <w:top w:val="nil"/>
              <w:left w:val="nil"/>
              <w:bottom w:val="nil"/>
              <w:right w:val="nil"/>
            </w:tcBorders>
            <w:noWrap/>
            <w:vAlign w:val="bottom"/>
            <w:hideMark/>
          </w:tcPr>
          <w:p w14:paraId="477D9DD8"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p>
        </w:tc>
        <w:tc>
          <w:tcPr>
            <w:tcW w:w="0" w:type="auto"/>
            <w:tcBorders>
              <w:top w:val="nil"/>
              <w:left w:val="nil"/>
              <w:bottom w:val="nil"/>
              <w:right w:val="nil"/>
            </w:tcBorders>
            <w:noWrap/>
            <w:vAlign w:val="bottom"/>
            <w:hideMark/>
          </w:tcPr>
          <w:p w14:paraId="391D333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3042DDB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p>
        </w:tc>
      </w:tr>
      <w:tr w:rsidR="00DA2372" w:rsidRPr="00DA2372" w14:paraId="2DC1563C" w14:textId="77777777" w:rsidTr="00DA2372">
        <w:trPr>
          <w:trHeight w:val="300"/>
        </w:trPr>
        <w:tc>
          <w:tcPr>
            <w:tcW w:w="0" w:type="auto"/>
            <w:tcBorders>
              <w:top w:val="nil"/>
              <w:left w:val="nil"/>
              <w:bottom w:val="nil"/>
              <w:right w:val="nil"/>
            </w:tcBorders>
            <w:noWrap/>
            <w:vAlign w:val="bottom"/>
            <w:hideMark/>
          </w:tcPr>
          <w:p w14:paraId="6AD75405"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hAnsi="Times New Roman" w:cs="Times New Roman"/>
                <w:kern w:val="0"/>
                <w14:ligatures w14:val="none"/>
              </w:rPr>
              <w:t>Any</w:t>
            </w:r>
            <w:r w:rsidRPr="00DA2372">
              <w:rPr>
                <w:rFonts w:ascii="Times New Roman" w:eastAsia="Times New Roman" w:hAnsi="Times New Roman" w:cs="Times New Roman"/>
                <w:kern w:val="0"/>
                <w14:ligatures w14:val="none"/>
              </w:rPr>
              <w:t xml:space="preserve"> Troubles Getting Needed Care</w:t>
            </w:r>
          </w:p>
        </w:tc>
        <w:tc>
          <w:tcPr>
            <w:tcW w:w="0" w:type="auto"/>
            <w:tcBorders>
              <w:top w:val="nil"/>
              <w:left w:val="nil"/>
              <w:bottom w:val="nil"/>
              <w:right w:val="nil"/>
            </w:tcBorders>
            <w:noWrap/>
            <w:vAlign w:val="bottom"/>
            <w:hideMark/>
          </w:tcPr>
          <w:p w14:paraId="61BF3FD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01004CCF"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038F5BC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p>
        </w:tc>
      </w:tr>
      <w:tr w:rsidR="00DA2372" w:rsidRPr="00DA2372" w14:paraId="42811A02" w14:textId="77777777" w:rsidTr="00DA2372">
        <w:trPr>
          <w:trHeight w:val="300"/>
        </w:trPr>
        <w:tc>
          <w:tcPr>
            <w:tcW w:w="0" w:type="auto"/>
            <w:tcBorders>
              <w:top w:val="nil"/>
              <w:left w:val="nil"/>
              <w:bottom w:val="nil"/>
              <w:right w:val="nil"/>
            </w:tcBorders>
            <w:noWrap/>
            <w:vAlign w:val="bottom"/>
            <w:hideMark/>
          </w:tcPr>
          <w:p w14:paraId="6D1618D1" w14:textId="77777777" w:rsidR="00DA2372" w:rsidRPr="00DA2372" w:rsidRDefault="00DA2372" w:rsidP="002E7819">
            <w:pPr>
              <w:spacing w:after="0" w:line="240" w:lineRule="auto"/>
              <w:rPr>
                <w:rFonts w:ascii="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w:t>
            </w:r>
            <w:r w:rsidRPr="00DA2372">
              <w:rPr>
                <w:rFonts w:ascii="Times New Roman" w:hAnsi="Times New Roman" w:cs="Times New Roman"/>
                <w:kern w:val="0"/>
                <w14:ligatures w14:val="none"/>
              </w:rPr>
              <w:t>Yes</w:t>
            </w:r>
          </w:p>
        </w:tc>
        <w:tc>
          <w:tcPr>
            <w:tcW w:w="0" w:type="auto"/>
            <w:tcBorders>
              <w:top w:val="nil"/>
              <w:left w:val="nil"/>
              <w:bottom w:val="nil"/>
              <w:right w:val="nil"/>
            </w:tcBorders>
            <w:noWrap/>
            <w:vAlign w:val="bottom"/>
            <w:hideMark/>
          </w:tcPr>
          <w:p w14:paraId="03C30A6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536 (10.0%)</w:t>
            </w:r>
          </w:p>
        </w:tc>
        <w:tc>
          <w:tcPr>
            <w:tcW w:w="0" w:type="auto"/>
            <w:tcBorders>
              <w:top w:val="nil"/>
              <w:left w:val="nil"/>
              <w:bottom w:val="nil"/>
              <w:right w:val="nil"/>
            </w:tcBorders>
            <w:noWrap/>
            <w:vAlign w:val="bottom"/>
            <w:hideMark/>
          </w:tcPr>
          <w:p w14:paraId="6C72752B"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142 (8.7%)</w:t>
            </w:r>
          </w:p>
        </w:tc>
        <w:tc>
          <w:tcPr>
            <w:tcW w:w="0" w:type="auto"/>
            <w:tcBorders>
              <w:top w:val="nil"/>
              <w:left w:val="nil"/>
              <w:bottom w:val="nil"/>
              <w:right w:val="nil"/>
            </w:tcBorders>
            <w:noWrap/>
            <w:vAlign w:val="bottom"/>
            <w:hideMark/>
          </w:tcPr>
          <w:p w14:paraId="7E05E076"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394 (10.6%)</w:t>
            </w:r>
          </w:p>
        </w:tc>
      </w:tr>
      <w:tr w:rsidR="00DA2372" w:rsidRPr="00DA2372" w14:paraId="57172061" w14:textId="77777777" w:rsidTr="00DA2372">
        <w:trPr>
          <w:trHeight w:val="300"/>
        </w:trPr>
        <w:tc>
          <w:tcPr>
            <w:tcW w:w="0" w:type="auto"/>
            <w:tcBorders>
              <w:top w:val="nil"/>
              <w:left w:val="nil"/>
              <w:bottom w:val="nil"/>
              <w:right w:val="nil"/>
            </w:tcBorders>
            <w:noWrap/>
            <w:vAlign w:val="bottom"/>
            <w:hideMark/>
          </w:tcPr>
          <w:p w14:paraId="6DCFA467" w14:textId="77777777" w:rsidR="00DA2372" w:rsidRPr="00DA2372" w:rsidRDefault="00DA2372" w:rsidP="002E7819">
            <w:pPr>
              <w:spacing w:after="0" w:line="240" w:lineRule="auto"/>
              <w:rPr>
                <w:rFonts w:ascii="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w:t>
            </w:r>
            <w:r w:rsidRPr="00DA2372">
              <w:rPr>
                <w:rFonts w:ascii="Times New Roman" w:hAnsi="Times New Roman" w:cs="Times New Roman"/>
                <w:kern w:val="0"/>
                <w14:ligatures w14:val="none"/>
              </w:rPr>
              <w:t>No</w:t>
            </w:r>
          </w:p>
        </w:tc>
        <w:tc>
          <w:tcPr>
            <w:tcW w:w="0" w:type="auto"/>
            <w:tcBorders>
              <w:top w:val="nil"/>
              <w:left w:val="nil"/>
              <w:bottom w:val="nil"/>
              <w:right w:val="nil"/>
            </w:tcBorders>
            <w:noWrap/>
            <w:vAlign w:val="bottom"/>
            <w:hideMark/>
          </w:tcPr>
          <w:p w14:paraId="51E2EFE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4,803 (90.0%)</w:t>
            </w:r>
          </w:p>
        </w:tc>
        <w:tc>
          <w:tcPr>
            <w:tcW w:w="0" w:type="auto"/>
            <w:tcBorders>
              <w:top w:val="nil"/>
              <w:left w:val="nil"/>
              <w:bottom w:val="nil"/>
              <w:right w:val="nil"/>
            </w:tcBorders>
            <w:noWrap/>
            <w:vAlign w:val="bottom"/>
            <w:hideMark/>
          </w:tcPr>
          <w:p w14:paraId="0A1ABE7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1,482 (91.3%)</w:t>
            </w:r>
          </w:p>
        </w:tc>
        <w:tc>
          <w:tcPr>
            <w:tcW w:w="0" w:type="auto"/>
            <w:tcBorders>
              <w:top w:val="nil"/>
              <w:left w:val="nil"/>
              <w:bottom w:val="nil"/>
              <w:right w:val="nil"/>
            </w:tcBorders>
            <w:noWrap/>
            <w:vAlign w:val="bottom"/>
            <w:hideMark/>
          </w:tcPr>
          <w:p w14:paraId="3F08FE7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3,321 (89.4%)</w:t>
            </w:r>
          </w:p>
        </w:tc>
      </w:tr>
      <w:tr w:rsidR="00DA2372" w:rsidRPr="00DA2372" w14:paraId="74B51E97" w14:textId="77777777" w:rsidTr="00DA2372">
        <w:trPr>
          <w:trHeight w:val="300"/>
        </w:trPr>
        <w:tc>
          <w:tcPr>
            <w:tcW w:w="0" w:type="auto"/>
            <w:tcBorders>
              <w:top w:val="nil"/>
              <w:left w:val="nil"/>
              <w:bottom w:val="nil"/>
              <w:right w:val="nil"/>
            </w:tcBorders>
            <w:noWrap/>
            <w:vAlign w:val="bottom"/>
            <w:hideMark/>
          </w:tcPr>
          <w:p w14:paraId="2D41FA76"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hAnsi="Times New Roman" w:cs="Times New Roman"/>
                <w:kern w:val="0"/>
                <w14:ligatures w14:val="none"/>
              </w:rPr>
              <w:t>Any</w:t>
            </w:r>
            <w:r w:rsidRPr="00DA2372">
              <w:rPr>
                <w:rFonts w:ascii="Times New Roman" w:eastAsia="Times New Roman" w:hAnsi="Times New Roman" w:cs="Times New Roman"/>
                <w:kern w:val="0"/>
                <w14:ligatures w14:val="none"/>
              </w:rPr>
              <w:t xml:space="preserve"> Medical Financial Burden</w:t>
            </w:r>
          </w:p>
        </w:tc>
        <w:tc>
          <w:tcPr>
            <w:tcW w:w="0" w:type="auto"/>
            <w:tcBorders>
              <w:top w:val="nil"/>
              <w:left w:val="nil"/>
              <w:bottom w:val="nil"/>
              <w:right w:val="nil"/>
            </w:tcBorders>
            <w:noWrap/>
            <w:vAlign w:val="bottom"/>
            <w:hideMark/>
          </w:tcPr>
          <w:p w14:paraId="573256CF"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41392A27"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4912E3AC"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r>
      <w:tr w:rsidR="00DA2372" w:rsidRPr="00DA2372" w14:paraId="45992B0C" w14:textId="77777777" w:rsidTr="00DA2372">
        <w:trPr>
          <w:trHeight w:val="300"/>
        </w:trPr>
        <w:tc>
          <w:tcPr>
            <w:tcW w:w="0" w:type="auto"/>
            <w:tcBorders>
              <w:top w:val="nil"/>
              <w:left w:val="nil"/>
              <w:bottom w:val="nil"/>
              <w:right w:val="nil"/>
            </w:tcBorders>
            <w:noWrap/>
            <w:vAlign w:val="bottom"/>
            <w:hideMark/>
          </w:tcPr>
          <w:p w14:paraId="63637047" w14:textId="77777777" w:rsidR="00DA2372" w:rsidRPr="00DA2372" w:rsidRDefault="00DA2372" w:rsidP="002E7819">
            <w:pPr>
              <w:spacing w:after="0" w:line="240" w:lineRule="auto"/>
              <w:rPr>
                <w:rFonts w:ascii="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w:t>
            </w:r>
            <w:r w:rsidRPr="00DA2372">
              <w:rPr>
                <w:rFonts w:ascii="Times New Roman" w:hAnsi="Times New Roman" w:cs="Times New Roman"/>
                <w:kern w:val="0"/>
                <w14:ligatures w14:val="none"/>
              </w:rPr>
              <w:t>Yes</w:t>
            </w:r>
          </w:p>
        </w:tc>
        <w:tc>
          <w:tcPr>
            <w:tcW w:w="0" w:type="auto"/>
            <w:tcBorders>
              <w:top w:val="nil"/>
              <w:left w:val="nil"/>
              <w:bottom w:val="nil"/>
              <w:right w:val="nil"/>
            </w:tcBorders>
            <w:noWrap/>
            <w:vAlign w:val="bottom"/>
            <w:hideMark/>
          </w:tcPr>
          <w:p w14:paraId="78D7438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975 (23.4%)</w:t>
            </w:r>
          </w:p>
        </w:tc>
        <w:tc>
          <w:tcPr>
            <w:tcW w:w="0" w:type="auto"/>
            <w:tcBorders>
              <w:top w:val="nil"/>
              <w:left w:val="nil"/>
              <w:bottom w:val="nil"/>
              <w:right w:val="nil"/>
            </w:tcBorders>
            <w:noWrap/>
            <w:vAlign w:val="bottom"/>
            <w:hideMark/>
          </w:tcPr>
          <w:p w14:paraId="7545CBC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235 (19.3%)</w:t>
            </w:r>
          </w:p>
        </w:tc>
        <w:tc>
          <w:tcPr>
            <w:tcW w:w="0" w:type="auto"/>
            <w:tcBorders>
              <w:top w:val="nil"/>
              <w:left w:val="nil"/>
              <w:bottom w:val="nil"/>
              <w:right w:val="nil"/>
            </w:tcBorders>
            <w:noWrap/>
            <w:vAlign w:val="bottom"/>
            <w:hideMark/>
          </w:tcPr>
          <w:p w14:paraId="11A6C32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740 (25.1%)</w:t>
            </w:r>
          </w:p>
        </w:tc>
      </w:tr>
      <w:tr w:rsidR="00DA2372" w:rsidRPr="00DA2372" w14:paraId="098D872F" w14:textId="77777777" w:rsidTr="00DA2372">
        <w:trPr>
          <w:trHeight w:val="300"/>
        </w:trPr>
        <w:tc>
          <w:tcPr>
            <w:tcW w:w="0" w:type="auto"/>
            <w:tcBorders>
              <w:top w:val="nil"/>
              <w:left w:val="nil"/>
              <w:bottom w:val="nil"/>
              <w:right w:val="nil"/>
            </w:tcBorders>
            <w:noWrap/>
            <w:vAlign w:val="bottom"/>
            <w:hideMark/>
          </w:tcPr>
          <w:p w14:paraId="20154593" w14:textId="77777777" w:rsidR="00DA2372" w:rsidRPr="00DA2372" w:rsidRDefault="00DA2372" w:rsidP="002E7819">
            <w:pPr>
              <w:spacing w:after="0" w:line="240" w:lineRule="auto"/>
              <w:rPr>
                <w:rFonts w:ascii="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w:t>
            </w:r>
            <w:r w:rsidRPr="00DA2372">
              <w:rPr>
                <w:rFonts w:ascii="Times New Roman" w:hAnsi="Times New Roman" w:cs="Times New Roman"/>
                <w:kern w:val="0"/>
                <w14:ligatures w14:val="none"/>
              </w:rPr>
              <w:t>No</w:t>
            </w:r>
          </w:p>
        </w:tc>
        <w:tc>
          <w:tcPr>
            <w:tcW w:w="0" w:type="auto"/>
            <w:tcBorders>
              <w:top w:val="nil"/>
              <w:left w:val="nil"/>
              <w:bottom w:val="nil"/>
              <w:right w:val="nil"/>
            </w:tcBorders>
            <w:noWrap/>
            <w:vAlign w:val="bottom"/>
            <w:hideMark/>
          </w:tcPr>
          <w:p w14:paraId="6B1AE68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3,197 (76.6%)</w:t>
            </w:r>
          </w:p>
        </w:tc>
        <w:tc>
          <w:tcPr>
            <w:tcW w:w="0" w:type="auto"/>
            <w:tcBorders>
              <w:top w:val="nil"/>
              <w:left w:val="nil"/>
              <w:bottom w:val="nil"/>
              <w:right w:val="nil"/>
            </w:tcBorders>
            <w:noWrap/>
            <w:vAlign w:val="bottom"/>
            <w:hideMark/>
          </w:tcPr>
          <w:p w14:paraId="020B9A6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985 (80.7%)</w:t>
            </w:r>
          </w:p>
        </w:tc>
        <w:tc>
          <w:tcPr>
            <w:tcW w:w="0" w:type="auto"/>
            <w:tcBorders>
              <w:top w:val="nil"/>
              <w:left w:val="nil"/>
              <w:bottom w:val="nil"/>
              <w:right w:val="nil"/>
            </w:tcBorders>
            <w:noWrap/>
            <w:vAlign w:val="bottom"/>
            <w:hideMark/>
          </w:tcPr>
          <w:p w14:paraId="122DFE9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2,212 (74.9%)</w:t>
            </w:r>
          </w:p>
        </w:tc>
      </w:tr>
      <w:tr w:rsidR="00DA2372" w:rsidRPr="00DA2372" w14:paraId="5A35AB3C" w14:textId="77777777" w:rsidTr="00DA2372">
        <w:trPr>
          <w:trHeight w:val="300"/>
        </w:trPr>
        <w:tc>
          <w:tcPr>
            <w:tcW w:w="0" w:type="auto"/>
            <w:tcBorders>
              <w:top w:val="nil"/>
              <w:left w:val="nil"/>
              <w:bottom w:val="nil"/>
              <w:right w:val="nil"/>
            </w:tcBorders>
            <w:noWrap/>
            <w:vAlign w:val="bottom"/>
            <w:hideMark/>
          </w:tcPr>
          <w:p w14:paraId="1587DEC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Satisfaction about Accessibility to Specialist</w:t>
            </w:r>
          </w:p>
        </w:tc>
        <w:tc>
          <w:tcPr>
            <w:tcW w:w="0" w:type="auto"/>
            <w:tcBorders>
              <w:top w:val="nil"/>
              <w:left w:val="nil"/>
              <w:bottom w:val="nil"/>
              <w:right w:val="nil"/>
            </w:tcBorders>
            <w:noWrap/>
            <w:vAlign w:val="bottom"/>
            <w:hideMark/>
          </w:tcPr>
          <w:p w14:paraId="1879734C"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0648F4A4"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37DDFCBD"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r>
      <w:tr w:rsidR="00DA2372" w:rsidRPr="00DA2372" w14:paraId="2CE18111" w14:textId="77777777" w:rsidTr="00DA2372">
        <w:trPr>
          <w:trHeight w:val="300"/>
        </w:trPr>
        <w:tc>
          <w:tcPr>
            <w:tcW w:w="0" w:type="auto"/>
            <w:tcBorders>
              <w:top w:val="nil"/>
              <w:left w:val="nil"/>
              <w:bottom w:val="nil"/>
              <w:right w:val="nil"/>
            </w:tcBorders>
            <w:noWrap/>
            <w:vAlign w:val="bottom"/>
            <w:hideMark/>
          </w:tcPr>
          <w:p w14:paraId="57F70F10"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No</w:t>
            </w:r>
          </w:p>
        </w:tc>
        <w:tc>
          <w:tcPr>
            <w:tcW w:w="0" w:type="auto"/>
            <w:tcBorders>
              <w:top w:val="nil"/>
              <w:left w:val="nil"/>
              <w:bottom w:val="nil"/>
              <w:right w:val="nil"/>
            </w:tcBorders>
            <w:noWrap/>
            <w:vAlign w:val="bottom"/>
            <w:hideMark/>
          </w:tcPr>
          <w:p w14:paraId="3C09B2B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398 (7.9%)</w:t>
            </w:r>
          </w:p>
        </w:tc>
        <w:tc>
          <w:tcPr>
            <w:tcW w:w="0" w:type="auto"/>
            <w:tcBorders>
              <w:top w:val="nil"/>
              <w:left w:val="nil"/>
              <w:bottom w:val="nil"/>
              <w:right w:val="nil"/>
            </w:tcBorders>
            <w:noWrap/>
            <w:vAlign w:val="bottom"/>
            <w:hideMark/>
          </w:tcPr>
          <w:p w14:paraId="5B1A6236"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140 (9.2%)</w:t>
            </w:r>
          </w:p>
        </w:tc>
        <w:tc>
          <w:tcPr>
            <w:tcW w:w="0" w:type="auto"/>
            <w:tcBorders>
              <w:top w:val="nil"/>
              <w:left w:val="nil"/>
              <w:bottom w:val="nil"/>
              <w:right w:val="nil"/>
            </w:tcBorders>
            <w:noWrap/>
            <w:vAlign w:val="bottom"/>
            <w:hideMark/>
          </w:tcPr>
          <w:p w14:paraId="1E3686E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258 (7.3%)</w:t>
            </w:r>
          </w:p>
        </w:tc>
      </w:tr>
      <w:tr w:rsidR="00DA2372" w:rsidRPr="00DA2372" w14:paraId="4C4CED40" w14:textId="77777777" w:rsidTr="00DA2372">
        <w:trPr>
          <w:trHeight w:val="300"/>
        </w:trPr>
        <w:tc>
          <w:tcPr>
            <w:tcW w:w="0" w:type="auto"/>
            <w:tcBorders>
              <w:top w:val="nil"/>
              <w:left w:val="nil"/>
              <w:bottom w:val="nil"/>
              <w:right w:val="nil"/>
            </w:tcBorders>
            <w:noWrap/>
            <w:vAlign w:val="bottom"/>
            <w:hideMark/>
          </w:tcPr>
          <w:p w14:paraId="62213168"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Yes</w:t>
            </w:r>
          </w:p>
        </w:tc>
        <w:tc>
          <w:tcPr>
            <w:tcW w:w="0" w:type="auto"/>
            <w:tcBorders>
              <w:top w:val="nil"/>
              <w:left w:val="nil"/>
              <w:bottom w:val="nil"/>
              <w:right w:val="nil"/>
            </w:tcBorders>
            <w:noWrap/>
            <w:vAlign w:val="bottom"/>
            <w:hideMark/>
          </w:tcPr>
          <w:p w14:paraId="2E71408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4,651 (92.1%)</w:t>
            </w:r>
          </w:p>
        </w:tc>
        <w:tc>
          <w:tcPr>
            <w:tcW w:w="0" w:type="auto"/>
            <w:tcBorders>
              <w:top w:val="nil"/>
              <w:left w:val="nil"/>
              <w:bottom w:val="nil"/>
              <w:right w:val="nil"/>
            </w:tcBorders>
            <w:noWrap/>
            <w:vAlign w:val="bottom"/>
            <w:hideMark/>
          </w:tcPr>
          <w:p w14:paraId="49C4EAB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1,384 (90.8%)</w:t>
            </w:r>
          </w:p>
        </w:tc>
        <w:tc>
          <w:tcPr>
            <w:tcW w:w="0" w:type="auto"/>
            <w:tcBorders>
              <w:top w:val="nil"/>
              <w:left w:val="nil"/>
              <w:bottom w:val="nil"/>
              <w:right w:val="nil"/>
            </w:tcBorders>
            <w:noWrap/>
            <w:vAlign w:val="bottom"/>
            <w:hideMark/>
          </w:tcPr>
          <w:p w14:paraId="226D0B0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3,267 (92.7%)</w:t>
            </w:r>
          </w:p>
        </w:tc>
      </w:tr>
      <w:tr w:rsidR="00DA2372" w:rsidRPr="00DA2372" w14:paraId="758DB9E8" w14:textId="77777777" w:rsidTr="00DA2372">
        <w:trPr>
          <w:trHeight w:val="300"/>
        </w:trPr>
        <w:tc>
          <w:tcPr>
            <w:tcW w:w="0" w:type="auto"/>
            <w:tcBorders>
              <w:top w:val="nil"/>
              <w:left w:val="nil"/>
              <w:bottom w:val="nil"/>
              <w:right w:val="nil"/>
            </w:tcBorders>
            <w:noWrap/>
            <w:vAlign w:val="bottom"/>
            <w:hideMark/>
          </w:tcPr>
          <w:p w14:paraId="3E3684B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Satisfaction about Quality of Care</w:t>
            </w:r>
          </w:p>
        </w:tc>
        <w:tc>
          <w:tcPr>
            <w:tcW w:w="0" w:type="auto"/>
            <w:tcBorders>
              <w:top w:val="nil"/>
              <w:left w:val="nil"/>
              <w:bottom w:val="nil"/>
              <w:right w:val="nil"/>
            </w:tcBorders>
            <w:noWrap/>
            <w:vAlign w:val="bottom"/>
            <w:hideMark/>
          </w:tcPr>
          <w:p w14:paraId="4C8D6F57"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68F52BCD"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209E5774"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r>
      <w:tr w:rsidR="00DA2372" w:rsidRPr="00DA2372" w14:paraId="7A28E7AC" w14:textId="77777777" w:rsidTr="00DA2372">
        <w:trPr>
          <w:trHeight w:val="300"/>
        </w:trPr>
        <w:tc>
          <w:tcPr>
            <w:tcW w:w="0" w:type="auto"/>
            <w:tcBorders>
              <w:top w:val="nil"/>
              <w:left w:val="nil"/>
              <w:bottom w:val="nil"/>
              <w:right w:val="nil"/>
            </w:tcBorders>
            <w:noWrap/>
            <w:vAlign w:val="bottom"/>
            <w:hideMark/>
          </w:tcPr>
          <w:p w14:paraId="5921DF08"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No</w:t>
            </w:r>
          </w:p>
        </w:tc>
        <w:tc>
          <w:tcPr>
            <w:tcW w:w="0" w:type="auto"/>
            <w:tcBorders>
              <w:top w:val="nil"/>
              <w:left w:val="nil"/>
              <w:bottom w:val="nil"/>
              <w:right w:val="nil"/>
            </w:tcBorders>
            <w:noWrap/>
            <w:vAlign w:val="bottom"/>
            <w:hideMark/>
          </w:tcPr>
          <w:p w14:paraId="0376296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371 (7.0%)</w:t>
            </w:r>
          </w:p>
        </w:tc>
        <w:tc>
          <w:tcPr>
            <w:tcW w:w="0" w:type="auto"/>
            <w:tcBorders>
              <w:top w:val="nil"/>
              <w:left w:val="nil"/>
              <w:bottom w:val="nil"/>
              <w:right w:val="nil"/>
            </w:tcBorders>
            <w:noWrap/>
            <w:vAlign w:val="bottom"/>
            <w:hideMark/>
          </w:tcPr>
          <w:p w14:paraId="671DF7D4"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116 (7.2%)</w:t>
            </w:r>
          </w:p>
        </w:tc>
        <w:tc>
          <w:tcPr>
            <w:tcW w:w="0" w:type="auto"/>
            <w:tcBorders>
              <w:top w:val="nil"/>
              <w:left w:val="nil"/>
              <w:bottom w:val="nil"/>
              <w:right w:val="nil"/>
            </w:tcBorders>
            <w:noWrap/>
            <w:vAlign w:val="bottom"/>
            <w:hideMark/>
          </w:tcPr>
          <w:p w14:paraId="03B9637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255 (7.0%)</w:t>
            </w:r>
          </w:p>
        </w:tc>
      </w:tr>
      <w:tr w:rsidR="00DA2372" w:rsidRPr="00DA2372" w14:paraId="6262229B" w14:textId="77777777" w:rsidTr="00DA2372">
        <w:trPr>
          <w:trHeight w:val="300"/>
        </w:trPr>
        <w:tc>
          <w:tcPr>
            <w:tcW w:w="0" w:type="auto"/>
            <w:tcBorders>
              <w:top w:val="nil"/>
              <w:left w:val="nil"/>
              <w:bottom w:val="nil"/>
              <w:right w:val="nil"/>
            </w:tcBorders>
            <w:noWrap/>
            <w:vAlign w:val="bottom"/>
            <w:hideMark/>
          </w:tcPr>
          <w:p w14:paraId="0E4CBAD5"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Yes</w:t>
            </w:r>
          </w:p>
        </w:tc>
        <w:tc>
          <w:tcPr>
            <w:tcW w:w="0" w:type="auto"/>
            <w:tcBorders>
              <w:top w:val="nil"/>
              <w:left w:val="nil"/>
              <w:bottom w:val="nil"/>
              <w:right w:val="nil"/>
            </w:tcBorders>
            <w:noWrap/>
            <w:vAlign w:val="bottom"/>
            <w:hideMark/>
          </w:tcPr>
          <w:p w14:paraId="30A82EE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4,909 (93.0%)</w:t>
            </w:r>
          </w:p>
        </w:tc>
        <w:tc>
          <w:tcPr>
            <w:tcW w:w="0" w:type="auto"/>
            <w:tcBorders>
              <w:top w:val="nil"/>
              <w:left w:val="nil"/>
              <w:bottom w:val="nil"/>
              <w:right w:val="nil"/>
            </w:tcBorders>
            <w:noWrap/>
            <w:vAlign w:val="bottom"/>
            <w:hideMark/>
          </w:tcPr>
          <w:p w14:paraId="3F1C569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1,495 (92.8%)</w:t>
            </w:r>
          </w:p>
        </w:tc>
        <w:tc>
          <w:tcPr>
            <w:tcW w:w="0" w:type="auto"/>
            <w:tcBorders>
              <w:top w:val="nil"/>
              <w:left w:val="nil"/>
              <w:bottom w:val="nil"/>
              <w:right w:val="nil"/>
            </w:tcBorders>
            <w:noWrap/>
            <w:vAlign w:val="bottom"/>
            <w:hideMark/>
          </w:tcPr>
          <w:p w14:paraId="3D32D6AB"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3,414 (93.0%)</w:t>
            </w:r>
          </w:p>
        </w:tc>
      </w:tr>
      <w:tr w:rsidR="00DA2372" w:rsidRPr="00DA2372" w14:paraId="78BDEF68" w14:textId="77777777" w:rsidTr="00DA2372">
        <w:trPr>
          <w:trHeight w:val="300"/>
        </w:trPr>
        <w:tc>
          <w:tcPr>
            <w:tcW w:w="0" w:type="auto"/>
            <w:tcBorders>
              <w:top w:val="nil"/>
              <w:left w:val="nil"/>
              <w:bottom w:val="nil"/>
              <w:right w:val="nil"/>
            </w:tcBorders>
            <w:noWrap/>
            <w:vAlign w:val="bottom"/>
            <w:hideMark/>
          </w:tcPr>
          <w:p w14:paraId="69D66EE5"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Demographics:</w:t>
            </w:r>
          </w:p>
        </w:tc>
        <w:tc>
          <w:tcPr>
            <w:tcW w:w="0" w:type="auto"/>
            <w:tcBorders>
              <w:top w:val="nil"/>
              <w:left w:val="nil"/>
              <w:bottom w:val="nil"/>
              <w:right w:val="nil"/>
            </w:tcBorders>
            <w:noWrap/>
            <w:vAlign w:val="bottom"/>
            <w:hideMark/>
          </w:tcPr>
          <w:p w14:paraId="6269382E"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p>
        </w:tc>
        <w:tc>
          <w:tcPr>
            <w:tcW w:w="0" w:type="auto"/>
            <w:tcBorders>
              <w:top w:val="nil"/>
              <w:left w:val="nil"/>
              <w:bottom w:val="nil"/>
              <w:right w:val="nil"/>
            </w:tcBorders>
            <w:noWrap/>
            <w:vAlign w:val="bottom"/>
            <w:hideMark/>
          </w:tcPr>
          <w:p w14:paraId="799D399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1FB8345F"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p>
        </w:tc>
      </w:tr>
      <w:tr w:rsidR="00DA2372" w:rsidRPr="00DA2372" w14:paraId="61F0A9FC" w14:textId="77777777" w:rsidTr="00DA2372">
        <w:trPr>
          <w:trHeight w:val="300"/>
        </w:trPr>
        <w:tc>
          <w:tcPr>
            <w:tcW w:w="0" w:type="auto"/>
            <w:tcBorders>
              <w:top w:val="nil"/>
              <w:left w:val="nil"/>
              <w:bottom w:val="nil"/>
              <w:right w:val="nil"/>
            </w:tcBorders>
            <w:noWrap/>
            <w:vAlign w:val="bottom"/>
            <w:hideMark/>
          </w:tcPr>
          <w:p w14:paraId="29967340"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Age Group &lt;65</w:t>
            </w:r>
          </w:p>
        </w:tc>
        <w:tc>
          <w:tcPr>
            <w:tcW w:w="0" w:type="auto"/>
            <w:tcBorders>
              <w:top w:val="nil"/>
              <w:left w:val="nil"/>
              <w:bottom w:val="nil"/>
              <w:right w:val="nil"/>
            </w:tcBorders>
            <w:noWrap/>
            <w:vAlign w:val="bottom"/>
            <w:hideMark/>
          </w:tcPr>
          <w:p w14:paraId="0BD02B8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987 (18.4%)</w:t>
            </w:r>
          </w:p>
        </w:tc>
        <w:tc>
          <w:tcPr>
            <w:tcW w:w="0" w:type="auto"/>
            <w:tcBorders>
              <w:top w:val="nil"/>
              <w:left w:val="nil"/>
              <w:bottom w:val="nil"/>
              <w:right w:val="nil"/>
            </w:tcBorders>
            <w:noWrap/>
            <w:vAlign w:val="bottom"/>
            <w:hideMark/>
          </w:tcPr>
          <w:p w14:paraId="4C21B1C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113 (6.9%)</w:t>
            </w:r>
          </w:p>
        </w:tc>
        <w:tc>
          <w:tcPr>
            <w:tcW w:w="0" w:type="auto"/>
            <w:tcBorders>
              <w:top w:val="nil"/>
              <w:left w:val="nil"/>
              <w:bottom w:val="nil"/>
              <w:right w:val="nil"/>
            </w:tcBorders>
            <w:noWrap/>
            <w:vAlign w:val="bottom"/>
            <w:hideMark/>
          </w:tcPr>
          <w:p w14:paraId="43AD144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874 (23.5%)</w:t>
            </w:r>
          </w:p>
        </w:tc>
      </w:tr>
      <w:tr w:rsidR="00DA2372" w:rsidRPr="00DA2372" w14:paraId="5759A4DA" w14:textId="77777777" w:rsidTr="00DA2372">
        <w:trPr>
          <w:trHeight w:val="300"/>
        </w:trPr>
        <w:tc>
          <w:tcPr>
            <w:tcW w:w="0" w:type="auto"/>
            <w:tcBorders>
              <w:top w:val="nil"/>
              <w:left w:val="nil"/>
              <w:bottom w:val="nil"/>
              <w:right w:val="nil"/>
            </w:tcBorders>
            <w:noWrap/>
            <w:vAlign w:val="bottom"/>
            <w:hideMark/>
          </w:tcPr>
          <w:p w14:paraId="68B6047B"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Age Group 65 to 75</w:t>
            </w:r>
          </w:p>
        </w:tc>
        <w:tc>
          <w:tcPr>
            <w:tcW w:w="0" w:type="auto"/>
            <w:tcBorders>
              <w:top w:val="nil"/>
              <w:left w:val="nil"/>
              <w:bottom w:val="nil"/>
              <w:right w:val="nil"/>
            </w:tcBorders>
            <w:noWrap/>
            <w:vAlign w:val="bottom"/>
            <w:hideMark/>
          </w:tcPr>
          <w:p w14:paraId="29D6DE04"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1,239 (23.1%)</w:t>
            </w:r>
          </w:p>
        </w:tc>
        <w:tc>
          <w:tcPr>
            <w:tcW w:w="0" w:type="auto"/>
            <w:tcBorders>
              <w:top w:val="nil"/>
              <w:left w:val="nil"/>
              <w:bottom w:val="nil"/>
              <w:right w:val="nil"/>
            </w:tcBorders>
            <w:noWrap/>
            <w:vAlign w:val="bottom"/>
            <w:hideMark/>
          </w:tcPr>
          <w:p w14:paraId="3310188B"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224 (13.8%)</w:t>
            </w:r>
          </w:p>
        </w:tc>
        <w:tc>
          <w:tcPr>
            <w:tcW w:w="0" w:type="auto"/>
            <w:tcBorders>
              <w:top w:val="nil"/>
              <w:left w:val="nil"/>
              <w:bottom w:val="nil"/>
              <w:right w:val="nil"/>
            </w:tcBorders>
            <w:noWrap/>
            <w:vAlign w:val="bottom"/>
            <w:hideMark/>
          </w:tcPr>
          <w:p w14:paraId="0B8A653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1,015 (27.3%)</w:t>
            </w:r>
          </w:p>
        </w:tc>
      </w:tr>
      <w:tr w:rsidR="00DA2372" w:rsidRPr="00DA2372" w14:paraId="3BF3A454" w14:textId="77777777" w:rsidTr="00DA2372">
        <w:trPr>
          <w:trHeight w:val="300"/>
        </w:trPr>
        <w:tc>
          <w:tcPr>
            <w:tcW w:w="0" w:type="auto"/>
            <w:tcBorders>
              <w:top w:val="nil"/>
              <w:left w:val="nil"/>
              <w:bottom w:val="nil"/>
              <w:right w:val="nil"/>
            </w:tcBorders>
            <w:noWrap/>
            <w:vAlign w:val="bottom"/>
            <w:hideMark/>
          </w:tcPr>
          <w:p w14:paraId="2516300A"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Age Group 75+</w:t>
            </w:r>
          </w:p>
        </w:tc>
        <w:tc>
          <w:tcPr>
            <w:tcW w:w="0" w:type="auto"/>
            <w:tcBorders>
              <w:top w:val="nil"/>
              <w:left w:val="nil"/>
              <w:bottom w:val="nil"/>
              <w:right w:val="nil"/>
            </w:tcBorders>
            <w:noWrap/>
            <w:vAlign w:val="bottom"/>
            <w:hideMark/>
          </w:tcPr>
          <w:p w14:paraId="5F3DB83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3,127 (58.4%)</w:t>
            </w:r>
          </w:p>
        </w:tc>
        <w:tc>
          <w:tcPr>
            <w:tcW w:w="0" w:type="auto"/>
            <w:tcBorders>
              <w:top w:val="nil"/>
              <w:left w:val="nil"/>
              <w:bottom w:val="nil"/>
              <w:right w:val="nil"/>
            </w:tcBorders>
            <w:noWrap/>
            <w:vAlign w:val="bottom"/>
            <w:hideMark/>
          </w:tcPr>
          <w:p w14:paraId="5DD1D65F"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1,292 (79.3%)</w:t>
            </w:r>
          </w:p>
        </w:tc>
        <w:tc>
          <w:tcPr>
            <w:tcW w:w="0" w:type="auto"/>
            <w:tcBorders>
              <w:top w:val="nil"/>
              <w:left w:val="nil"/>
              <w:bottom w:val="nil"/>
              <w:right w:val="nil"/>
            </w:tcBorders>
            <w:noWrap/>
            <w:vAlign w:val="bottom"/>
            <w:hideMark/>
          </w:tcPr>
          <w:p w14:paraId="5619EF06"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1,835 (49.3%)</w:t>
            </w:r>
          </w:p>
        </w:tc>
      </w:tr>
      <w:tr w:rsidR="00DA2372" w:rsidRPr="00DA2372" w14:paraId="447F1C05" w14:textId="77777777" w:rsidTr="00DA2372">
        <w:trPr>
          <w:trHeight w:val="300"/>
        </w:trPr>
        <w:tc>
          <w:tcPr>
            <w:tcW w:w="0" w:type="auto"/>
            <w:tcBorders>
              <w:top w:val="nil"/>
              <w:left w:val="nil"/>
              <w:bottom w:val="nil"/>
              <w:right w:val="nil"/>
            </w:tcBorders>
            <w:noWrap/>
            <w:vAlign w:val="bottom"/>
            <w:hideMark/>
          </w:tcPr>
          <w:p w14:paraId="0CF3FA9E"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Non-Hispanic white</w:t>
            </w:r>
          </w:p>
        </w:tc>
        <w:tc>
          <w:tcPr>
            <w:tcW w:w="0" w:type="auto"/>
            <w:tcBorders>
              <w:top w:val="nil"/>
              <w:left w:val="nil"/>
              <w:bottom w:val="nil"/>
              <w:right w:val="nil"/>
            </w:tcBorders>
            <w:noWrap/>
            <w:vAlign w:val="bottom"/>
            <w:hideMark/>
          </w:tcPr>
          <w:p w14:paraId="06E2398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3,304 (61.7%)</w:t>
            </w:r>
          </w:p>
        </w:tc>
        <w:tc>
          <w:tcPr>
            <w:tcW w:w="0" w:type="auto"/>
            <w:tcBorders>
              <w:top w:val="nil"/>
              <w:left w:val="nil"/>
              <w:bottom w:val="nil"/>
              <w:right w:val="nil"/>
            </w:tcBorders>
            <w:noWrap/>
            <w:vAlign w:val="bottom"/>
            <w:hideMark/>
          </w:tcPr>
          <w:p w14:paraId="2FC6618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920 (56.5%)</w:t>
            </w:r>
          </w:p>
        </w:tc>
        <w:tc>
          <w:tcPr>
            <w:tcW w:w="0" w:type="auto"/>
            <w:tcBorders>
              <w:top w:val="nil"/>
              <w:left w:val="nil"/>
              <w:bottom w:val="nil"/>
              <w:right w:val="nil"/>
            </w:tcBorders>
            <w:noWrap/>
            <w:vAlign w:val="bottom"/>
            <w:hideMark/>
          </w:tcPr>
          <w:p w14:paraId="6898AF04"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2,384 (64.0%)</w:t>
            </w:r>
          </w:p>
        </w:tc>
      </w:tr>
      <w:tr w:rsidR="00DA2372" w:rsidRPr="00DA2372" w14:paraId="6565A74E" w14:textId="77777777" w:rsidTr="00DA2372">
        <w:trPr>
          <w:trHeight w:val="300"/>
        </w:trPr>
        <w:tc>
          <w:tcPr>
            <w:tcW w:w="0" w:type="auto"/>
            <w:tcBorders>
              <w:top w:val="nil"/>
              <w:left w:val="nil"/>
              <w:bottom w:val="nil"/>
              <w:right w:val="nil"/>
            </w:tcBorders>
            <w:noWrap/>
            <w:vAlign w:val="bottom"/>
            <w:hideMark/>
          </w:tcPr>
          <w:p w14:paraId="5B62D769"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Non-Hispanic black</w:t>
            </w:r>
          </w:p>
        </w:tc>
        <w:tc>
          <w:tcPr>
            <w:tcW w:w="0" w:type="auto"/>
            <w:tcBorders>
              <w:top w:val="nil"/>
              <w:left w:val="nil"/>
              <w:bottom w:val="nil"/>
              <w:right w:val="nil"/>
            </w:tcBorders>
            <w:noWrap/>
            <w:vAlign w:val="bottom"/>
            <w:hideMark/>
          </w:tcPr>
          <w:p w14:paraId="79EED10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840 (15.7%)</w:t>
            </w:r>
          </w:p>
        </w:tc>
        <w:tc>
          <w:tcPr>
            <w:tcW w:w="0" w:type="auto"/>
            <w:tcBorders>
              <w:top w:val="nil"/>
              <w:left w:val="nil"/>
              <w:bottom w:val="nil"/>
              <w:right w:val="nil"/>
            </w:tcBorders>
            <w:noWrap/>
            <w:vAlign w:val="bottom"/>
            <w:hideMark/>
          </w:tcPr>
          <w:p w14:paraId="59D6CDDE"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217 (13.3%)</w:t>
            </w:r>
          </w:p>
        </w:tc>
        <w:tc>
          <w:tcPr>
            <w:tcW w:w="0" w:type="auto"/>
            <w:tcBorders>
              <w:top w:val="nil"/>
              <w:left w:val="nil"/>
              <w:bottom w:val="nil"/>
              <w:right w:val="nil"/>
            </w:tcBorders>
            <w:noWrap/>
            <w:vAlign w:val="bottom"/>
            <w:hideMark/>
          </w:tcPr>
          <w:p w14:paraId="20A497F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623 (16.7%)</w:t>
            </w:r>
          </w:p>
        </w:tc>
      </w:tr>
      <w:tr w:rsidR="00DA2372" w:rsidRPr="00DA2372" w14:paraId="4968E461" w14:textId="77777777" w:rsidTr="00DA2372">
        <w:trPr>
          <w:trHeight w:val="300"/>
        </w:trPr>
        <w:tc>
          <w:tcPr>
            <w:tcW w:w="0" w:type="auto"/>
            <w:tcBorders>
              <w:top w:val="nil"/>
              <w:left w:val="nil"/>
              <w:bottom w:val="nil"/>
              <w:right w:val="nil"/>
            </w:tcBorders>
            <w:noWrap/>
            <w:vAlign w:val="bottom"/>
            <w:hideMark/>
          </w:tcPr>
          <w:p w14:paraId="07D0425E"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Hispanic</w:t>
            </w:r>
          </w:p>
        </w:tc>
        <w:tc>
          <w:tcPr>
            <w:tcW w:w="0" w:type="auto"/>
            <w:tcBorders>
              <w:top w:val="nil"/>
              <w:left w:val="nil"/>
              <w:bottom w:val="nil"/>
              <w:right w:val="nil"/>
            </w:tcBorders>
            <w:noWrap/>
            <w:vAlign w:val="bottom"/>
            <w:hideMark/>
          </w:tcPr>
          <w:p w14:paraId="5B8EBA4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887 (16.6%)</w:t>
            </w:r>
          </w:p>
        </w:tc>
        <w:tc>
          <w:tcPr>
            <w:tcW w:w="0" w:type="auto"/>
            <w:tcBorders>
              <w:top w:val="nil"/>
              <w:left w:val="nil"/>
              <w:bottom w:val="nil"/>
              <w:right w:val="nil"/>
            </w:tcBorders>
            <w:noWrap/>
            <w:vAlign w:val="bottom"/>
            <w:hideMark/>
          </w:tcPr>
          <w:p w14:paraId="0D8C52F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394 (24.2%)</w:t>
            </w:r>
          </w:p>
        </w:tc>
        <w:tc>
          <w:tcPr>
            <w:tcW w:w="0" w:type="auto"/>
            <w:tcBorders>
              <w:top w:val="nil"/>
              <w:left w:val="nil"/>
              <w:bottom w:val="nil"/>
              <w:right w:val="nil"/>
            </w:tcBorders>
            <w:noWrap/>
            <w:vAlign w:val="bottom"/>
            <w:hideMark/>
          </w:tcPr>
          <w:p w14:paraId="5B57912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493 (13.2%)</w:t>
            </w:r>
          </w:p>
        </w:tc>
      </w:tr>
      <w:tr w:rsidR="00DA2372" w:rsidRPr="00DA2372" w14:paraId="75269751" w14:textId="77777777" w:rsidTr="00DA2372">
        <w:trPr>
          <w:trHeight w:val="300"/>
        </w:trPr>
        <w:tc>
          <w:tcPr>
            <w:tcW w:w="0" w:type="auto"/>
            <w:tcBorders>
              <w:top w:val="nil"/>
              <w:left w:val="nil"/>
              <w:bottom w:val="nil"/>
              <w:right w:val="nil"/>
            </w:tcBorders>
            <w:noWrap/>
            <w:vAlign w:val="bottom"/>
            <w:hideMark/>
          </w:tcPr>
          <w:p w14:paraId="580E3B3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Other</w:t>
            </w:r>
          </w:p>
        </w:tc>
        <w:tc>
          <w:tcPr>
            <w:tcW w:w="0" w:type="auto"/>
            <w:tcBorders>
              <w:top w:val="nil"/>
              <w:left w:val="nil"/>
              <w:bottom w:val="nil"/>
              <w:right w:val="nil"/>
            </w:tcBorders>
            <w:noWrap/>
            <w:vAlign w:val="bottom"/>
            <w:hideMark/>
          </w:tcPr>
          <w:p w14:paraId="3501E4D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322 (6.0%)</w:t>
            </w:r>
          </w:p>
        </w:tc>
        <w:tc>
          <w:tcPr>
            <w:tcW w:w="0" w:type="auto"/>
            <w:tcBorders>
              <w:top w:val="nil"/>
              <w:left w:val="nil"/>
              <w:bottom w:val="nil"/>
              <w:right w:val="nil"/>
            </w:tcBorders>
            <w:noWrap/>
            <w:vAlign w:val="bottom"/>
            <w:hideMark/>
          </w:tcPr>
          <w:p w14:paraId="24B44F9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98 (6.0%)</w:t>
            </w:r>
          </w:p>
        </w:tc>
        <w:tc>
          <w:tcPr>
            <w:tcW w:w="0" w:type="auto"/>
            <w:tcBorders>
              <w:top w:val="nil"/>
              <w:left w:val="nil"/>
              <w:bottom w:val="nil"/>
              <w:right w:val="nil"/>
            </w:tcBorders>
            <w:noWrap/>
            <w:vAlign w:val="bottom"/>
            <w:hideMark/>
          </w:tcPr>
          <w:p w14:paraId="345D2A2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224 (6.0%)</w:t>
            </w:r>
          </w:p>
        </w:tc>
      </w:tr>
      <w:tr w:rsidR="00DA2372" w:rsidRPr="00DA2372" w14:paraId="762457CA" w14:textId="77777777" w:rsidTr="00DA2372">
        <w:trPr>
          <w:trHeight w:val="300"/>
        </w:trPr>
        <w:tc>
          <w:tcPr>
            <w:tcW w:w="0" w:type="auto"/>
            <w:tcBorders>
              <w:top w:val="nil"/>
              <w:left w:val="nil"/>
              <w:bottom w:val="nil"/>
              <w:right w:val="nil"/>
            </w:tcBorders>
            <w:noWrap/>
            <w:vAlign w:val="bottom"/>
            <w:hideMark/>
          </w:tcPr>
          <w:p w14:paraId="6488025F"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Male</w:t>
            </w:r>
          </w:p>
        </w:tc>
        <w:tc>
          <w:tcPr>
            <w:tcW w:w="0" w:type="auto"/>
            <w:tcBorders>
              <w:top w:val="nil"/>
              <w:left w:val="nil"/>
              <w:bottom w:val="nil"/>
              <w:right w:val="nil"/>
            </w:tcBorders>
            <w:noWrap/>
            <w:vAlign w:val="bottom"/>
            <w:hideMark/>
          </w:tcPr>
          <w:p w14:paraId="50CFF1C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1,785 (33.3%)</w:t>
            </w:r>
          </w:p>
        </w:tc>
        <w:tc>
          <w:tcPr>
            <w:tcW w:w="0" w:type="auto"/>
            <w:tcBorders>
              <w:top w:val="nil"/>
              <w:left w:val="nil"/>
              <w:bottom w:val="nil"/>
              <w:right w:val="nil"/>
            </w:tcBorders>
            <w:noWrap/>
            <w:vAlign w:val="bottom"/>
            <w:hideMark/>
          </w:tcPr>
          <w:p w14:paraId="547AE4B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443 (27.2%)</w:t>
            </w:r>
          </w:p>
        </w:tc>
        <w:tc>
          <w:tcPr>
            <w:tcW w:w="0" w:type="auto"/>
            <w:tcBorders>
              <w:top w:val="nil"/>
              <w:left w:val="nil"/>
              <w:bottom w:val="nil"/>
              <w:right w:val="nil"/>
            </w:tcBorders>
            <w:noWrap/>
            <w:vAlign w:val="bottom"/>
            <w:hideMark/>
          </w:tcPr>
          <w:p w14:paraId="09A410C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1,342 (36.0%)</w:t>
            </w:r>
          </w:p>
        </w:tc>
      </w:tr>
      <w:tr w:rsidR="00DA2372" w:rsidRPr="00DA2372" w14:paraId="513DD0F3" w14:textId="77777777" w:rsidTr="00DA2372">
        <w:trPr>
          <w:trHeight w:val="300"/>
        </w:trPr>
        <w:tc>
          <w:tcPr>
            <w:tcW w:w="0" w:type="auto"/>
            <w:tcBorders>
              <w:top w:val="nil"/>
              <w:left w:val="nil"/>
              <w:bottom w:val="nil"/>
              <w:right w:val="nil"/>
            </w:tcBorders>
            <w:noWrap/>
            <w:vAlign w:val="bottom"/>
            <w:hideMark/>
          </w:tcPr>
          <w:p w14:paraId="6B48D4BE"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Not Married</w:t>
            </w:r>
          </w:p>
        </w:tc>
        <w:tc>
          <w:tcPr>
            <w:tcW w:w="0" w:type="auto"/>
            <w:tcBorders>
              <w:top w:val="nil"/>
              <w:left w:val="nil"/>
              <w:bottom w:val="nil"/>
              <w:right w:val="nil"/>
            </w:tcBorders>
            <w:noWrap/>
            <w:vAlign w:val="bottom"/>
            <w:hideMark/>
          </w:tcPr>
          <w:p w14:paraId="641680A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2,793 (52.2%)</w:t>
            </w:r>
          </w:p>
        </w:tc>
        <w:tc>
          <w:tcPr>
            <w:tcW w:w="0" w:type="auto"/>
            <w:tcBorders>
              <w:top w:val="nil"/>
              <w:left w:val="nil"/>
              <w:bottom w:val="nil"/>
              <w:right w:val="nil"/>
            </w:tcBorders>
            <w:noWrap/>
            <w:vAlign w:val="bottom"/>
            <w:hideMark/>
          </w:tcPr>
          <w:p w14:paraId="4E5325DE"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892 (54.8%)</w:t>
            </w:r>
          </w:p>
        </w:tc>
        <w:tc>
          <w:tcPr>
            <w:tcW w:w="0" w:type="auto"/>
            <w:tcBorders>
              <w:top w:val="nil"/>
              <w:left w:val="nil"/>
              <w:bottom w:val="nil"/>
              <w:right w:val="nil"/>
            </w:tcBorders>
            <w:noWrap/>
            <w:vAlign w:val="bottom"/>
            <w:hideMark/>
          </w:tcPr>
          <w:p w14:paraId="66E0984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1,901 (51.0%)</w:t>
            </w:r>
          </w:p>
        </w:tc>
      </w:tr>
      <w:tr w:rsidR="00DA2372" w:rsidRPr="00DA2372" w14:paraId="14C36D87" w14:textId="77777777" w:rsidTr="00DA2372">
        <w:trPr>
          <w:trHeight w:val="300"/>
        </w:trPr>
        <w:tc>
          <w:tcPr>
            <w:tcW w:w="0" w:type="auto"/>
            <w:tcBorders>
              <w:top w:val="nil"/>
              <w:left w:val="nil"/>
              <w:bottom w:val="nil"/>
              <w:right w:val="nil"/>
            </w:tcBorders>
            <w:noWrap/>
            <w:vAlign w:val="bottom"/>
            <w:hideMark/>
          </w:tcPr>
          <w:p w14:paraId="4B85E43A"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Married</w:t>
            </w:r>
          </w:p>
        </w:tc>
        <w:tc>
          <w:tcPr>
            <w:tcW w:w="0" w:type="auto"/>
            <w:tcBorders>
              <w:top w:val="nil"/>
              <w:left w:val="nil"/>
              <w:bottom w:val="nil"/>
              <w:right w:val="nil"/>
            </w:tcBorders>
            <w:noWrap/>
            <w:vAlign w:val="bottom"/>
            <w:hideMark/>
          </w:tcPr>
          <w:p w14:paraId="6A9158C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1,776 (33.2%)</w:t>
            </w:r>
          </w:p>
        </w:tc>
        <w:tc>
          <w:tcPr>
            <w:tcW w:w="0" w:type="auto"/>
            <w:tcBorders>
              <w:top w:val="nil"/>
              <w:left w:val="nil"/>
              <w:bottom w:val="nil"/>
              <w:right w:val="nil"/>
            </w:tcBorders>
            <w:noWrap/>
            <w:vAlign w:val="bottom"/>
            <w:hideMark/>
          </w:tcPr>
          <w:p w14:paraId="65072CEB"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521 (32.0%)</w:t>
            </w:r>
          </w:p>
        </w:tc>
        <w:tc>
          <w:tcPr>
            <w:tcW w:w="0" w:type="auto"/>
            <w:tcBorders>
              <w:top w:val="nil"/>
              <w:left w:val="nil"/>
              <w:bottom w:val="nil"/>
              <w:right w:val="nil"/>
            </w:tcBorders>
            <w:noWrap/>
            <w:vAlign w:val="bottom"/>
            <w:hideMark/>
          </w:tcPr>
          <w:p w14:paraId="5F532BC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1,255 (33.7%)</w:t>
            </w:r>
          </w:p>
        </w:tc>
      </w:tr>
      <w:tr w:rsidR="00DA2372" w:rsidRPr="00DA2372" w14:paraId="03CB718B" w14:textId="77777777" w:rsidTr="00DA2372">
        <w:trPr>
          <w:trHeight w:val="300"/>
        </w:trPr>
        <w:tc>
          <w:tcPr>
            <w:tcW w:w="0" w:type="auto"/>
            <w:tcBorders>
              <w:top w:val="nil"/>
              <w:left w:val="nil"/>
              <w:bottom w:val="nil"/>
              <w:right w:val="nil"/>
            </w:tcBorders>
            <w:noWrap/>
            <w:vAlign w:val="bottom"/>
            <w:hideMark/>
          </w:tcPr>
          <w:p w14:paraId="284D8DAA"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Married: missing</w:t>
            </w:r>
          </w:p>
        </w:tc>
        <w:tc>
          <w:tcPr>
            <w:tcW w:w="0" w:type="auto"/>
            <w:tcBorders>
              <w:top w:val="nil"/>
              <w:left w:val="nil"/>
              <w:bottom w:val="nil"/>
              <w:right w:val="nil"/>
            </w:tcBorders>
            <w:noWrap/>
            <w:vAlign w:val="bottom"/>
            <w:hideMark/>
          </w:tcPr>
          <w:p w14:paraId="4240806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784 (14.6%)</w:t>
            </w:r>
          </w:p>
        </w:tc>
        <w:tc>
          <w:tcPr>
            <w:tcW w:w="0" w:type="auto"/>
            <w:tcBorders>
              <w:top w:val="nil"/>
              <w:left w:val="nil"/>
              <w:bottom w:val="nil"/>
              <w:right w:val="nil"/>
            </w:tcBorders>
            <w:noWrap/>
            <w:vAlign w:val="bottom"/>
            <w:hideMark/>
          </w:tcPr>
          <w:p w14:paraId="3F8A1056"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216 (13.3%)</w:t>
            </w:r>
          </w:p>
        </w:tc>
        <w:tc>
          <w:tcPr>
            <w:tcW w:w="0" w:type="auto"/>
            <w:tcBorders>
              <w:top w:val="nil"/>
              <w:left w:val="nil"/>
              <w:bottom w:val="nil"/>
              <w:right w:val="nil"/>
            </w:tcBorders>
            <w:noWrap/>
            <w:vAlign w:val="bottom"/>
            <w:hideMark/>
          </w:tcPr>
          <w:p w14:paraId="2EA179D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568 (15.3%)</w:t>
            </w:r>
          </w:p>
        </w:tc>
      </w:tr>
      <w:tr w:rsidR="00DA2372" w:rsidRPr="00DA2372" w14:paraId="744EF799" w14:textId="77777777" w:rsidTr="00DA2372">
        <w:trPr>
          <w:trHeight w:val="300"/>
        </w:trPr>
        <w:tc>
          <w:tcPr>
            <w:tcW w:w="0" w:type="auto"/>
            <w:tcBorders>
              <w:top w:val="nil"/>
              <w:left w:val="nil"/>
              <w:bottom w:val="nil"/>
              <w:right w:val="nil"/>
            </w:tcBorders>
            <w:noWrap/>
            <w:vAlign w:val="bottom"/>
            <w:hideMark/>
          </w:tcPr>
          <w:p w14:paraId="2ECF8577"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High school or less</w:t>
            </w:r>
          </w:p>
        </w:tc>
        <w:tc>
          <w:tcPr>
            <w:tcW w:w="0" w:type="auto"/>
            <w:tcBorders>
              <w:top w:val="nil"/>
              <w:left w:val="nil"/>
              <w:bottom w:val="nil"/>
              <w:right w:val="nil"/>
            </w:tcBorders>
            <w:noWrap/>
            <w:vAlign w:val="bottom"/>
            <w:hideMark/>
          </w:tcPr>
          <w:p w14:paraId="6A3FE0E6"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2,898 (54.1%)</w:t>
            </w:r>
          </w:p>
        </w:tc>
        <w:tc>
          <w:tcPr>
            <w:tcW w:w="0" w:type="auto"/>
            <w:tcBorders>
              <w:top w:val="nil"/>
              <w:left w:val="nil"/>
              <w:bottom w:val="nil"/>
              <w:right w:val="nil"/>
            </w:tcBorders>
            <w:noWrap/>
            <w:vAlign w:val="bottom"/>
            <w:hideMark/>
          </w:tcPr>
          <w:p w14:paraId="2FA3BA0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991 (60.8%)</w:t>
            </w:r>
          </w:p>
        </w:tc>
        <w:tc>
          <w:tcPr>
            <w:tcW w:w="0" w:type="auto"/>
            <w:tcBorders>
              <w:top w:val="nil"/>
              <w:left w:val="nil"/>
              <w:bottom w:val="nil"/>
              <w:right w:val="nil"/>
            </w:tcBorders>
            <w:noWrap/>
            <w:vAlign w:val="bottom"/>
            <w:hideMark/>
          </w:tcPr>
          <w:p w14:paraId="3723D27E"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1,907 (51.2%)</w:t>
            </w:r>
          </w:p>
        </w:tc>
      </w:tr>
      <w:tr w:rsidR="00DA2372" w:rsidRPr="00DA2372" w14:paraId="60F2E420" w14:textId="77777777" w:rsidTr="00DA2372">
        <w:trPr>
          <w:trHeight w:val="300"/>
        </w:trPr>
        <w:tc>
          <w:tcPr>
            <w:tcW w:w="0" w:type="auto"/>
            <w:tcBorders>
              <w:top w:val="nil"/>
              <w:left w:val="nil"/>
              <w:bottom w:val="nil"/>
              <w:right w:val="nil"/>
            </w:tcBorders>
            <w:noWrap/>
            <w:vAlign w:val="bottom"/>
            <w:hideMark/>
          </w:tcPr>
          <w:p w14:paraId="147DA1E5"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High School above</w:t>
            </w:r>
          </w:p>
        </w:tc>
        <w:tc>
          <w:tcPr>
            <w:tcW w:w="0" w:type="auto"/>
            <w:tcBorders>
              <w:top w:val="nil"/>
              <w:left w:val="nil"/>
              <w:bottom w:val="nil"/>
              <w:right w:val="nil"/>
            </w:tcBorders>
            <w:noWrap/>
            <w:vAlign w:val="bottom"/>
            <w:hideMark/>
          </w:tcPr>
          <w:p w14:paraId="32B884A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1,629 (30.4%)</w:t>
            </w:r>
          </w:p>
        </w:tc>
        <w:tc>
          <w:tcPr>
            <w:tcW w:w="0" w:type="auto"/>
            <w:tcBorders>
              <w:top w:val="nil"/>
              <w:left w:val="nil"/>
              <w:bottom w:val="nil"/>
              <w:right w:val="nil"/>
            </w:tcBorders>
            <w:noWrap/>
            <w:vAlign w:val="bottom"/>
            <w:hideMark/>
          </w:tcPr>
          <w:p w14:paraId="6BC6499E"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401 (24.6%)</w:t>
            </w:r>
          </w:p>
        </w:tc>
        <w:tc>
          <w:tcPr>
            <w:tcW w:w="0" w:type="auto"/>
            <w:tcBorders>
              <w:top w:val="nil"/>
              <w:left w:val="nil"/>
              <w:bottom w:val="nil"/>
              <w:right w:val="nil"/>
            </w:tcBorders>
            <w:noWrap/>
            <w:vAlign w:val="bottom"/>
            <w:hideMark/>
          </w:tcPr>
          <w:p w14:paraId="310326C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1,228 (33.0%)</w:t>
            </w:r>
          </w:p>
        </w:tc>
      </w:tr>
      <w:tr w:rsidR="00DA2372" w:rsidRPr="00DA2372" w14:paraId="61D9C3C9" w14:textId="77777777" w:rsidTr="00DA2372">
        <w:trPr>
          <w:trHeight w:val="300"/>
        </w:trPr>
        <w:tc>
          <w:tcPr>
            <w:tcW w:w="0" w:type="auto"/>
            <w:tcBorders>
              <w:top w:val="nil"/>
              <w:left w:val="nil"/>
              <w:bottom w:val="nil"/>
              <w:right w:val="nil"/>
            </w:tcBorders>
            <w:noWrap/>
            <w:vAlign w:val="bottom"/>
            <w:hideMark/>
          </w:tcPr>
          <w:p w14:paraId="61267EEF"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Education missing</w:t>
            </w:r>
          </w:p>
        </w:tc>
        <w:tc>
          <w:tcPr>
            <w:tcW w:w="0" w:type="auto"/>
            <w:tcBorders>
              <w:top w:val="nil"/>
              <w:left w:val="nil"/>
              <w:bottom w:val="nil"/>
              <w:right w:val="nil"/>
            </w:tcBorders>
            <w:noWrap/>
            <w:vAlign w:val="bottom"/>
            <w:hideMark/>
          </w:tcPr>
          <w:p w14:paraId="1CE0727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826 (15.4%)</w:t>
            </w:r>
          </w:p>
        </w:tc>
        <w:tc>
          <w:tcPr>
            <w:tcW w:w="0" w:type="auto"/>
            <w:tcBorders>
              <w:top w:val="nil"/>
              <w:left w:val="nil"/>
              <w:bottom w:val="nil"/>
              <w:right w:val="nil"/>
            </w:tcBorders>
            <w:noWrap/>
            <w:vAlign w:val="bottom"/>
            <w:hideMark/>
          </w:tcPr>
          <w:p w14:paraId="6993F853"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237 (14.5%)</w:t>
            </w:r>
          </w:p>
        </w:tc>
        <w:tc>
          <w:tcPr>
            <w:tcW w:w="0" w:type="auto"/>
            <w:tcBorders>
              <w:top w:val="nil"/>
              <w:left w:val="nil"/>
              <w:bottom w:val="nil"/>
              <w:right w:val="nil"/>
            </w:tcBorders>
            <w:noWrap/>
            <w:vAlign w:val="bottom"/>
            <w:hideMark/>
          </w:tcPr>
          <w:p w14:paraId="6CAA71B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589 (15.8%)</w:t>
            </w:r>
          </w:p>
        </w:tc>
      </w:tr>
      <w:tr w:rsidR="00DA2372" w:rsidRPr="00DA2372" w14:paraId="00137A5C" w14:textId="77777777" w:rsidTr="00DA2372">
        <w:trPr>
          <w:trHeight w:val="300"/>
        </w:trPr>
        <w:tc>
          <w:tcPr>
            <w:tcW w:w="0" w:type="auto"/>
            <w:tcBorders>
              <w:top w:val="nil"/>
              <w:left w:val="nil"/>
              <w:bottom w:val="nil"/>
              <w:right w:val="nil"/>
            </w:tcBorders>
            <w:noWrap/>
            <w:vAlign w:val="bottom"/>
            <w:hideMark/>
          </w:tcPr>
          <w:p w14:paraId="7A38E057"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Self-respondent</w:t>
            </w:r>
          </w:p>
        </w:tc>
        <w:tc>
          <w:tcPr>
            <w:tcW w:w="0" w:type="auto"/>
            <w:tcBorders>
              <w:top w:val="nil"/>
              <w:left w:val="nil"/>
              <w:bottom w:val="nil"/>
              <w:right w:val="nil"/>
            </w:tcBorders>
            <w:noWrap/>
            <w:vAlign w:val="bottom"/>
            <w:hideMark/>
          </w:tcPr>
          <w:p w14:paraId="73036024"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3,923 (73.3%)</w:t>
            </w:r>
          </w:p>
        </w:tc>
        <w:tc>
          <w:tcPr>
            <w:tcW w:w="0" w:type="auto"/>
            <w:tcBorders>
              <w:top w:val="nil"/>
              <w:left w:val="nil"/>
              <w:bottom w:val="nil"/>
              <w:right w:val="nil"/>
            </w:tcBorders>
            <w:noWrap/>
            <w:vAlign w:val="bottom"/>
            <w:hideMark/>
          </w:tcPr>
          <w:p w14:paraId="638C2C8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635 (39.0%)</w:t>
            </w:r>
          </w:p>
        </w:tc>
        <w:tc>
          <w:tcPr>
            <w:tcW w:w="0" w:type="auto"/>
            <w:tcBorders>
              <w:top w:val="nil"/>
              <w:left w:val="nil"/>
              <w:bottom w:val="nil"/>
              <w:right w:val="nil"/>
            </w:tcBorders>
            <w:noWrap/>
            <w:vAlign w:val="bottom"/>
            <w:hideMark/>
          </w:tcPr>
          <w:p w14:paraId="1396179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3,288 (88.3%)</w:t>
            </w:r>
          </w:p>
        </w:tc>
      </w:tr>
      <w:tr w:rsidR="00DA2372" w:rsidRPr="00DA2372" w14:paraId="34531673" w14:textId="77777777" w:rsidTr="00DA2372">
        <w:trPr>
          <w:trHeight w:val="300"/>
        </w:trPr>
        <w:tc>
          <w:tcPr>
            <w:tcW w:w="0" w:type="auto"/>
            <w:tcBorders>
              <w:top w:val="nil"/>
              <w:left w:val="nil"/>
              <w:bottom w:val="nil"/>
              <w:right w:val="nil"/>
            </w:tcBorders>
            <w:noWrap/>
            <w:vAlign w:val="bottom"/>
            <w:hideMark/>
          </w:tcPr>
          <w:p w14:paraId="0649DCFD"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Proxy respondent</w:t>
            </w:r>
          </w:p>
        </w:tc>
        <w:tc>
          <w:tcPr>
            <w:tcW w:w="0" w:type="auto"/>
            <w:tcBorders>
              <w:top w:val="nil"/>
              <w:left w:val="nil"/>
              <w:bottom w:val="nil"/>
              <w:right w:val="nil"/>
            </w:tcBorders>
            <w:noWrap/>
            <w:vAlign w:val="bottom"/>
            <w:hideMark/>
          </w:tcPr>
          <w:p w14:paraId="5AAF86E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1,430 (26.7%)</w:t>
            </w:r>
          </w:p>
        </w:tc>
        <w:tc>
          <w:tcPr>
            <w:tcW w:w="0" w:type="auto"/>
            <w:tcBorders>
              <w:top w:val="nil"/>
              <w:left w:val="nil"/>
              <w:bottom w:val="nil"/>
              <w:right w:val="nil"/>
            </w:tcBorders>
            <w:noWrap/>
            <w:vAlign w:val="bottom"/>
            <w:hideMark/>
          </w:tcPr>
          <w:p w14:paraId="1AD79E9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994 (61.0%)</w:t>
            </w:r>
          </w:p>
        </w:tc>
        <w:tc>
          <w:tcPr>
            <w:tcW w:w="0" w:type="auto"/>
            <w:tcBorders>
              <w:top w:val="nil"/>
              <w:left w:val="nil"/>
              <w:bottom w:val="nil"/>
              <w:right w:val="nil"/>
            </w:tcBorders>
            <w:noWrap/>
            <w:vAlign w:val="bottom"/>
            <w:hideMark/>
          </w:tcPr>
          <w:p w14:paraId="5CEABC9F"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436 (11.7%)</w:t>
            </w:r>
          </w:p>
        </w:tc>
      </w:tr>
      <w:tr w:rsidR="00DA2372" w:rsidRPr="00DA2372" w14:paraId="5FF0BF8E" w14:textId="77777777" w:rsidTr="00DA2372">
        <w:trPr>
          <w:trHeight w:val="300"/>
        </w:trPr>
        <w:tc>
          <w:tcPr>
            <w:tcW w:w="0" w:type="auto"/>
            <w:tcBorders>
              <w:top w:val="nil"/>
              <w:left w:val="nil"/>
              <w:bottom w:val="nil"/>
              <w:right w:val="nil"/>
            </w:tcBorders>
            <w:noWrap/>
            <w:vAlign w:val="bottom"/>
            <w:hideMark/>
          </w:tcPr>
          <w:p w14:paraId="729108D3"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Household Size: 1</w:t>
            </w:r>
          </w:p>
        </w:tc>
        <w:tc>
          <w:tcPr>
            <w:tcW w:w="0" w:type="auto"/>
            <w:tcBorders>
              <w:top w:val="nil"/>
              <w:left w:val="nil"/>
              <w:bottom w:val="nil"/>
              <w:right w:val="nil"/>
            </w:tcBorders>
            <w:noWrap/>
            <w:vAlign w:val="bottom"/>
            <w:hideMark/>
          </w:tcPr>
          <w:p w14:paraId="410C78B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1,669 (31.2%)</w:t>
            </w:r>
          </w:p>
        </w:tc>
        <w:tc>
          <w:tcPr>
            <w:tcW w:w="0" w:type="auto"/>
            <w:tcBorders>
              <w:top w:val="nil"/>
              <w:left w:val="nil"/>
              <w:bottom w:val="nil"/>
              <w:right w:val="nil"/>
            </w:tcBorders>
            <w:noWrap/>
            <w:vAlign w:val="bottom"/>
            <w:hideMark/>
          </w:tcPr>
          <w:p w14:paraId="167F09A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373 (22.9%)</w:t>
            </w:r>
          </w:p>
        </w:tc>
        <w:tc>
          <w:tcPr>
            <w:tcW w:w="0" w:type="auto"/>
            <w:tcBorders>
              <w:top w:val="nil"/>
              <w:left w:val="nil"/>
              <w:bottom w:val="nil"/>
              <w:right w:val="nil"/>
            </w:tcBorders>
            <w:noWrap/>
            <w:vAlign w:val="bottom"/>
            <w:hideMark/>
          </w:tcPr>
          <w:p w14:paraId="22A2F07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1,296 (34.8%)</w:t>
            </w:r>
          </w:p>
        </w:tc>
      </w:tr>
      <w:tr w:rsidR="00DA2372" w:rsidRPr="00DA2372" w14:paraId="5341B45D" w14:textId="77777777" w:rsidTr="00DA2372">
        <w:trPr>
          <w:trHeight w:val="300"/>
        </w:trPr>
        <w:tc>
          <w:tcPr>
            <w:tcW w:w="0" w:type="auto"/>
            <w:tcBorders>
              <w:top w:val="nil"/>
              <w:left w:val="nil"/>
              <w:bottom w:val="nil"/>
              <w:right w:val="nil"/>
            </w:tcBorders>
            <w:noWrap/>
            <w:vAlign w:val="bottom"/>
            <w:hideMark/>
          </w:tcPr>
          <w:p w14:paraId="31F183C0"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Household Size: 2</w:t>
            </w:r>
          </w:p>
        </w:tc>
        <w:tc>
          <w:tcPr>
            <w:tcW w:w="0" w:type="auto"/>
            <w:tcBorders>
              <w:top w:val="nil"/>
              <w:left w:val="nil"/>
              <w:bottom w:val="nil"/>
              <w:right w:val="nil"/>
            </w:tcBorders>
            <w:noWrap/>
            <w:vAlign w:val="bottom"/>
            <w:hideMark/>
          </w:tcPr>
          <w:p w14:paraId="19583C7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2,318 (43.3%)</w:t>
            </w:r>
          </w:p>
        </w:tc>
        <w:tc>
          <w:tcPr>
            <w:tcW w:w="0" w:type="auto"/>
            <w:tcBorders>
              <w:top w:val="nil"/>
              <w:left w:val="nil"/>
              <w:bottom w:val="nil"/>
              <w:right w:val="nil"/>
            </w:tcBorders>
            <w:noWrap/>
            <w:vAlign w:val="bottom"/>
            <w:hideMark/>
          </w:tcPr>
          <w:p w14:paraId="6913467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749 (46.0%)</w:t>
            </w:r>
          </w:p>
        </w:tc>
        <w:tc>
          <w:tcPr>
            <w:tcW w:w="0" w:type="auto"/>
            <w:tcBorders>
              <w:top w:val="nil"/>
              <w:left w:val="nil"/>
              <w:bottom w:val="nil"/>
              <w:right w:val="nil"/>
            </w:tcBorders>
            <w:noWrap/>
            <w:vAlign w:val="bottom"/>
            <w:hideMark/>
          </w:tcPr>
          <w:p w14:paraId="238227E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1,569 (42.1%)</w:t>
            </w:r>
          </w:p>
        </w:tc>
      </w:tr>
      <w:tr w:rsidR="00DA2372" w:rsidRPr="00DA2372" w14:paraId="7C61859E" w14:textId="77777777" w:rsidTr="00DA2372">
        <w:trPr>
          <w:trHeight w:val="300"/>
        </w:trPr>
        <w:tc>
          <w:tcPr>
            <w:tcW w:w="0" w:type="auto"/>
            <w:tcBorders>
              <w:top w:val="nil"/>
              <w:left w:val="nil"/>
              <w:bottom w:val="nil"/>
              <w:right w:val="nil"/>
            </w:tcBorders>
            <w:noWrap/>
            <w:vAlign w:val="bottom"/>
            <w:hideMark/>
          </w:tcPr>
          <w:p w14:paraId="1AB13FC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Household Size: 3+</w:t>
            </w:r>
          </w:p>
        </w:tc>
        <w:tc>
          <w:tcPr>
            <w:tcW w:w="0" w:type="auto"/>
            <w:tcBorders>
              <w:top w:val="nil"/>
              <w:left w:val="nil"/>
              <w:bottom w:val="nil"/>
              <w:right w:val="nil"/>
            </w:tcBorders>
            <w:noWrap/>
            <w:vAlign w:val="bottom"/>
            <w:hideMark/>
          </w:tcPr>
          <w:p w14:paraId="1CE7C58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1,366 (25.5%)</w:t>
            </w:r>
          </w:p>
        </w:tc>
        <w:tc>
          <w:tcPr>
            <w:tcW w:w="0" w:type="auto"/>
            <w:tcBorders>
              <w:top w:val="nil"/>
              <w:left w:val="nil"/>
              <w:bottom w:val="nil"/>
              <w:right w:val="nil"/>
            </w:tcBorders>
            <w:noWrap/>
            <w:vAlign w:val="bottom"/>
            <w:hideMark/>
          </w:tcPr>
          <w:p w14:paraId="0290990B"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507 (31.1%)</w:t>
            </w:r>
          </w:p>
        </w:tc>
        <w:tc>
          <w:tcPr>
            <w:tcW w:w="0" w:type="auto"/>
            <w:tcBorders>
              <w:top w:val="nil"/>
              <w:left w:val="nil"/>
              <w:bottom w:val="nil"/>
              <w:right w:val="nil"/>
            </w:tcBorders>
            <w:noWrap/>
            <w:vAlign w:val="bottom"/>
            <w:hideMark/>
          </w:tcPr>
          <w:p w14:paraId="004BF0C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859 (23.1%)</w:t>
            </w:r>
          </w:p>
        </w:tc>
      </w:tr>
      <w:tr w:rsidR="00DA2372" w:rsidRPr="00DA2372" w14:paraId="2BF1C951" w14:textId="77777777" w:rsidTr="00DA2372">
        <w:trPr>
          <w:trHeight w:val="300"/>
        </w:trPr>
        <w:tc>
          <w:tcPr>
            <w:tcW w:w="0" w:type="auto"/>
            <w:tcBorders>
              <w:top w:val="nil"/>
              <w:left w:val="nil"/>
              <w:bottom w:val="nil"/>
              <w:right w:val="nil"/>
            </w:tcBorders>
            <w:noWrap/>
            <w:vAlign w:val="bottom"/>
            <w:hideMark/>
          </w:tcPr>
          <w:p w14:paraId="4450087C"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r w:rsidRPr="00DA2372">
              <w:rPr>
                <w:rFonts w:ascii="Times New Roman" w:eastAsia="Times New Roman" w:hAnsi="Times New Roman" w:cs="Times New Roman"/>
                <w:b/>
                <w:bCs/>
                <w:kern w:val="0"/>
                <w14:ligatures w14:val="none"/>
              </w:rPr>
              <w:t>Health Conditions</w:t>
            </w:r>
          </w:p>
        </w:tc>
        <w:tc>
          <w:tcPr>
            <w:tcW w:w="0" w:type="auto"/>
            <w:tcBorders>
              <w:top w:val="nil"/>
              <w:left w:val="nil"/>
              <w:bottom w:val="nil"/>
              <w:right w:val="nil"/>
            </w:tcBorders>
            <w:noWrap/>
            <w:vAlign w:val="bottom"/>
            <w:hideMark/>
          </w:tcPr>
          <w:p w14:paraId="4D6263EC" w14:textId="77777777" w:rsidR="00DA2372" w:rsidRPr="00DA2372" w:rsidRDefault="00DA2372" w:rsidP="002E7819">
            <w:pPr>
              <w:spacing w:after="0" w:line="240" w:lineRule="auto"/>
              <w:rPr>
                <w:rFonts w:ascii="Times New Roman" w:eastAsia="Times New Roman" w:hAnsi="Times New Roman" w:cs="Times New Roman"/>
                <w:b/>
                <w:bCs/>
                <w:kern w:val="0"/>
                <w14:ligatures w14:val="none"/>
              </w:rPr>
            </w:pPr>
          </w:p>
        </w:tc>
        <w:tc>
          <w:tcPr>
            <w:tcW w:w="0" w:type="auto"/>
            <w:tcBorders>
              <w:top w:val="nil"/>
              <w:left w:val="nil"/>
              <w:bottom w:val="nil"/>
              <w:right w:val="nil"/>
            </w:tcBorders>
            <w:noWrap/>
            <w:vAlign w:val="bottom"/>
            <w:hideMark/>
          </w:tcPr>
          <w:p w14:paraId="52A03DA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noWrap/>
            <w:vAlign w:val="bottom"/>
            <w:hideMark/>
          </w:tcPr>
          <w:p w14:paraId="68695514"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p>
        </w:tc>
      </w:tr>
      <w:tr w:rsidR="00DA2372" w:rsidRPr="00DA2372" w14:paraId="53422202" w14:textId="77777777" w:rsidTr="00DA2372">
        <w:trPr>
          <w:trHeight w:val="300"/>
        </w:trPr>
        <w:tc>
          <w:tcPr>
            <w:tcW w:w="0" w:type="auto"/>
            <w:tcBorders>
              <w:top w:val="nil"/>
              <w:left w:val="nil"/>
              <w:bottom w:val="nil"/>
              <w:right w:val="nil"/>
            </w:tcBorders>
            <w:noWrap/>
            <w:vAlign w:val="bottom"/>
            <w:hideMark/>
          </w:tcPr>
          <w:p w14:paraId="75C4F539"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Underweight/healthy (&lt;25)</w:t>
            </w:r>
          </w:p>
        </w:tc>
        <w:tc>
          <w:tcPr>
            <w:tcW w:w="0" w:type="auto"/>
            <w:tcBorders>
              <w:top w:val="nil"/>
              <w:left w:val="nil"/>
              <w:bottom w:val="nil"/>
              <w:right w:val="nil"/>
            </w:tcBorders>
            <w:noWrap/>
            <w:vAlign w:val="bottom"/>
            <w:hideMark/>
          </w:tcPr>
          <w:p w14:paraId="200092E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1,806 (33.7%)</w:t>
            </w:r>
          </w:p>
        </w:tc>
        <w:tc>
          <w:tcPr>
            <w:tcW w:w="0" w:type="auto"/>
            <w:tcBorders>
              <w:top w:val="nil"/>
              <w:left w:val="nil"/>
              <w:bottom w:val="nil"/>
              <w:right w:val="nil"/>
            </w:tcBorders>
            <w:noWrap/>
            <w:vAlign w:val="bottom"/>
            <w:hideMark/>
          </w:tcPr>
          <w:p w14:paraId="510F8F4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702 (43.1%)</w:t>
            </w:r>
          </w:p>
        </w:tc>
        <w:tc>
          <w:tcPr>
            <w:tcW w:w="0" w:type="auto"/>
            <w:tcBorders>
              <w:top w:val="nil"/>
              <w:left w:val="nil"/>
              <w:bottom w:val="nil"/>
              <w:right w:val="nil"/>
            </w:tcBorders>
            <w:noWrap/>
            <w:vAlign w:val="bottom"/>
            <w:hideMark/>
          </w:tcPr>
          <w:p w14:paraId="5CF8E3A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1,104 (29.6%)</w:t>
            </w:r>
          </w:p>
        </w:tc>
      </w:tr>
      <w:tr w:rsidR="00DA2372" w:rsidRPr="00DA2372" w14:paraId="392FD529" w14:textId="77777777" w:rsidTr="00DA2372">
        <w:trPr>
          <w:trHeight w:val="300"/>
        </w:trPr>
        <w:tc>
          <w:tcPr>
            <w:tcW w:w="0" w:type="auto"/>
            <w:tcBorders>
              <w:top w:val="nil"/>
              <w:left w:val="nil"/>
              <w:bottom w:val="nil"/>
              <w:right w:val="nil"/>
            </w:tcBorders>
            <w:noWrap/>
            <w:vAlign w:val="bottom"/>
            <w:hideMark/>
          </w:tcPr>
          <w:p w14:paraId="2B1F843D"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lastRenderedPageBreak/>
              <w:t xml:space="preserve">  Overweight (25-30)</w:t>
            </w:r>
          </w:p>
        </w:tc>
        <w:tc>
          <w:tcPr>
            <w:tcW w:w="0" w:type="auto"/>
            <w:tcBorders>
              <w:top w:val="nil"/>
              <w:left w:val="nil"/>
              <w:bottom w:val="nil"/>
              <w:right w:val="nil"/>
            </w:tcBorders>
            <w:noWrap/>
            <w:vAlign w:val="bottom"/>
            <w:hideMark/>
          </w:tcPr>
          <w:p w14:paraId="7320E60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1,768 (33.0%)</w:t>
            </w:r>
          </w:p>
        </w:tc>
        <w:tc>
          <w:tcPr>
            <w:tcW w:w="0" w:type="auto"/>
            <w:tcBorders>
              <w:top w:val="nil"/>
              <w:left w:val="nil"/>
              <w:bottom w:val="nil"/>
              <w:right w:val="nil"/>
            </w:tcBorders>
            <w:noWrap/>
            <w:vAlign w:val="bottom"/>
            <w:hideMark/>
          </w:tcPr>
          <w:p w14:paraId="5024D05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475 (29.2%)</w:t>
            </w:r>
          </w:p>
        </w:tc>
        <w:tc>
          <w:tcPr>
            <w:tcW w:w="0" w:type="auto"/>
            <w:tcBorders>
              <w:top w:val="nil"/>
              <w:left w:val="nil"/>
              <w:bottom w:val="nil"/>
              <w:right w:val="nil"/>
            </w:tcBorders>
            <w:noWrap/>
            <w:vAlign w:val="bottom"/>
            <w:hideMark/>
          </w:tcPr>
          <w:p w14:paraId="2F5A605E"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1,293 (34.7%)</w:t>
            </w:r>
          </w:p>
        </w:tc>
      </w:tr>
      <w:tr w:rsidR="00DA2372" w:rsidRPr="00DA2372" w14:paraId="09E356C6" w14:textId="77777777" w:rsidTr="00DA2372">
        <w:trPr>
          <w:trHeight w:val="300"/>
        </w:trPr>
        <w:tc>
          <w:tcPr>
            <w:tcW w:w="0" w:type="auto"/>
            <w:tcBorders>
              <w:top w:val="nil"/>
              <w:left w:val="nil"/>
              <w:bottom w:val="nil"/>
              <w:right w:val="nil"/>
            </w:tcBorders>
            <w:noWrap/>
            <w:vAlign w:val="bottom"/>
            <w:hideMark/>
          </w:tcPr>
          <w:p w14:paraId="7B1145A8"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Obese/high-risk obese (&gt;=30)</w:t>
            </w:r>
          </w:p>
        </w:tc>
        <w:tc>
          <w:tcPr>
            <w:tcW w:w="0" w:type="auto"/>
            <w:tcBorders>
              <w:top w:val="nil"/>
              <w:left w:val="nil"/>
              <w:bottom w:val="nil"/>
              <w:right w:val="nil"/>
            </w:tcBorders>
            <w:noWrap/>
            <w:vAlign w:val="bottom"/>
            <w:hideMark/>
          </w:tcPr>
          <w:p w14:paraId="60AA2DF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1,615 (30.2%)</w:t>
            </w:r>
          </w:p>
        </w:tc>
        <w:tc>
          <w:tcPr>
            <w:tcW w:w="0" w:type="auto"/>
            <w:tcBorders>
              <w:top w:val="nil"/>
              <w:left w:val="nil"/>
              <w:bottom w:val="nil"/>
              <w:right w:val="nil"/>
            </w:tcBorders>
            <w:noWrap/>
            <w:vAlign w:val="bottom"/>
            <w:hideMark/>
          </w:tcPr>
          <w:p w14:paraId="7BB2918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379 (23.3%)</w:t>
            </w:r>
          </w:p>
        </w:tc>
        <w:tc>
          <w:tcPr>
            <w:tcW w:w="0" w:type="auto"/>
            <w:tcBorders>
              <w:top w:val="nil"/>
              <w:left w:val="nil"/>
              <w:bottom w:val="nil"/>
              <w:right w:val="nil"/>
            </w:tcBorders>
            <w:noWrap/>
            <w:vAlign w:val="bottom"/>
            <w:hideMark/>
          </w:tcPr>
          <w:p w14:paraId="0C85F3B6"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1,236 (33.2%)</w:t>
            </w:r>
          </w:p>
        </w:tc>
      </w:tr>
      <w:tr w:rsidR="00DA2372" w:rsidRPr="00DA2372" w14:paraId="0C0227ED" w14:textId="77777777" w:rsidTr="00DA2372">
        <w:trPr>
          <w:trHeight w:val="300"/>
        </w:trPr>
        <w:tc>
          <w:tcPr>
            <w:tcW w:w="0" w:type="auto"/>
            <w:tcBorders>
              <w:top w:val="nil"/>
              <w:left w:val="nil"/>
              <w:bottom w:val="nil"/>
              <w:right w:val="nil"/>
            </w:tcBorders>
            <w:noWrap/>
            <w:vAlign w:val="bottom"/>
            <w:hideMark/>
          </w:tcPr>
          <w:p w14:paraId="7184B29C"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BMI missing</w:t>
            </w:r>
          </w:p>
        </w:tc>
        <w:tc>
          <w:tcPr>
            <w:tcW w:w="0" w:type="auto"/>
            <w:tcBorders>
              <w:top w:val="nil"/>
              <w:left w:val="nil"/>
              <w:bottom w:val="nil"/>
              <w:right w:val="nil"/>
            </w:tcBorders>
            <w:noWrap/>
            <w:vAlign w:val="bottom"/>
            <w:hideMark/>
          </w:tcPr>
          <w:p w14:paraId="0AC4EBD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164 (3.1%)</w:t>
            </w:r>
          </w:p>
        </w:tc>
        <w:tc>
          <w:tcPr>
            <w:tcW w:w="0" w:type="auto"/>
            <w:tcBorders>
              <w:top w:val="nil"/>
              <w:left w:val="nil"/>
              <w:bottom w:val="nil"/>
              <w:right w:val="nil"/>
            </w:tcBorders>
            <w:noWrap/>
            <w:vAlign w:val="bottom"/>
            <w:hideMark/>
          </w:tcPr>
          <w:p w14:paraId="3F98FAA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73 (4.5%)</w:t>
            </w:r>
          </w:p>
        </w:tc>
        <w:tc>
          <w:tcPr>
            <w:tcW w:w="0" w:type="auto"/>
            <w:tcBorders>
              <w:top w:val="nil"/>
              <w:left w:val="nil"/>
              <w:bottom w:val="nil"/>
              <w:right w:val="nil"/>
            </w:tcBorders>
            <w:noWrap/>
            <w:vAlign w:val="bottom"/>
            <w:hideMark/>
          </w:tcPr>
          <w:p w14:paraId="6AD517E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91 (2.4%)</w:t>
            </w:r>
          </w:p>
        </w:tc>
      </w:tr>
      <w:tr w:rsidR="00DA2372" w:rsidRPr="00DA2372" w14:paraId="48787F4A" w14:textId="77777777" w:rsidTr="00DA2372">
        <w:trPr>
          <w:trHeight w:val="300"/>
        </w:trPr>
        <w:tc>
          <w:tcPr>
            <w:tcW w:w="0" w:type="auto"/>
            <w:tcBorders>
              <w:top w:val="nil"/>
              <w:left w:val="nil"/>
              <w:bottom w:val="nil"/>
              <w:right w:val="nil"/>
            </w:tcBorders>
            <w:noWrap/>
            <w:vAlign w:val="bottom"/>
            <w:hideMark/>
          </w:tcPr>
          <w:p w14:paraId="49C25516"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IADLs or ADLs: 0</w:t>
            </w:r>
          </w:p>
        </w:tc>
        <w:tc>
          <w:tcPr>
            <w:tcW w:w="0" w:type="auto"/>
            <w:tcBorders>
              <w:top w:val="nil"/>
              <w:left w:val="nil"/>
              <w:bottom w:val="nil"/>
              <w:right w:val="nil"/>
            </w:tcBorders>
            <w:noWrap/>
            <w:vAlign w:val="bottom"/>
            <w:hideMark/>
          </w:tcPr>
          <w:p w14:paraId="3F470A5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1,462 (27.3%)</w:t>
            </w:r>
          </w:p>
        </w:tc>
        <w:tc>
          <w:tcPr>
            <w:tcW w:w="0" w:type="auto"/>
            <w:tcBorders>
              <w:top w:val="nil"/>
              <w:left w:val="nil"/>
              <w:bottom w:val="nil"/>
              <w:right w:val="nil"/>
            </w:tcBorders>
            <w:noWrap/>
            <w:vAlign w:val="bottom"/>
            <w:hideMark/>
          </w:tcPr>
          <w:p w14:paraId="236504F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212 (13.0%)</w:t>
            </w:r>
          </w:p>
        </w:tc>
        <w:tc>
          <w:tcPr>
            <w:tcW w:w="0" w:type="auto"/>
            <w:tcBorders>
              <w:top w:val="nil"/>
              <w:left w:val="nil"/>
              <w:bottom w:val="nil"/>
              <w:right w:val="nil"/>
            </w:tcBorders>
            <w:noWrap/>
            <w:vAlign w:val="bottom"/>
            <w:hideMark/>
          </w:tcPr>
          <w:p w14:paraId="757C9BF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1,250 (33.6%)</w:t>
            </w:r>
          </w:p>
        </w:tc>
      </w:tr>
      <w:tr w:rsidR="00DA2372" w:rsidRPr="00DA2372" w14:paraId="5235D03F" w14:textId="77777777" w:rsidTr="00DA2372">
        <w:trPr>
          <w:trHeight w:val="300"/>
        </w:trPr>
        <w:tc>
          <w:tcPr>
            <w:tcW w:w="0" w:type="auto"/>
            <w:tcBorders>
              <w:top w:val="nil"/>
              <w:left w:val="nil"/>
              <w:bottom w:val="nil"/>
              <w:right w:val="nil"/>
            </w:tcBorders>
            <w:noWrap/>
            <w:vAlign w:val="bottom"/>
            <w:hideMark/>
          </w:tcPr>
          <w:p w14:paraId="51B82002"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IADLs: 1</w:t>
            </w:r>
          </w:p>
        </w:tc>
        <w:tc>
          <w:tcPr>
            <w:tcW w:w="0" w:type="auto"/>
            <w:tcBorders>
              <w:top w:val="nil"/>
              <w:left w:val="nil"/>
              <w:bottom w:val="nil"/>
              <w:right w:val="nil"/>
            </w:tcBorders>
            <w:noWrap/>
            <w:vAlign w:val="bottom"/>
            <w:hideMark/>
          </w:tcPr>
          <w:p w14:paraId="1FB0DCA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926 (17.3%)</w:t>
            </w:r>
          </w:p>
        </w:tc>
        <w:tc>
          <w:tcPr>
            <w:tcW w:w="0" w:type="auto"/>
            <w:tcBorders>
              <w:top w:val="nil"/>
              <w:left w:val="nil"/>
              <w:bottom w:val="nil"/>
              <w:right w:val="nil"/>
            </w:tcBorders>
            <w:noWrap/>
            <w:vAlign w:val="bottom"/>
            <w:hideMark/>
          </w:tcPr>
          <w:p w14:paraId="5F0E743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348 (21.4%)</w:t>
            </w:r>
          </w:p>
        </w:tc>
        <w:tc>
          <w:tcPr>
            <w:tcW w:w="0" w:type="auto"/>
            <w:tcBorders>
              <w:top w:val="nil"/>
              <w:left w:val="nil"/>
              <w:bottom w:val="nil"/>
              <w:right w:val="nil"/>
            </w:tcBorders>
            <w:noWrap/>
            <w:vAlign w:val="bottom"/>
            <w:hideMark/>
          </w:tcPr>
          <w:p w14:paraId="488C877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578 (15.5%)</w:t>
            </w:r>
          </w:p>
        </w:tc>
      </w:tr>
      <w:tr w:rsidR="00DA2372" w:rsidRPr="00DA2372" w14:paraId="1C7E35DE" w14:textId="77777777" w:rsidTr="00DA2372">
        <w:trPr>
          <w:trHeight w:val="300"/>
        </w:trPr>
        <w:tc>
          <w:tcPr>
            <w:tcW w:w="0" w:type="auto"/>
            <w:tcBorders>
              <w:top w:val="nil"/>
              <w:left w:val="nil"/>
              <w:bottom w:val="nil"/>
              <w:right w:val="nil"/>
            </w:tcBorders>
            <w:noWrap/>
            <w:vAlign w:val="bottom"/>
            <w:hideMark/>
          </w:tcPr>
          <w:p w14:paraId="7582EFED"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ADLs: 1-2</w:t>
            </w:r>
          </w:p>
        </w:tc>
        <w:tc>
          <w:tcPr>
            <w:tcW w:w="0" w:type="auto"/>
            <w:tcBorders>
              <w:top w:val="nil"/>
              <w:left w:val="nil"/>
              <w:bottom w:val="nil"/>
              <w:right w:val="nil"/>
            </w:tcBorders>
            <w:noWrap/>
            <w:vAlign w:val="bottom"/>
            <w:hideMark/>
          </w:tcPr>
          <w:p w14:paraId="3B3B5EA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1,516 (28.3%)</w:t>
            </w:r>
          </w:p>
        </w:tc>
        <w:tc>
          <w:tcPr>
            <w:tcW w:w="0" w:type="auto"/>
            <w:tcBorders>
              <w:top w:val="nil"/>
              <w:left w:val="nil"/>
              <w:bottom w:val="nil"/>
              <w:right w:val="nil"/>
            </w:tcBorders>
            <w:noWrap/>
            <w:vAlign w:val="bottom"/>
            <w:hideMark/>
          </w:tcPr>
          <w:p w14:paraId="6FAAAA0B"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410 (25.2%)</w:t>
            </w:r>
          </w:p>
        </w:tc>
        <w:tc>
          <w:tcPr>
            <w:tcW w:w="0" w:type="auto"/>
            <w:tcBorders>
              <w:top w:val="nil"/>
              <w:left w:val="nil"/>
              <w:bottom w:val="nil"/>
              <w:right w:val="nil"/>
            </w:tcBorders>
            <w:noWrap/>
            <w:vAlign w:val="bottom"/>
            <w:hideMark/>
          </w:tcPr>
          <w:p w14:paraId="014A5A7E"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1,106 (29.7%)</w:t>
            </w:r>
          </w:p>
        </w:tc>
      </w:tr>
      <w:tr w:rsidR="00DA2372" w:rsidRPr="00DA2372" w14:paraId="45ADD005" w14:textId="77777777" w:rsidTr="00DA2372">
        <w:trPr>
          <w:trHeight w:val="300"/>
        </w:trPr>
        <w:tc>
          <w:tcPr>
            <w:tcW w:w="0" w:type="auto"/>
            <w:tcBorders>
              <w:top w:val="nil"/>
              <w:left w:val="nil"/>
              <w:bottom w:val="nil"/>
              <w:right w:val="nil"/>
            </w:tcBorders>
            <w:noWrap/>
            <w:vAlign w:val="bottom"/>
            <w:hideMark/>
          </w:tcPr>
          <w:p w14:paraId="30E551EE"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ADLs: 3-4</w:t>
            </w:r>
          </w:p>
        </w:tc>
        <w:tc>
          <w:tcPr>
            <w:tcW w:w="0" w:type="auto"/>
            <w:tcBorders>
              <w:top w:val="nil"/>
              <w:left w:val="nil"/>
              <w:bottom w:val="nil"/>
              <w:right w:val="nil"/>
            </w:tcBorders>
            <w:noWrap/>
            <w:vAlign w:val="bottom"/>
            <w:hideMark/>
          </w:tcPr>
          <w:p w14:paraId="6884D2F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774 (14.5%)</w:t>
            </w:r>
          </w:p>
        </w:tc>
        <w:tc>
          <w:tcPr>
            <w:tcW w:w="0" w:type="auto"/>
            <w:tcBorders>
              <w:top w:val="nil"/>
              <w:left w:val="nil"/>
              <w:bottom w:val="nil"/>
              <w:right w:val="nil"/>
            </w:tcBorders>
            <w:noWrap/>
            <w:vAlign w:val="bottom"/>
            <w:hideMark/>
          </w:tcPr>
          <w:p w14:paraId="4A9F2CF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296 (18.2%)</w:t>
            </w:r>
          </w:p>
        </w:tc>
        <w:tc>
          <w:tcPr>
            <w:tcW w:w="0" w:type="auto"/>
            <w:tcBorders>
              <w:top w:val="nil"/>
              <w:left w:val="nil"/>
              <w:bottom w:val="nil"/>
              <w:right w:val="nil"/>
            </w:tcBorders>
            <w:noWrap/>
            <w:vAlign w:val="bottom"/>
            <w:hideMark/>
          </w:tcPr>
          <w:p w14:paraId="578C8A9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478 (12.8%)</w:t>
            </w:r>
          </w:p>
        </w:tc>
      </w:tr>
      <w:tr w:rsidR="00DA2372" w:rsidRPr="00DA2372" w14:paraId="4AC5C4B5" w14:textId="77777777" w:rsidTr="00DA2372">
        <w:trPr>
          <w:trHeight w:val="300"/>
        </w:trPr>
        <w:tc>
          <w:tcPr>
            <w:tcW w:w="0" w:type="auto"/>
            <w:tcBorders>
              <w:top w:val="nil"/>
              <w:left w:val="nil"/>
              <w:bottom w:val="nil"/>
              <w:right w:val="nil"/>
            </w:tcBorders>
            <w:noWrap/>
            <w:vAlign w:val="bottom"/>
            <w:hideMark/>
          </w:tcPr>
          <w:p w14:paraId="381231C0"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ADLs: 5-6</w:t>
            </w:r>
          </w:p>
        </w:tc>
        <w:tc>
          <w:tcPr>
            <w:tcW w:w="0" w:type="auto"/>
            <w:tcBorders>
              <w:top w:val="nil"/>
              <w:left w:val="nil"/>
              <w:bottom w:val="nil"/>
              <w:right w:val="nil"/>
            </w:tcBorders>
            <w:noWrap/>
            <w:vAlign w:val="bottom"/>
            <w:hideMark/>
          </w:tcPr>
          <w:p w14:paraId="2D0B55B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675 (12.6%)</w:t>
            </w:r>
          </w:p>
        </w:tc>
        <w:tc>
          <w:tcPr>
            <w:tcW w:w="0" w:type="auto"/>
            <w:tcBorders>
              <w:top w:val="nil"/>
              <w:left w:val="nil"/>
              <w:bottom w:val="nil"/>
              <w:right w:val="nil"/>
            </w:tcBorders>
            <w:noWrap/>
            <w:vAlign w:val="bottom"/>
            <w:hideMark/>
          </w:tcPr>
          <w:p w14:paraId="26E4F5F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363 (22.3%)</w:t>
            </w:r>
          </w:p>
        </w:tc>
        <w:tc>
          <w:tcPr>
            <w:tcW w:w="0" w:type="auto"/>
            <w:tcBorders>
              <w:top w:val="nil"/>
              <w:left w:val="nil"/>
              <w:bottom w:val="nil"/>
              <w:right w:val="nil"/>
            </w:tcBorders>
            <w:noWrap/>
            <w:vAlign w:val="bottom"/>
            <w:hideMark/>
          </w:tcPr>
          <w:p w14:paraId="38BD21C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312 (8.4%)</w:t>
            </w:r>
          </w:p>
        </w:tc>
      </w:tr>
      <w:tr w:rsidR="00DA2372" w:rsidRPr="00DA2372" w14:paraId="68AAAF20" w14:textId="77777777" w:rsidTr="00DA2372">
        <w:trPr>
          <w:trHeight w:val="300"/>
        </w:trPr>
        <w:tc>
          <w:tcPr>
            <w:tcW w:w="0" w:type="auto"/>
            <w:tcBorders>
              <w:top w:val="nil"/>
              <w:left w:val="nil"/>
              <w:bottom w:val="nil"/>
              <w:right w:val="nil"/>
            </w:tcBorders>
            <w:noWrap/>
            <w:vAlign w:val="bottom"/>
            <w:hideMark/>
          </w:tcPr>
          <w:p w14:paraId="20181F6F"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0</w:t>
            </w:r>
          </w:p>
        </w:tc>
        <w:tc>
          <w:tcPr>
            <w:tcW w:w="0" w:type="auto"/>
            <w:tcBorders>
              <w:top w:val="nil"/>
              <w:left w:val="nil"/>
              <w:bottom w:val="nil"/>
              <w:right w:val="nil"/>
            </w:tcBorders>
            <w:noWrap/>
            <w:vAlign w:val="bottom"/>
            <w:hideMark/>
          </w:tcPr>
          <w:p w14:paraId="587AAA5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39 (0.7%)</w:t>
            </w:r>
          </w:p>
        </w:tc>
        <w:tc>
          <w:tcPr>
            <w:tcW w:w="0" w:type="auto"/>
            <w:tcBorders>
              <w:top w:val="nil"/>
              <w:left w:val="nil"/>
              <w:bottom w:val="nil"/>
              <w:right w:val="nil"/>
            </w:tcBorders>
            <w:noWrap/>
            <w:vAlign w:val="bottom"/>
            <w:hideMark/>
          </w:tcPr>
          <w:p w14:paraId="74E563E1"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39 (2.4%)</w:t>
            </w:r>
          </w:p>
        </w:tc>
        <w:tc>
          <w:tcPr>
            <w:tcW w:w="0" w:type="auto"/>
            <w:tcBorders>
              <w:top w:val="nil"/>
              <w:left w:val="nil"/>
              <w:bottom w:val="nil"/>
              <w:right w:val="nil"/>
            </w:tcBorders>
            <w:noWrap/>
            <w:vAlign w:val="bottom"/>
            <w:hideMark/>
          </w:tcPr>
          <w:p w14:paraId="1F35A94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0 (0%)</w:t>
            </w:r>
          </w:p>
        </w:tc>
      </w:tr>
      <w:tr w:rsidR="00DA2372" w:rsidRPr="00DA2372" w14:paraId="71ED8ED6" w14:textId="77777777" w:rsidTr="00DA2372">
        <w:trPr>
          <w:trHeight w:val="300"/>
        </w:trPr>
        <w:tc>
          <w:tcPr>
            <w:tcW w:w="0" w:type="auto"/>
            <w:tcBorders>
              <w:top w:val="nil"/>
              <w:left w:val="nil"/>
              <w:bottom w:val="nil"/>
              <w:right w:val="nil"/>
            </w:tcBorders>
            <w:noWrap/>
            <w:vAlign w:val="bottom"/>
            <w:hideMark/>
          </w:tcPr>
          <w:p w14:paraId="770D4546"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1</w:t>
            </w:r>
          </w:p>
        </w:tc>
        <w:tc>
          <w:tcPr>
            <w:tcW w:w="0" w:type="auto"/>
            <w:tcBorders>
              <w:top w:val="nil"/>
              <w:left w:val="nil"/>
              <w:bottom w:val="nil"/>
              <w:right w:val="nil"/>
            </w:tcBorders>
            <w:noWrap/>
            <w:vAlign w:val="bottom"/>
            <w:hideMark/>
          </w:tcPr>
          <w:p w14:paraId="532788C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208 (3.9%)</w:t>
            </w:r>
          </w:p>
        </w:tc>
        <w:tc>
          <w:tcPr>
            <w:tcW w:w="0" w:type="auto"/>
            <w:tcBorders>
              <w:top w:val="nil"/>
              <w:left w:val="nil"/>
              <w:bottom w:val="nil"/>
              <w:right w:val="nil"/>
            </w:tcBorders>
            <w:noWrap/>
            <w:vAlign w:val="bottom"/>
            <w:hideMark/>
          </w:tcPr>
          <w:p w14:paraId="2EB778B0"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124 (7.6%)</w:t>
            </w:r>
          </w:p>
        </w:tc>
        <w:tc>
          <w:tcPr>
            <w:tcW w:w="0" w:type="auto"/>
            <w:tcBorders>
              <w:top w:val="nil"/>
              <w:left w:val="nil"/>
              <w:bottom w:val="nil"/>
              <w:right w:val="nil"/>
            </w:tcBorders>
            <w:noWrap/>
            <w:vAlign w:val="bottom"/>
            <w:hideMark/>
          </w:tcPr>
          <w:p w14:paraId="4F9DC07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84 (2.3%)</w:t>
            </w:r>
          </w:p>
        </w:tc>
      </w:tr>
      <w:tr w:rsidR="00DA2372" w:rsidRPr="00DA2372" w14:paraId="2D57D100" w14:textId="77777777" w:rsidTr="00DA2372">
        <w:trPr>
          <w:trHeight w:val="300"/>
        </w:trPr>
        <w:tc>
          <w:tcPr>
            <w:tcW w:w="0" w:type="auto"/>
            <w:tcBorders>
              <w:top w:val="nil"/>
              <w:left w:val="nil"/>
              <w:bottom w:val="nil"/>
              <w:right w:val="nil"/>
            </w:tcBorders>
            <w:noWrap/>
            <w:vAlign w:val="bottom"/>
            <w:hideMark/>
          </w:tcPr>
          <w:p w14:paraId="418DA061"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2</w:t>
            </w:r>
          </w:p>
        </w:tc>
        <w:tc>
          <w:tcPr>
            <w:tcW w:w="0" w:type="auto"/>
            <w:tcBorders>
              <w:top w:val="nil"/>
              <w:left w:val="nil"/>
              <w:bottom w:val="nil"/>
              <w:right w:val="nil"/>
            </w:tcBorders>
            <w:noWrap/>
            <w:vAlign w:val="bottom"/>
            <w:hideMark/>
          </w:tcPr>
          <w:p w14:paraId="714E6DA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416 (7.8%)</w:t>
            </w:r>
          </w:p>
        </w:tc>
        <w:tc>
          <w:tcPr>
            <w:tcW w:w="0" w:type="auto"/>
            <w:tcBorders>
              <w:top w:val="nil"/>
              <w:left w:val="nil"/>
              <w:bottom w:val="nil"/>
              <w:right w:val="nil"/>
            </w:tcBorders>
            <w:noWrap/>
            <w:vAlign w:val="bottom"/>
            <w:hideMark/>
          </w:tcPr>
          <w:p w14:paraId="68D14CEC"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182 (11.2%)</w:t>
            </w:r>
          </w:p>
        </w:tc>
        <w:tc>
          <w:tcPr>
            <w:tcW w:w="0" w:type="auto"/>
            <w:tcBorders>
              <w:top w:val="nil"/>
              <w:left w:val="nil"/>
              <w:bottom w:val="nil"/>
              <w:right w:val="nil"/>
            </w:tcBorders>
            <w:noWrap/>
            <w:vAlign w:val="bottom"/>
            <w:hideMark/>
          </w:tcPr>
          <w:p w14:paraId="4080EED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234 (6.3%)</w:t>
            </w:r>
          </w:p>
        </w:tc>
      </w:tr>
      <w:tr w:rsidR="00DA2372" w:rsidRPr="00DA2372" w14:paraId="352F59D3" w14:textId="77777777" w:rsidTr="00DA2372">
        <w:trPr>
          <w:trHeight w:val="300"/>
        </w:trPr>
        <w:tc>
          <w:tcPr>
            <w:tcW w:w="0" w:type="auto"/>
            <w:tcBorders>
              <w:top w:val="nil"/>
              <w:left w:val="nil"/>
              <w:bottom w:val="nil"/>
              <w:right w:val="nil"/>
            </w:tcBorders>
            <w:noWrap/>
            <w:vAlign w:val="bottom"/>
            <w:hideMark/>
          </w:tcPr>
          <w:p w14:paraId="1CF9C27F"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3-4</w:t>
            </w:r>
          </w:p>
        </w:tc>
        <w:tc>
          <w:tcPr>
            <w:tcW w:w="0" w:type="auto"/>
            <w:tcBorders>
              <w:top w:val="nil"/>
              <w:left w:val="nil"/>
              <w:bottom w:val="nil"/>
              <w:right w:val="nil"/>
            </w:tcBorders>
            <w:noWrap/>
            <w:vAlign w:val="bottom"/>
            <w:hideMark/>
          </w:tcPr>
          <w:p w14:paraId="34A73F4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1,621 (30.3%)</w:t>
            </w:r>
          </w:p>
        </w:tc>
        <w:tc>
          <w:tcPr>
            <w:tcW w:w="0" w:type="auto"/>
            <w:tcBorders>
              <w:top w:val="nil"/>
              <w:left w:val="nil"/>
              <w:bottom w:val="nil"/>
              <w:right w:val="nil"/>
            </w:tcBorders>
            <w:noWrap/>
            <w:vAlign w:val="bottom"/>
            <w:hideMark/>
          </w:tcPr>
          <w:p w14:paraId="0F336907"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520 (31.9%)</w:t>
            </w:r>
          </w:p>
        </w:tc>
        <w:tc>
          <w:tcPr>
            <w:tcW w:w="0" w:type="auto"/>
            <w:tcBorders>
              <w:top w:val="nil"/>
              <w:left w:val="nil"/>
              <w:bottom w:val="nil"/>
              <w:right w:val="nil"/>
            </w:tcBorders>
            <w:noWrap/>
            <w:vAlign w:val="bottom"/>
            <w:hideMark/>
          </w:tcPr>
          <w:p w14:paraId="4250EA0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1,101 (29.6%)</w:t>
            </w:r>
          </w:p>
        </w:tc>
      </w:tr>
      <w:tr w:rsidR="00DA2372" w:rsidRPr="00DA2372" w14:paraId="7C1B29F8" w14:textId="77777777" w:rsidTr="00DA2372">
        <w:trPr>
          <w:trHeight w:val="300"/>
        </w:trPr>
        <w:tc>
          <w:tcPr>
            <w:tcW w:w="0" w:type="auto"/>
            <w:tcBorders>
              <w:top w:val="nil"/>
              <w:left w:val="nil"/>
              <w:bottom w:val="nil"/>
              <w:right w:val="nil"/>
            </w:tcBorders>
            <w:noWrap/>
            <w:vAlign w:val="bottom"/>
            <w:hideMark/>
          </w:tcPr>
          <w:p w14:paraId="7495C579"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5-6</w:t>
            </w:r>
          </w:p>
        </w:tc>
        <w:tc>
          <w:tcPr>
            <w:tcW w:w="0" w:type="auto"/>
            <w:tcBorders>
              <w:top w:val="nil"/>
              <w:left w:val="nil"/>
              <w:bottom w:val="nil"/>
              <w:right w:val="nil"/>
            </w:tcBorders>
            <w:noWrap/>
            <w:vAlign w:val="bottom"/>
            <w:hideMark/>
          </w:tcPr>
          <w:p w14:paraId="30C59A49"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1,722 (32.2%)</w:t>
            </w:r>
          </w:p>
        </w:tc>
        <w:tc>
          <w:tcPr>
            <w:tcW w:w="0" w:type="auto"/>
            <w:tcBorders>
              <w:top w:val="nil"/>
              <w:left w:val="nil"/>
              <w:bottom w:val="nil"/>
              <w:right w:val="nil"/>
            </w:tcBorders>
            <w:noWrap/>
            <w:vAlign w:val="bottom"/>
            <w:hideMark/>
          </w:tcPr>
          <w:p w14:paraId="27BCA894"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452 (27.7%)</w:t>
            </w:r>
          </w:p>
        </w:tc>
        <w:tc>
          <w:tcPr>
            <w:tcW w:w="0" w:type="auto"/>
            <w:tcBorders>
              <w:top w:val="nil"/>
              <w:left w:val="nil"/>
              <w:bottom w:val="nil"/>
              <w:right w:val="nil"/>
            </w:tcBorders>
            <w:noWrap/>
            <w:vAlign w:val="bottom"/>
            <w:hideMark/>
          </w:tcPr>
          <w:p w14:paraId="0B9C093D"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1,270 (34.1%)</w:t>
            </w:r>
          </w:p>
        </w:tc>
      </w:tr>
      <w:tr w:rsidR="00DA2372" w:rsidRPr="00DA2372" w14:paraId="5C61B154" w14:textId="77777777" w:rsidTr="00DA2372">
        <w:trPr>
          <w:trHeight w:val="300"/>
        </w:trPr>
        <w:tc>
          <w:tcPr>
            <w:tcW w:w="0" w:type="auto"/>
            <w:tcBorders>
              <w:top w:val="nil"/>
              <w:left w:val="nil"/>
              <w:bottom w:val="nil"/>
              <w:right w:val="nil"/>
            </w:tcBorders>
            <w:noWrap/>
            <w:vAlign w:val="bottom"/>
            <w:hideMark/>
          </w:tcPr>
          <w:p w14:paraId="392613DE"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7-10</w:t>
            </w:r>
          </w:p>
        </w:tc>
        <w:tc>
          <w:tcPr>
            <w:tcW w:w="0" w:type="auto"/>
            <w:tcBorders>
              <w:top w:val="nil"/>
              <w:left w:val="nil"/>
              <w:bottom w:val="nil"/>
              <w:right w:val="nil"/>
            </w:tcBorders>
            <w:noWrap/>
            <w:vAlign w:val="bottom"/>
            <w:hideMark/>
          </w:tcPr>
          <w:p w14:paraId="04D5006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1,226 (22.9%)</w:t>
            </w:r>
          </w:p>
        </w:tc>
        <w:tc>
          <w:tcPr>
            <w:tcW w:w="0" w:type="auto"/>
            <w:tcBorders>
              <w:top w:val="nil"/>
              <w:left w:val="nil"/>
              <w:bottom w:val="nil"/>
              <w:right w:val="nil"/>
            </w:tcBorders>
            <w:noWrap/>
            <w:vAlign w:val="bottom"/>
            <w:hideMark/>
          </w:tcPr>
          <w:p w14:paraId="7A7CE6DF"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281 (17.2%)</w:t>
            </w:r>
          </w:p>
        </w:tc>
        <w:tc>
          <w:tcPr>
            <w:tcW w:w="0" w:type="auto"/>
            <w:tcBorders>
              <w:top w:val="nil"/>
              <w:left w:val="nil"/>
              <w:bottom w:val="nil"/>
              <w:right w:val="nil"/>
            </w:tcBorders>
            <w:noWrap/>
            <w:vAlign w:val="bottom"/>
            <w:hideMark/>
          </w:tcPr>
          <w:p w14:paraId="24B20475"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945 (25.4%)</w:t>
            </w:r>
          </w:p>
        </w:tc>
      </w:tr>
      <w:tr w:rsidR="00DA2372" w:rsidRPr="00DA2372" w14:paraId="0FD2E8B2" w14:textId="77777777" w:rsidTr="00DA2372">
        <w:trPr>
          <w:trHeight w:val="300"/>
        </w:trPr>
        <w:tc>
          <w:tcPr>
            <w:tcW w:w="0" w:type="auto"/>
            <w:tcBorders>
              <w:top w:val="nil"/>
              <w:left w:val="nil"/>
              <w:bottom w:val="single" w:sz="4" w:space="0" w:color="auto"/>
              <w:right w:val="nil"/>
            </w:tcBorders>
            <w:noWrap/>
            <w:vAlign w:val="bottom"/>
            <w:hideMark/>
          </w:tcPr>
          <w:p w14:paraId="2ADCBF87" w14:textId="77777777" w:rsidR="00DA2372" w:rsidRPr="00DA2372" w:rsidRDefault="00DA2372" w:rsidP="002E7819">
            <w:pPr>
              <w:spacing w:after="0" w:line="240" w:lineRule="auto"/>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 xml:space="preserve">  Chronic Conditions (except ADRD): 11+</w:t>
            </w:r>
          </w:p>
        </w:tc>
        <w:tc>
          <w:tcPr>
            <w:tcW w:w="0" w:type="auto"/>
            <w:tcBorders>
              <w:top w:val="nil"/>
              <w:left w:val="nil"/>
              <w:bottom w:val="single" w:sz="4" w:space="0" w:color="auto"/>
              <w:right w:val="nil"/>
            </w:tcBorders>
            <w:noWrap/>
            <w:vAlign w:val="bottom"/>
            <w:hideMark/>
          </w:tcPr>
          <w:p w14:paraId="71AC79FA"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121 (2.3%)</w:t>
            </w:r>
          </w:p>
        </w:tc>
        <w:tc>
          <w:tcPr>
            <w:tcW w:w="0" w:type="auto"/>
            <w:tcBorders>
              <w:top w:val="nil"/>
              <w:left w:val="nil"/>
              <w:bottom w:val="single" w:sz="4" w:space="0" w:color="auto"/>
              <w:right w:val="nil"/>
            </w:tcBorders>
            <w:noWrap/>
            <w:vAlign w:val="bottom"/>
            <w:hideMark/>
          </w:tcPr>
          <w:p w14:paraId="00D06728"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31 (1.9%)</w:t>
            </w:r>
          </w:p>
        </w:tc>
        <w:tc>
          <w:tcPr>
            <w:tcW w:w="0" w:type="auto"/>
            <w:tcBorders>
              <w:top w:val="nil"/>
              <w:left w:val="nil"/>
              <w:bottom w:val="single" w:sz="4" w:space="0" w:color="auto"/>
              <w:right w:val="nil"/>
            </w:tcBorders>
            <w:noWrap/>
            <w:vAlign w:val="bottom"/>
            <w:hideMark/>
          </w:tcPr>
          <w:p w14:paraId="56121C42" w14:textId="77777777" w:rsidR="00DA2372" w:rsidRPr="00DA2372" w:rsidRDefault="00DA2372" w:rsidP="002E7819">
            <w:pPr>
              <w:spacing w:after="0" w:line="240" w:lineRule="auto"/>
              <w:jc w:val="right"/>
              <w:rPr>
                <w:rFonts w:ascii="Times New Roman" w:eastAsia="Times New Roman" w:hAnsi="Times New Roman" w:cs="Times New Roman"/>
                <w:kern w:val="0"/>
                <w14:ligatures w14:val="none"/>
              </w:rPr>
            </w:pPr>
            <w:r w:rsidRPr="00DA2372">
              <w:rPr>
                <w:rFonts w:ascii="Times New Roman" w:eastAsia="Times New Roman" w:hAnsi="Times New Roman" w:cs="Times New Roman"/>
                <w:kern w:val="0"/>
                <w14:ligatures w14:val="none"/>
              </w:rPr>
              <w:t>90 (2.4%)</w:t>
            </w:r>
          </w:p>
        </w:tc>
      </w:tr>
    </w:tbl>
    <w:p w14:paraId="7B538C41" w14:textId="77777777" w:rsidR="00DA2372" w:rsidRDefault="00DA2372" w:rsidP="00DA2372">
      <w:pPr>
        <w:spacing w:after="0" w:line="240" w:lineRule="auto"/>
        <w:rPr>
          <w:rFonts w:ascii="Times New Roman" w:eastAsia="Times New Roman" w:hAnsi="Times New Roman" w:cs="Times New Roman"/>
          <w:b/>
          <w:bCs/>
          <w:color w:val="000000"/>
          <w:kern w:val="0"/>
          <w14:ligatures w14:val="none"/>
        </w:rPr>
      </w:pPr>
    </w:p>
    <w:p w14:paraId="063AD272" w14:textId="77777777" w:rsidR="00A9219A" w:rsidRDefault="00A9219A" w:rsidP="00A9219A">
      <w:pPr>
        <w:spacing w:after="0" w:line="240" w:lineRule="auto"/>
        <w:rPr>
          <w:rFonts w:ascii="Times New Roman" w:eastAsia="Times New Roman" w:hAnsi="Times New Roman" w:cs="Times New Roman"/>
          <w:b/>
          <w:bCs/>
          <w:color w:val="000000"/>
          <w:kern w:val="0"/>
          <w:sz w:val="24"/>
          <w:szCs w:val="24"/>
          <w14:ligatures w14:val="none"/>
        </w:rPr>
      </w:pPr>
      <w:r w:rsidRPr="006B5882">
        <w:rPr>
          <w:rFonts w:ascii="Times New Roman" w:eastAsia="Times New Roman" w:hAnsi="Times New Roman" w:cs="Times New Roman"/>
          <w:i/>
          <w:iCs/>
          <w:color w:val="000000"/>
          <w:kern w:val="0"/>
          <w14:ligatures w14:val="none"/>
        </w:rPr>
        <w:t>Notes:</w:t>
      </w:r>
      <w:r w:rsidRPr="006B5882">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during the past year at the time of the survey and veteran</w:t>
      </w:r>
      <w:r>
        <w:rPr>
          <w:rFonts w:ascii="Times New Roman" w:eastAsia="Times New Roman" w:hAnsi="Times New Roman" w:cs="Times New Roman"/>
          <w:color w:val="000000"/>
          <w:kern w:val="0"/>
          <w14:ligatures w14:val="none"/>
        </w:rPr>
        <w:t>s</w:t>
      </w:r>
      <w:r w:rsidRPr="006B5882">
        <w:rPr>
          <w:rFonts w:ascii="Times New Roman" w:eastAsia="Times New Roman" w:hAnsi="Times New Roman" w:cs="Times New Roman"/>
          <w:color w:val="000000"/>
          <w:kern w:val="0"/>
          <w14:ligatures w14:val="none"/>
        </w:rPr>
        <w:t xml:space="preserve"> are excluded.</w:t>
      </w:r>
    </w:p>
    <w:p w14:paraId="1A802DD8" w14:textId="77777777" w:rsidR="00A9219A" w:rsidRDefault="00A9219A" w:rsidP="00567708">
      <w:pPr>
        <w:spacing w:after="0" w:line="240" w:lineRule="auto"/>
        <w:rPr>
          <w:rFonts w:ascii="Times New Roman" w:eastAsia="Times New Roman" w:hAnsi="Times New Roman" w:cs="Times New Roman"/>
          <w:b/>
          <w:bCs/>
          <w:color w:val="000000"/>
          <w:kern w:val="0"/>
          <w14:ligatures w14:val="none"/>
        </w:rPr>
      </w:pPr>
    </w:p>
    <w:p w14:paraId="2F2BE97E" w14:textId="77777777" w:rsidR="00A9219A" w:rsidRDefault="00A9219A" w:rsidP="00567708">
      <w:pPr>
        <w:spacing w:after="0" w:line="240" w:lineRule="auto"/>
        <w:rPr>
          <w:rFonts w:ascii="Times New Roman" w:eastAsia="Times New Roman" w:hAnsi="Times New Roman" w:cs="Times New Roman"/>
          <w:b/>
          <w:bCs/>
          <w:color w:val="000000"/>
          <w:kern w:val="0"/>
          <w14:ligatures w14:val="none"/>
        </w:rPr>
      </w:pPr>
    </w:p>
    <w:p w14:paraId="0128C695" w14:textId="1D7DCE7E" w:rsidR="00B8208A" w:rsidRPr="00DE4028" w:rsidRDefault="00B8208A" w:rsidP="0072585D"/>
    <w:sectPr w:rsidR="00B8208A" w:rsidRPr="00DE4028" w:rsidSect="007258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9EEE" w14:textId="77777777" w:rsidR="00833601" w:rsidRDefault="00833601" w:rsidP="00162647">
      <w:pPr>
        <w:spacing w:after="0" w:line="240" w:lineRule="auto"/>
      </w:pPr>
      <w:r>
        <w:separator/>
      </w:r>
    </w:p>
  </w:endnote>
  <w:endnote w:type="continuationSeparator" w:id="0">
    <w:p w14:paraId="33E1738B" w14:textId="77777777" w:rsidR="00833601" w:rsidRDefault="00833601" w:rsidP="00162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440623"/>
      <w:docPartObj>
        <w:docPartGallery w:val="Page Numbers (Bottom of Page)"/>
        <w:docPartUnique/>
      </w:docPartObj>
    </w:sdtPr>
    <w:sdtEndPr>
      <w:rPr>
        <w:noProof/>
      </w:rPr>
    </w:sdtEndPr>
    <w:sdtContent>
      <w:p w14:paraId="06BE0943" w14:textId="659358F1" w:rsidR="00162647" w:rsidRDefault="0016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8D8E16" w14:textId="77777777" w:rsidR="00162647" w:rsidRDefault="0016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CE9D" w14:textId="77777777" w:rsidR="00833601" w:rsidRDefault="00833601" w:rsidP="00162647">
      <w:pPr>
        <w:spacing w:after="0" w:line="240" w:lineRule="auto"/>
      </w:pPr>
      <w:r>
        <w:separator/>
      </w:r>
    </w:p>
  </w:footnote>
  <w:footnote w:type="continuationSeparator" w:id="0">
    <w:p w14:paraId="75D5C7EA" w14:textId="77777777" w:rsidR="00833601" w:rsidRDefault="00833601" w:rsidP="00162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4C0E"/>
    <w:multiLevelType w:val="hybridMultilevel"/>
    <w:tmpl w:val="FE1ABA82"/>
    <w:lvl w:ilvl="0" w:tplc="CA5EECDA">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E1E0C"/>
    <w:multiLevelType w:val="hybridMultilevel"/>
    <w:tmpl w:val="9154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73D98"/>
    <w:multiLevelType w:val="hybridMultilevel"/>
    <w:tmpl w:val="38F212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3A3765"/>
    <w:multiLevelType w:val="hybridMultilevel"/>
    <w:tmpl w:val="ED2676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465344"/>
    <w:multiLevelType w:val="hybridMultilevel"/>
    <w:tmpl w:val="FBFA67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447029"/>
    <w:multiLevelType w:val="hybridMultilevel"/>
    <w:tmpl w:val="959E4814"/>
    <w:lvl w:ilvl="0" w:tplc="991087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4983417"/>
    <w:multiLevelType w:val="hybridMultilevel"/>
    <w:tmpl w:val="51F2194E"/>
    <w:lvl w:ilvl="0" w:tplc="31B08268">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C05760"/>
    <w:multiLevelType w:val="hybridMultilevel"/>
    <w:tmpl w:val="DB3C2D6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9735A0"/>
    <w:multiLevelType w:val="hybridMultilevel"/>
    <w:tmpl w:val="B336B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849693">
    <w:abstractNumId w:val="8"/>
  </w:num>
  <w:num w:numId="2" w16cid:durableId="1394935691">
    <w:abstractNumId w:val="1"/>
  </w:num>
  <w:num w:numId="3" w16cid:durableId="1981303025">
    <w:abstractNumId w:val="2"/>
  </w:num>
  <w:num w:numId="4" w16cid:durableId="799297552">
    <w:abstractNumId w:val="5"/>
  </w:num>
  <w:num w:numId="5" w16cid:durableId="502596406">
    <w:abstractNumId w:val="4"/>
  </w:num>
  <w:num w:numId="6" w16cid:durableId="1420642476">
    <w:abstractNumId w:val="7"/>
  </w:num>
  <w:num w:numId="7" w16cid:durableId="1983919878">
    <w:abstractNumId w:val="6"/>
  </w:num>
  <w:num w:numId="8" w16cid:durableId="1584338754">
    <w:abstractNumId w:val="0"/>
  </w:num>
  <w:num w:numId="9" w16cid:durableId="29644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21"/>
    <w:rsid w:val="0000049B"/>
    <w:rsid w:val="00000FEB"/>
    <w:rsid w:val="00001B27"/>
    <w:rsid w:val="00001D0C"/>
    <w:rsid w:val="00002395"/>
    <w:rsid w:val="00004277"/>
    <w:rsid w:val="00005536"/>
    <w:rsid w:val="0000600C"/>
    <w:rsid w:val="0000708B"/>
    <w:rsid w:val="00007B21"/>
    <w:rsid w:val="000116F1"/>
    <w:rsid w:val="00011BF0"/>
    <w:rsid w:val="00011D37"/>
    <w:rsid w:val="00013E63"/>
    <w:rsid w:val="00015F66"/>
    <w:rsid w:val="0002114E"/>
    <w:rsid w:val="000212EC"/>
    <w:rsid w:val="00021E64"/>
    <w:rsid w:val="000222DD"/>
    <w:rsid w:val="000230FF"/>
    <w:rsid w:val="00025E15"/>
    <w:rsid w:val="000260EE"/>
    <w:rsid w:val="0002636D"/>
    <w:rsid w:val="00026859"/>
    <w:rsid w:val="00027A84"/>
    <w:rsid w:val="00027E36"/>
    <w:rsid w:val="0003060C"/>
    <w:rsid w:val="00031742"/>
    <w:rsid w:val="000326C0"/>
    <w:rsid w:val="000327B9"/>
    <w:rsid w:val="00032859"/>
    <w:rsid w:val="00033809"/>
    <w:rsid w:val="00033BBC"/>
    <w:rsid w:val="00035633"/>
    <w:rsid w:val="00035A09"/>
    <w:rsid w:val="0003652D"/>
    <w:rsid w:val="0003686F"/>
    <w:rsid w:val="00036F0D"/>
    <w:rsid w:val="00036FE1"/>
    <w:rsid w:val="000374E4"/>
    <w:rsid w:val="00037567"/>
    <w:rsid w:val="00037DC5"/>
    <w:rsid w:val="00040275"/>
    <w:rsid w:val="00041A39"/>
    <w:rsid w:val="0004315F"/>
    <w:rsid w:val="00045C9B"/>
    <w:rsid w:val="00050828"/>
    <w:rsid w:val="00050959"/>
    <w:rsid w:val="00050EA8"/>
    <w:rsid w:val="000527FF"/>
    <w:rsid w:val="00053220"/>
    <w:rsid w:val="00054018"/>
    <w:rsid w:val="00054E33"/>
    <w:rsid w:val="00055EA0"/>
    <w:rsid w:val="000566A4"/>
    <w:rsid w:val="0006075D"/>
    <w:rsid w:val="0006152A"/>
    <w:rsid w:val="00061B52"/>
    <w:rsid w:val="000621EE"/>
    <w:rsid w:val="00062FCA"/>
    <w:rsid w:val="0006327E"/>
    <w:rsid w:val="00063405"/>
    <w:rsid w:val="000644ED"/>
    <w:rsid w:val="0006504D"/>
    <w:rsid w:val="00066063"/>
    <w:rsid w:val="00066504"/>
    <w:rsid w:val="00066917"/>
    <w:rsid w:val="00067929"/>
    <w:rsid w:val="00067D75"/>
    <w:rsid w:val="00070A8D"/>
    <w:rsid w:val="00070FC3"/>
    <w:rsid w:val="000712F7"/>
    <w:rsid w:val="00072D18"/>
    <w:rsid w:val="00074A32"/>
    <w:rsid w:val="00074C72"/>
    <w:rsid w:val="000753F8"/>
    <w:rsid w:val="00075510"/>
    <w:rsid w:val="00075AA9"/>
    <w:rsid w:val="000765D1"/>
    <w:rsid w:val="00077983"/>
    <w:rsid w:val="0008005C"/>
    <w:rsid w:val="000817F3"/>
    <w:rsid w:val="00083627"/>
    <w:rsid w:val="000856BA"/>
    <w:rsid w:val="00085C2F"/>
    <w:rsid w:val="00087672"/>
    <w:rsid w:val="00087B0D"/>
    <w:rsid w:val="00087D7E"/>
    <w:rsid w:val="00091290"/>
    <w:rsid w:val="00092511"/>
    <w:rsid w:val="00093E30"/>
    <w:rsid w:val="00093E55"/>
    <w:rsid w:val="00094125"/>
    <w:rsid w:val="00094F4D"/>
    <w:rsid w:val="0009731C"/>
    <w:rsid w:val="000A0052"/>
    <w:rsid w:val="000A01A3"/>
    <w:rsid w:val="000A146B"/>
    <w:rsid w:val="000A15B4"/>
    <w:rsid w:val="000A4023"/>
    <w:rsid w:val="000A4F10"/>
    <w:rsid w:val="000A5233"/>
    <w:rsid w:val="000A65B0"/>
    <w:rsid w:val="000A6851"/>
    <w:rsid w:val="000A733F"/>
    <w:rsid w:val="000B295A"/>
    <w:rsid w:val="000B2960"/>
    <w:rsid w:val="000B2B9D"/>
    <w:rsid w:val="000B31E3"/>
    <w:rsid w:val="000B467B"/>
    <w:rsid w:val="000B5530"/>
    <w:rsid w:val="000B796B"/>
    <w:rsid w:val="000B7B3A"/>
    <w:rsid w:val="000C1B0D"/>
    <w:rsid w:val="000C391A"/>
    <w:rsid w:val="000C3D1E"/>
    <w:rsid w:val="000C4C14"/>
    <w:rsid w:val="000C5E9E"/>
    <w:rsid w:val="000C6303"/>
    <w:rsid w:val="000C6F6F"/>
    <w:rsid w:val="000C7F5E"/>
    <w:rsid w:val="000D0873"/>
    <w:rsid w:val="000D1A1E"/>
    <w:rsid w:val="000D507B"/>
    <w:rsid w:val="000E1447"/>
    <w:rsid w:val="000E2670"/>
    <w:rsid w:val="000E2CE2"/>
    <w:rsid w:val="000E3208"/>
    <w:rsid w:val="000E400D"/>
    <w:rsid w:val="000E5033"/>
    <w:rsid w:val="000E751D"/>
    <w:rsid w:val="000F0801"/>
    <w:rsid w:val="000F0CAF"/>
    <w:rsid w:val="000F138D"/>
    <w:rsid w:val="000F1472"/>
    <w:rsid w:val="000F2E2C"/>
    <w:rsid w:val="000F562C"/>
    <w:rsid w:val="000F5964"/>
    <w:rsid w:val="000F6609"/>
    <w:rsid w:val="000F6F5A"/>
    <w:rsid w:val="000F7192"/>
    <w:rsid w:val="000F7C32"/>
    <w:rsid w:val="0010093E"/>
    <w:rsid w:val="00100964"/>
    <w:rsid w:val="00100F7C"/>
    <w:rsid w:val="001014E3"/>
    <w:rsid w:val="00101AD0"/>
    <w:rsid w:val="00102D82"/>
    <w:rsid w:val="00103C91"/>
    <w:rsid w:val="00104FD5"/>
    <w:rsid w:val="0010618B"/>
    <w:rsid w:val="00106C0A"/>
    <w:rsid w:val="001073CF"/>
    <w:rsid w:val="00107EBF"/>
    <w:rsid w:val="001100E3"/>
    <w:rsid w:val="00110CC4"/>
    <w:rsid w:val="00111517"/>
    <w:rsid w:val="0011156E"/>
    <w:rsid w:val="00111AA4"/>
    <w:rsid w:val="00111F16"/>
    <w:rsid w:val="00112629"/>
    <w:rsid w:val="0011280D"/>
    <w:rsid w:val="00112CF6"/>
    <w:rsid w:val="00113DDF"/>
    <w:rsid w:val="001149CC"/>
    <w:rsid w:val="00115C12"/>
    <w:rsid w:val="00115E3B"/>
    <w:rsid w:val="00115FBF"/>
    <w:rsid w:val="001164C6"/>
    <w:rsid w:val="00117B27"/>
    <w:rsid w:val="00117D28"/>
    <w:rsid w:val="00120108"/>
    <w:rsid w:val="001202E2"/>
    <w:rsid w:val="00121042"/>
    <w:rsid w:val="001217E5"/>
    <w:rsid w:val="00123FE7"/>
    <w:rsid w:val="001240BB"/>
    <w:rsid w:val="00124C55"/>
    <w:rsid w:val="00125826"/>
    <w:rsid w:val="00125EDA"/>
    <w:rsid w:val="00130117"/>
    <w:rsid w:val="001305A5"/>
    <w:rsid w:val="00130ADD"/>
    <w:rsid w:val="00131439"/>
    <w:rsid w:val="00131BF7"/>
    <w:rsid w:val="00132352"/>
    <w:rsid w:val="001334A5"/>
    <w:rsid w:val="001339C8"/>
    <w:rsid w:val="001346B9"/>
    <w:rsid w:val="00135025"/>
    <w:rsid w:val="0013661C"/>
    <w:rsid w:val="00136B4E"/>
    <w:rsid w:val="00141ADF"/>
    <w:rsid w:val="00141DDB"/>
    <w:rsid w:val="001430FE"/>
    <w:rsid w:val="00143669"/>
    <w:rsid w:val="00143706"/>
    <w:rsid w:val="00144F02"/>
    <w:rsid w:val="0014575D"/>
    <w:rsid w:val="00145B02"/>
    <w:rsid w:val="00145B14"/>
    <w:rsid w:val="001465AA"/>
    <w:rsid w:val="00151904"/>
    <w:rsid w:val="00151C65"/>
    <w:rsid w:val="0015259C"/>
    <w:rsid w:val="00153244"/>
    <w:rsid w:val="00153810"/>
    <w:rsid w:val="0015443D"/>
    <w:rsid w:val="00155125"/>
    <w:rsid w:val="00156F28"/>
    <w:rsid w:val="001573A4"/>
    <w:rsid w:val="0016198E"/>
    <w:rsid w:val="00162647"/>
    <w:rsid w:val="001633D7"/>
    <w:rsid w:val="00164338"/>
    <w:rsid w:val="0016491A"/>
    <w:rsid w:val="00164B49"/>
    <w:rsid w:val="00165781"/>
    <w:rsid w:val="001662B9"/>
    <w:rsid w:val="0016675A"/>
    <w:rsid w:val="00166876"/>
    <w:rsid w:val="001671C0"/>
    <w:rsid w:val="0016792D"/>
    <w:rsid w:val="00167E6E"/>
    <w:rsid w:val="00170864"/>
    <w:rsid w:val="00171D21"/>
    <w:rsid w:val="0017566D"/>
    <w:rsid w:val="00175860"/>
    <w:rsid w:val="00175E4D"/>
    <w:rsid w:val="0017609F"/>
    <w:rsid w:val="0018145C"/>
    <w:rsid w:val="001814E4"/>
    <w:rsid w:val="001815BE"/>
    <w:rsid w:val="00181F81"/>
    <w:rsid w:val="0018340C"/>
    <w:rsid w:val="00183DFC"/>
    <w:rsid w:val="001848CE"/>
    <w:rsid w:val="00184982"/>
    <w:rsid w:val="00184D9E"/>
    <w:rsid w:val="00186B68"/>
    <w:rsid w:val="00190498"/>
    <w:rsid w:val="00190B35"/>
    <w:rsid w:val="00190B77"/>
    <w:rsid w:val="00191B36"/>
    <w:rsid w:val="00193466"/>
    <w:rsid w:val="0019369F"/>
    <w:rsid w:val="00194126"/>
    <w:rsid w:val="00196E8B"/>
    <w:rsid w:val="001A3E9D"/>
    <w:rsid w:val="001A41EF"/>
    <w:rsid w:val="001A5972"/>
    <w:rsid w:val="001A6118"/>
    <w:rsid w:val="001B08AE"/>
    <w:rsid w:val="001B106C"/>
    <w:rsid w:val="001B119C"/>
    <w:rsid w:val="001B2F35"/>
    <w:rsid w:val="001B4E1C"/>
    <w:rsid w:val="001B597C"/>
    <w:rsid w:val="001B64FA"/>
    <w:rsid w:val="001B679F"/>
    <w:rsid w:val="001B68B9"/>
    <w:rsid w:val="001B6DF0"/>
    <w:rsid w:val="001B7337"/>
    <w:rsid w:val="001B7793"/>
    <w:rsid w:val="001C3C65"/>
    <w:rsid w:val="001C423C"/>
    <w:rsid w:val="001C4CAC"/>
    <w:rsid w:val="001C4D38"/>
    <w:rsid w:val="001C4F50"/>
    <w:rsid w:val="001C621F"/>
    <w:rsid w:val="001C7C3C"/>
    <w:rsid w:val="001D0E6B"/>
    <w:rsid w:val="001D1D97"/>
    <w:rsid w:val="001D2007"/>
    <w:rsid w:val="001D24F7"/>
    <w:rsid w:val="001D342B"/>
    <w:rsid w:val="001D535B"/>
    <w:rsid w:val="001D613F"/>
    <w:rsid w:val="001D6565"/>
    <w:rsid w:val="001D6F6E"/>
    <w:rsid w:val="001E2E22"/>
    <w:rsid w:val="001E399A"/>
    <w:rsid w:val="001E49BB"/>
    <w:rsid w:val="001E5D8C"/>
    <w:rsid w:val="001F22D5"/>
    <w:rsid w:val="001F2548"/>
    <w:rsid w:val="001F2DE1"/>
    <w:rsid w:val="001F2EFB"/>
    <w:rsid w:val="001F5434"/>
    <w:rsid w:val="001F5C4A"/>
    <w:rsid w:val="001F6F86"/>
    <w:rsid w:val="002001C7"/>
    <w:rsid w:val="002023BC"/>
    <w:rsid w:val="002030B2"/>
    <w:rsid w:val="00204B8D"/>
    <w:rsid w:val="0020742E"/>
    <w:rsid w:val="00210005"/>
    <w:rsid w:val="00210F0D"/>
    <w:rsid w:val="0021257E"/>
    <w:rsid w:val="00213D2F"/>
    <w:rsid w:val="0021661C"/>
    <w:rsid w:val="00216FB0"/>
    <w:rsid w:val="002175C1"/>
    <w:rsid w:val="002212FF"/>
    <w:rsid w:val="00221E59"/>
    <w:rsid w:val="00223F5C"/>
    <w:rsid w:val="00224BB5"/>
    <w:rsid w:val="00225548"/>
    <w:rsid w:val="00226C2A"/>
    <w:rsid w:val="00226FCA"/>
    <w:rsid w:val="002304A8"/>
    <w:rsid w:val="0023143C"/>
    <w:rsid w:val="00232DD1"/>
    <w:rsid w:val="002335F6"/>
    <w:rsid w:val="00234084"/>
    <w:rsid w:val="00234A5F"/>
    <w:rsid w:val="00234B11"/>
    <w:rsid w:val="00234EBE"/>
    <w:rsid w:val="00236E2A"/>
    <w:rsid w:val="002373AB"/>
    <w:rsid w:val="002373FB"/>
    <w:rsid w:val="00240966"/>
    <w:rsid w:val="00240FDD"/>
    <w:rsid w:val="00241814"/>
    <w:rsid w:val="002426D8"/>
    <w:rsid w:val="00243CCE"/>
    <w:rsid w:val="002454B4"/>
    <w:rsid w:val="00245A34"/>
    <w:rsid w:val="00246017"/>
    <w:rsid w:val="00246411"/>
    <w:rsid w:val="00246FF5"/>
    <w:rsid w:val="00247E4C"/>
    <w:rsid w:val="00247F9C"/>
    <w:rsid w:val="0025091F"/>
    <w:rsid w:val="00250A7D"/>
    <w:rsid w:val="00251026"/>
    <w:rsid w:val="002511D5"/>
    <w:rsid w:val="002521C9"/>
    <w:rsid w:val="0025365F"/>
    <w:rsid w:val="0025442A"/>
    <w:rsid w:val="002548DB"/>
    <w:rsid w:val="00256EA0"/>
    <w:rsid w:val="00257253"/>
    <w:rsid w:val="00261E3C"/>
    <w:rsid w:val="002621B8"/>
    <w:rsid w:val="0026338B"/>
    <w:rsid w:val="002633C3"/>
    <w:rsid w:val="00263D57"/>
    <w:rsid w:val="002654B7"/>
    <w:rsid w:val="00265F6A"/>
    <w:rsid w:val="002664B7"/>
    <w:rsid w:val="00267082"/>
    <w:rsid w:val="00272F49"/>
    <w:rsid w:val="0027318D"/>
    <w:rsid w:val="002732F3"/>
    <w:rsid w:val="00273B69"/>
    <w:rsid w:val="00273F35"/>
    <w:rsid w:val="002741BD"/>
    <w:rsid w:val="00275199"/>
    <w:rsid w:val="00280FAC"/>
    <w:rsid w:val="00281343"/>
    <w:rsid w:val="00283705"/>
    <w:rsid w:val="00283E6E"/>
    <w:rsid w:val="00284C16"/>
    <w:rsid w:val="00284E0E"/>
    <w:rsid w:val="00285DD8"/>
    <w:rsid w:val="0028765D"/>
    <w:rsid w:val="002914FF"/>
    <w:rsid w:val="00292DAD"/>
    <w:rsid w:val="00292DEA"/>
    <w:rsid w:val="00294CBC"/>
    <w:rsid w:val="002950A0"/>
    <w:rsid w:val="002963A3"/>
    <w:rsid w:val="00296CB2"/>
    <w:rsid w:val="002A0159"/>
    <w:rsid w:val="002A0A7D"/>
    <w:rsid w:val="002A1AA9"/>
    <w:rsid w:val="002A26F8"/>
    <w:rsid w:val="002A3EEB"/>
    <w:rsid w:val="002A4F12"/>
    <w:rsid w:val="002A56D8"/>
    <w:rsid w:val="002A7173"/>
    <w:rsid w:val="002A7B3B"/>
    <w:rsid w:val="002B189A"/>
    <w:rsid w:val="002B1CD6"/>
    <w:rsid w:val="002B1D62"/>
    <w:rsid w:val="002B1DC5"/>
    <w:rsid w:val="002B20C0"/>
    <w:rsid w:val="002B2839"/>
    <w:rsid w:val="002B300A"/>
    <w:rsid w:val="002B3017"/>
    <w:rsid w:val="002B3400"/>
    <w:rsid w:val="002B377B"/>
    <w:rsid w:val="002B4090"/>
    <w:rsid w:val="002B4FCD"/>
    <w:rsid w:val="002B562C"/>
    <w:rsid w:val="002B6057"/>
    <w:rsid w:val="002C02F2"/>
    <w:rsid w:val="002C0B28"/>
    <w:rsid w:val="002C2079"/>
    <w:rsid w:val="002C35AD"/>
    <w:rsid w:val="002C3960"/>
    <w:rsid w:val="002C3F5B"/>
    <w:rsid w:val="002C4598"/>
    <w:rsid w:val="002C5078"/>
    <w:rsid w:val="002C5862"/>
    <w:rsid w:val="002D163F"/>
    <w:rsid w:val="002D1828"/>
    <w:rsid w:val="002D1E75"/>
    <w:rsid w:val="002D2687"/>
    <w:rsid w:val="002D31FB"/>
    <w:rsid w:val="002D4AD7"/>
    <w:rsid w:val="002D5250"/>
    <w:rsid w:val="002D5B72"/>
    <w:rsid w:val="002D5E10"/>
    <w:rsid w:val="002D63EE"/>
    <w:rsid w:val="002D71B2"/>
    <w:rsid w:val="002D72FE"/>
    <w:rsid w:val="002D76BF"/>
    <w:rsid w:val="002E1AFD"/>
    <w:rsid w:val="002E2BE1"/>
    <w:rsid w:val="002E477F"/>
    <w:rsid w:val="002E7A4E"/>
    <w:rsid w:val="002E7F7A"/>
    <w:rsid w:val="002F0409"/>
    <w:rsid w:val="002F1715"/>
    <w:rsid w:val="002F2C02"/>
    <w:rsid w:val="002F3159"/>
    <w:rsid w:val="002F36B5"/>
    <w:rsid w:val="002F3F8D"/>
    <w:rsid w:val="002F3FF7"/>
    <w:rsid w:val="002F6648"/>
    <w:rsid w:val="0030096D"/>
    <w:rsid w:val="00301149"/>
    <w:rsid w:val="0030163E"/>
    <w:rsid w:val="003019D1"/>
    <w:rsid w:val="00302441"/>
    <w:rsid w:val="00302A78"/>
    <w:rsid w:val="00303E97"/>
    <w:rsid w:val="00305085"/>
    <w:rsid w:val="00305F12"/>
    <w:rsid w:val="00306531"/>
    <w:rsid w:val="00307533"/>
    <w:rsid w:val="00310081"/>
    <w:rsid w:val="00310D08"/>
    <w:rsid w:val="0031185C"/>
    <w:rsid w:val="00312289"/>
    <w:rsid w:val="00313630"/>
    <w:rsid w:val="00313DBA"/>
    <w:rsid w:val="00314765"/>
    <w:rsid w:val="00314BFB"/>
    <w:rsid w:val="00316F60"/>
    <w:rsid w:val="00317EA7"/>
    <w:rsid w:val="003217B6"/>
    <w:rsid w:val="0032313F"/>
    <w:rsid w:val="003248C2"/>
    <w:rsid w:val="00325D5A"/>
    <w:rsid w:val="00325E5F"/>
    <w:rsid w:val="00327872"/>
    <w:rsid w:val="00327B6B"/>
    <w:rsid w:val="00330D2E"/>
    <w:rsid w:val="0033161F"/>
    <w:rsid w:val="0033171F"/>
    <w:rsid w:val="00331F7D"/>
    <w:rsid w:val="003322DA"/>
    <w:rsid w:val="0033393D"/>
    <w:rsid w:val="0033405E"/>
    <w:rsid w:val="003341AA"/>
    <w:rsid w:val="00334BFF"/>
    <w:rsid w:val="00334F85"/>
    <w:rsid w:val="00335380"/>
    <w:rsid w:val="00335D47"/>
    <w:rsid w:val="00335DB8"/>
    <w:rsid w:val="003360F0"/>
    <w:rsid w:val="0033796F"/>
    <w:rsid w:val="00337FAE"/>
    <w:rsid w:val="00340F73"/>
    <w:rsid w:val="00340FB2"/>
    <w:rsid w:val="00341BC1"/>
    <w:rsid w:val="00341C95"/>
    <w:rsid w:val="0034247A"/>
    <w:rsid w:val="00342DBA"/>
    <w:rsid w:val="00342E3A"/>
    <w:rsid w:val="003433B3"/>
    <w:rsid w:val="00343D45"/>
    <w:rsid w:val="00344E7D"/>
    <w:rsid w:val="003457EC"/>
    <w:rsid w:val="0034662B"/>
    <w:rsid w:val="00346720"/>
    <w:rsid w:val="00346B14"/>
    <w:rsid w:val="003472AC"/>
    <w:rsid w:val="00351928"/>
    <w:rsid w:val="00352AEB"/>
    <w:rsid w:val="0035383D"/>
    <w:rsid w:val="00353854"/>
    <w:rsid w:val="00356B06"/>
    <w:rsid w:val="0036037D"/>
    <w:rsid w:val="0036087C"/>
    <w:rsid w:val="00360A52"/>
    <w:rsid w:val="00361E89"/>
    <w:rsid w:val="0036335C"/>
    <w:rsid w:val="00363F55"/>
    <w:rsid w:val="00365C1E"/>
    <w:rsid w:val="00365F8E"/>
    <w:rsid w:val="00365FE6"/>
    <w:rsid w:val="00366132"/>
    <w:rsid w:val="003667E3"/>
    <w:rsid w:val="00367BE7"/>
    <w:rsid w:val="00370C99"/>
    <w:rsid w:val="00371247"/>
    <w:rsid w:val="003713A5"/>
    <w:rsid w:val="0037144E"/>
    <w:rsid w:val="00371CAF"/>
    <w:rsid w:val="00374456"/>
    <w:rsid w:val="00375975"/>
    <w:rsid w:val="00376D92"/>
    <w:rsid w:val="00376E96"/>
    <w:rsid w:val="00377A60"/>
    <w:rsid w:val="00380776"/>
    <w:rsid w:val="00380800"/>
    <w:rsid w:val="00381C34"/>
    <w:rsid w:val="0038202B"/>
    <w:rsid w:val="00382E37"/>
    <w:rsid w:val="0038370A"/>
    <w:rsid w:val="003841EF"/>
    <w:rsid w:val="00386A0E"/>
    <w:rsid w:val="00387E3B"/>
    <w:rsid w:val="00387EC1"/>
    <w:rsid w:val="00391C75"/>
    <w:rsid w:val="003936D7"/>
    <w:rsid w:val="0039469E"/>
    <w:rsid w:val="00397599"/>
    <w:rsid w:val="003A2042"/>
    <w:rsid w:val="003A2137"/>
    <w:rsid w:val="003A2969"/>
    <w:rsid w:val="003A34C6"/>
    <w:rsid w:val="003A7245"/>
    <w:rsid w:val="003B008F"/>
    <w:rsid w:val="003B06D0"/>
    <w:rsid w:val="003B0E24"/>
    <w:rsid w:val="003B16B8"/>
    <w:rsid w:val="003B3B60"/>
    <w:rsid w:val="003B4758"/>
    <w:rsid w:val="003B4AE7"/>
    <w:rsid w:val="003B5593"/>
    <w:rsid w:val="003B7BEA"/>
    <w:rsid w:val="003C0094"/>
    <w:rsid w:val="003C0CE6"/>
    <w:rsid w:val="003C0F43"/>
    <w:rsid w:val="003C1C87"/>
    <w:rsid w:val="003C2836"/>
    <w:rsid w:val="003D196D"/>
    <w:rsid w:val="003D20F2"/>
    <w:rsid w:val="003D2E48"/>
    <w:rsid w:val="003D38C8"/>
    <w:rsid w:val="003D401C"/>
    <w:rsid w:val="003D4D0A"/>
    <w:rsid w:val="003D5342"/>
    <w:rsid w:val="003D7327"/>
    <w:rsid w:val="003E0141"/>
    <w:rsid w:val="003E0CCB"/>
    <w:rsid w:val="003E191C"/>
    <w:rsid w:val="003E1C4C"/>
    <w:rsid w:val="003E1DE6"/>
    <w:rsid w:val="003E24D2"/>
    <w:rsid w:val="003E2D9C"/>
    <w:rsid w:val="003E37BC"/>
    <w:rsid w:val="003E3EE6"/>
    <w:rsid w:val="003E5F95"/>
    <w:rsid w:val="003E5FE5"/>
    <w:rsid w:val="003E722B"/>
    <w:rsid w:val="003F085B"/>
    <w:rsid w:val="003F119B"/>
    <w:rsid w:val="003F1F8C"/>
    <w:rsid w:val="003F36DE"/>
    <w:rsid w:val="003F379F"/>
    <w:rsid w:val="003F6AEF"/>
    <w:rsid w:val="003F76D0"/>
    <w:rsid w:val="003F7746"/>
    <w:rsid w:val="003F7A3E"/>
    <w:rsid w:val="0040176A"/>
    <w:rsid w:val="004020AB"/>
    <w:rsid w:val="00402A32"/>
    <w:rsid w:val="004036AD"/>
    <w:rsid w:val="00404121"/>
    <w:rsid w:val="004043A7"/>
    <w:rsid w:val="00404988"/>
    <w:rsid w:val="00404FE6"/>
    <w:rsid w:val="00405C65"/>
    <w:rsid w:val="004139C7"/>
    <w:rsid w:val="00414A71"/>
    <w:rsid w:val="004163B4"/>
    <w:rsid w:val="00416BF5"/>
    <w:rsid w:val="00417888"/>
    <w:rsid w:val="004222BD"/>
    <w:rsid w:val="00422A64"/>
    <w:rsid w:val="0042345F"/>
    <w:rsid w:val="004263BB"/>
    <w:rsid w:val="00427402"/>
    <w:rsid w:val="00427805"/>
    <w:rsid w:val="00427A7E"/>
    <w:rsid w:val="00430A01"/>
    <w:rsid w:val="0043137E"/>
    <w:rsid w:val="00432DDE"/>
    <w:rsid w:val="004353A6"/>
    <w:rsid w:val="004369D9"/>
    <w:rsid w:val="00436BEE"/>
    <w:rsid w:val="004371F3"/>
    <w:rsid w:val="00440DFB"/>
    <w:rsid w:val="00441E80"/>
    <w:rsid w:val="0044235B"/>
    <w:rsid w:val="00443C6D"/>
    <w:rsid w:val="00446AB8"/>
    <w:rsid w:val="00447E38"/>
    <w:rsid w:val="00450579"/>
    <w:rsid w:val="004511F9"/>
    <w:rsid w:val="00453473"/>
    <w:rsid w:val="00454259"/>
    <w:rsid w:val="00455291"/>
    <w:rsid w:val="0045537E"/>
    <w:rsid w:val="0045651F"/>
    <w:rsid w:val="0046031A"/>
    <w:rsid w:val="00460890"/>
    <w:rsid w:val="00461442"/>
    <w:rsid w:val="004632DD"/>
    <w:rsid w:val="00464252"/>
    <w:rsid w:val="0046579E"/>
    <w:rsid w:val="00466573"/>
    <w:rsid w:val="00466E75"/>
    <w:rsid w:val="00467173"/>
    <w:rsid w:val="00467961"/>
    <w:rsid w:val="00470B7D"/>
    <w:rsid w:val="0047133F"/>
    <w:rsid w:val="00471B37"/>
    <w:rsid w:val="004736AA"/>
    <w:rsid w:val="00473E2A"/>
    <w:rsid w:val="00474206"/>
    <w:rsid w:val="00474ACC"/>
    <w:rsid w:val="00474E5F"/>
    <w:rsid w:val="004750A0"/>
    <w:rsid w:val="00477133"/>
    <w:rsid w:val="004809D7"/>
    <w:rsid w:val="00480BE9"/>
    <w:rsid w:val="00483941"/>
    <w:rsid w:val="00484351"/>
    <w:rsid w:val="0048605F"/>
    <w:rsid w:val="00487713"/>
    <w:rsid w:val="004901F3"/>
    <w:rsid w:val="00490B81"/>
    <w:rsid w:val="00491655"/>
    <w:rsid w:val="004935DC"/>
    <w:rsid w:val="004942D5"/>
    <w:rsid w:val="00494807"/>
    <w:rsid w:val="004A06B1"/>
    <w:rsid w:val="004A0715"/>
    <w:rsid w:val="004A2631"/>
    <w:rsid w:val="004A2741"/>
    <w:rsid w:val="004A2915"/>
    <w:rsid w:val="004A34A1"/>
    <w:rsid w:val="004A416B"/>
    <w:rsid w:val="004A50F5"/>
    <w:rsid w:val="004A5441"/>
    <w:rsid w:val="004A545B"/>
    <w:rsid w:val="004B0C5E"/>
    <w:rsid w:val="004B3B0B"/>
    <w:rsid w:val="004B4DF2"/>
    <w:rsid w:val="004B4F7D"/>
    <w:rsid w:val="004B5219"/>
    <w:rsid w:val="004B6D67"/>
    <w:rsid w:val="004C0602"/>
    <w:rsid w:val="004C0CDB"/>
    <w:rsid w:val="004C38B2"/>
    <w:rsid w:val="004C43E9"/>
    <w:rsid w:val="004C4E66"/>
    <w:rsid w:val="004C5175"/>
    <w:rsid w:val="004C7E61"/>
    <w:rsid w:val="004D05B3"/>
    <w:rsid w:val="004D30EF"/>
    <w:rsid w:val="004D3680"/>
    <w:rsid w:val="004D4934"/>
    <w:rsid w:val="004D503B"/>
    <w:rsid w:val="004D59B9"/>
    <w:rsid w:val="004D7776"/>
    <w:rsid w:val="004E0643"/>
    <w:rsid w:val="004E077C"/>
    <w:rsid w:val="004E243E"/>
    <w:rsid w:val="004E4CC3"/>
    <w:rsid w:val="004E6C19"/>
    <w:rsid w:val="004E6CAA"/>
    <w:rsid w:val="004E6D8F"/>
    <w:rsid w:val="004E7F66"/>
    <w:rsid w:val="004F0C7D"/>
    <w:rsid w:val="004F12F8"/>
    <w:rsid w:val="004F4BA8"/>
    <w:rsid w:val="004F6E83"/>
    <w:rsid w:val="004F7337"/>
    <w:rsid w:val="004F776C"/>
    <w:rsid w:val="00500227"/>
    <w:rsid w:val="005021D2"/>
    <w:rsid w:val="00502E1A"/>
    <w:rsid w:val="00502FFF"/>
    <w:rsid w:val="00504B9C"/>
    <w:rsid w:val="00506E4E"/>
    <w:rsid w:val="00507D8D"/>
    <w:rsid w:val="00510087"/>
    <w:rsid w:val="00510382"/>
    <w:rsid w:val="00511932"/>
    <w:rsid w:val="00512C2E"/>
    <w:rsid w:val="005166C5"/>
    <w:rsid w:val="00517643"/>
    <w:rsid w:val="00517DA8"/>
    <w:rsid w:val="00520F5E"/>
    <w:rsid w:val="00522366"/>
    <w:rsid w:val="00523CDC"/>
    <w:rsid w:val="00527692"/>
    <w:rsid w:val="00531A51"/>
    <w:rsid w:val="00531BAF"/>
    <w:rsid w:val="005325CD"/>
    <w:rsid w:val="005339A3"/>
    <w:rsid w:val="00533B4F"/>
    <w:rsid w:val="005357E6"/>
    <w:rsid w:val="00535E4E"/>
    <w:rsid w:val="00536A68"/>
    <w:rsid w:val="00537CF7"/>
    <w:rsid w:val="00540597"/>
    <w:rsid w:val="0054213B"/>
    <w:rsid w:val="0054214D"/>
    <w:rsid w:val="00542613"/>
    <w:rsid w:val="00543115"/>
    <w:rsid w:val="00543ACF"/>
    <w:rsid w:val="00544B40"/>
    <w:rsid w:val="005456BB"/>
    <w:rsid w:val="00546BDB"/>
    <w:rsid w:val="00546C0F"/>
    <w:rsid w:val="00547266"/>
    <w:rsid w:val="00547B74"/>
    <w:rsid w:val="00547CD5"/>
    <w:rsid w:val="00551C15"/>
    <w:rsid w:val="00552145"/>
    <w:rsid w:val="00552ECB"/>
    <w:rsid w:val="00552FB0"/>
    <w:rsid w:val="00553A4C"/>
    <w:rsid w:val="00553A93"/>
    <w:rsid w:val="00554CEF"/>
    <w:rsid w:val="00554E38"/>
    <w:rsid w:val="00555895"/>
    <w:rsid w:val="00555EC8"/>
    <w:rsid w:val="005566E5"/>
    <w:rsid w:val="005572AC"/>
    <w:rsid w:val="005636CA"/>
    <w:rsid w:val="00564A37"/>
    <w:rsid w:val="005672DD"/>
    <w:rsid w:val="00567708"/>
    <w:rsid w:val="00567FE6"/>
    <w:rsid w:val="00570E94"/>
    <w:rsid w:val="00570F0C"/>
    <w:rsid w:val="00571757"/>
    <w:rsid w:val="00571B74"/>
    <w:rsid w:val="00571CA3"/>
    <w:rsid w:val="00571DCD"/>
    <w:rsid w:val="00572522"/>
    <w:rsid w:val="00572888"/>
    <w:rsid w:val="00572AC7"/>
    <w:rsid w:val="00573B55"/>
    <w:rsid w:val="00575295"/>
    <w:rsid w:val="005806DC"/>
    <w:rsid w:val="005827A6"/>
    <w:rsid w:val="0058319F"/>
    <w:rsid w:val="00583432"/>
    <w:rsid w:val="005849E3"/>
    <w:rsid w:val="00585E15"/>
    <w:rsid w:val="00586F88"/>
    <w:rsid w:val="005870B8"/>
    <w:rsid w:val="00587F07"/>
    <w:rsid w:val="00591B88"/>
    <w:rsid w:val="00591FE7"/>
    <w:rsid w:val="005922FA"/>
    <w:rsid w:val="00595D13"/>
    <w:rsid w:val="00596739"/>
    <w:rsid w:val="0059797A"/>
    <w:rsid w:val="005A019F"/>
    <w:rsid w:val="005A21B4"/>
    <w:rsid w:val="005A48B3"/>
    <w:rsid w:val="005A571A"/>
    <w:rsid w:val="005A5FEB"/>
    <w:rsid w:val="005A759C"/>
    <w:rsid w:val="005B088E"/>
    <w:rsid w:val="005B6213"/>
    <w:rsid w:val="005B6B83"/>
    <w:rsid w:val="005B7064"/>
    <w:rsid w:val="005B75FF"/>
    <w:rsid w:val="005C007B"/>
    <w:rsid w:val="005C0D80"/>
    <w:rsid w:val="005C10D2"/>
    <w:rsid w:val="005C18C4"/>
    <w:rsid w:val="005C5261"/>
    <w:rsid w:val="005C641B"/>
    <w:rsid w:val="005C68D4"/>
    <w:rsid w:val="005C6B7E"/>
    <w:rsid w:val="005D041B"/>
    <w:rsid w:val="005D182D"/>
    <w:rsid w:val="005D32D3"/>
    <w:rsid w:val="005D33A6"/>
    <w:rsid w:val="005D3435"/>
    <w:rsid w:val="005D3FFE"/>
    <w:rsid w:val="005D6461"/>
    <w:rsid w:val="005E0308"/>
    <w:rsid w:val="005E3D79"/>
    <w:rsid w:val="005E4413"/>
    <w:rsid w:val="005E45DC"/>
    <w:rsid w:val="005E5A3D"/>
    <w:rsid w:val="005E5AF5"/>
    <w:rsid w:val="005E774C"/>
    <w:rsid w:val="005E7AE8"/>
    <w:rsid w:val="005E7F46"/>
    <w:rsid w:val="005F0FEA"/>
    <w:rsid w:val="005F1012"/>
    <w:rsid w:val="005F14DD"/>
    <w:rsid w:val="005F1ABE"/>
    <w:rsid w:val="005F1C9A"/>
    <w:rsid w:val="005F31FC"/>
    <w:rsid w:val="005F368D"/>
    <w:rsid w:val="005F36E2"/>
    <w:rsid w:val="005F6A9D"/>
    <w:rsid w:val="005F7F6E"/>
    <w:rsid w:val="00600CE3"/>
    <w:rsid w:val="006042E3"/>
    <w:rsid w:val="00607667"/>
    <w:rsid w:val="00607B0E"/>
    <w:rsid w:val="00610E46"/>
    <w:rsid w:val="00611241"/>
    <w:rsid w:val="006142C3"/>
    <w:rsid w:val="006148B9"/>
    <w:rsid w:val="00614C18"/>
    <w:rsid w:val="006159E2"/>
    <w:rsid w:val="0061614D"/>
    <w:rsid w:val="00616C1C"/>
    <w:rsid w:val="00620704"/>
    <w:rsid w:val="00621907"/>
    <w:rsid w:val="006225F8"/>
    <w:rsid w:val="0062410E"/>
    <w:rsid w:val="00626B32"/>
    <w:rsid w:val="0062755C"/>
    <w:rsid w:val="006275C6"/>
    <w:rsid w:val="00630AE2"/>
    <w:rsid w:val="00630AED"/>
    <w:rsid w:val="006317B4"/>
    <w:rsid w:val="00631CB8"/>
    <w:rsid w:val="00631F08"/>
    <w:rsid w:val="00632BEC"/>
    <w:rsid w:val="00632F34"/>
    <w:rsid w:val="006345B1"/>
    <w:rsid w:val="00634839"/>
    <w:rsid w:val="00634860"/>
    <w:rsid w:val="00635194"/>
    <w:rsid w:val="00640569"/>
    <w:rsid w:val="00640C9D"/>
    <w:rsid w:val="00642FEA"/>
    <w:rsid w:val="00643BBD"/>
    <w:rsid w:val="00647460"/>
    <w:rsid w:val="006508F6"/>
    <w:rsid w:val="006517E4"/>
    <w:rsid w:val="006541C6"/>
    <w:rsid w:val="00654F53"/>
    <w:rsid w:val="006551B9"/>
    <w:rsid w:val="00656859"/>
    <w:rsid w:val="00657432"/>
    <w:rsid w:val="00657E5E"/>
    <w:rsid w:val="00661379"/>
    <w:rsid w:val="00662BC3"/>
    <w:rsid w:val="00663245"/>
    <w:rsid w:val="00665583"/>
    <w:rsid w:val="0066731C"/>
    <w:rsid w:val="00671159"/>
    <w:rsid w:val="00674908"/>
    <w:rsid w:val="00674FA1"/>
    <w:rsid w:val="00675026"/>
    <w:rsid w:val="006751BD"/>
    <w:rsid w:val="006800CF"/>
    <w:rsid w:val="006846CB"/>
    <w:rsid w:val="0068545F"/>
    <w:rsid w:val="00686112"/>
    <w:rsid w:val="006878AF"/>
    <w:rsid w:val="00690E96"/>
    <w:rsid w:val="0069168A"/>
    <w:rsid w:val="00691AC3"/>
    <w:rsid w:val="006929FF"/>
    <w:rsid w:val="00695488"/>
    <w:rsid w:val="006956C0"/>
    <w:rsid w:val="006958C2"/>
    <w:rsid w:val="00696556"/>
    <w:rsid w:val="00696909"/>
    <w:rsid w:val="0069761A"/>
    <w:rsid w:val="00697B1F"/>
    <w:rsid w:val="006A03E4"/>
    <w:rsid w:val="006A0C64"/>
    <w:rsid w:val="006A0CE5"/>
    <w:rsid w:val="006A14EE"/>
    <w:rsid w:val="006A1DD9"/>
    <w:rsid w:val="006A2CFB"/>
    <w:rsid w:val="006A384D"/>
    <w:rsid w:val="006A3DE5"/>
    <w:rsid w:val="006A487B"/>
    <w:rsid w:val="006A4CC0"/>
    <w:rsid w:val="006A4D6B"/>
    <w:rsid w:val="006A52BE"/>
    <w:rsid w:val="006A60D5"/>
    <w:rsid w:val="006A654D"/>
    <w:rsid w:val="006A6B88"/>
    <w:rsid w:val="006A7668"/>
    <w:rsid w:val="006A76E6"/>
    <w:rsid w:val="006A78B6"/>
    <w:rsid w:val="006A7DD4"/>
    <w:rsid w:val="006B0D25"/>
    <w:rsid w:val="006B20C0"/>
    <w:rsid w:val="006B42A1"/>
    <w:rsid w:val="006B4943"/>
    <w:rsid w:val="006B4ECA"/>
    <w:rsid w:val="006B5B17"/>
    <w:rsid w:val="006B713F"/>
    <w:rsid w:val="006C27C4"/>
    <w:rsid w:val="006C3106"/>
    <w:rsid w:val="006C3BF1"/>
    <w:rsid w:val="006C4821"/>
    <w:rsid w:val="006C67FC"/>
    <w:rsid w:val="006C72BD"/>
    <w:rsid w:val="006D01A0"/>
    <w:rsid w:val="006D0306"/>
    <w:rsid w:val="006D040C"/>
    <w:rsid w:val="006D1A77"/>
    <w:rsid w:val="006D2DA2"/>
    <w:rsid w:val="006D347F"/>
    <w:rsid w:val="006D4586"/>
    <w:rsid w:val="006D4D3D"/>
    <w:rsid w:val="006D61AF"/>
    <w:rsid w:val="006D68C0"/>
    <w:rsid w:val="006D7108"/>
    <w:rsid w:val="006E10BD"/>
    <w:rsid w:val="006E130A"/>
    <w:rsid w:val="006E1B2F"/>
    <w:rsid w:val="006E3709"/>
    <w:rsid w:val="006E69E0"/>
    <w:rsid w:val="006F0767"/>
    <w:rsid w:val="006F1723"/>
    <w:rsid w:val="006F27AE"/>
    <w:rsid w:val="006F6790"/>
    <w:rsid w:val="006F7C26"/>
    <w:rsid w:val="007000FC"/>
    <w:rsid w:val="00700274"/>
    <w:rsid w:val="00700489"/>
    <w:rsid w:val="0070048F"/>
    <w:rsid w:val="00701283"/>
    <w:rsid w:val="00701EB7"/>
    <w:rsid w:val="00702392"/>
    <w:rsid w:val="007028FF"/>
    <w:rsid w:val="00702B00"/>
    <w:rsid w:val="00702CD6"/>
    <w:rsid w:val="00707E9E"/>
    <w:rsid w:val="007103AA"/>
    <w:rsid w:val="00713074"/>
    <w:rsid w:val="00713784"/>
    <w:rsid w:val="007140FE"/>
    <w:rsid w:val="007178DC"/>
    <w:rsid w:val="00717900"/>
    <w:rsid w:val="00717953"/>
    <w:rsid w:val="00717D6F"/>
    <w:rsid w:val="00720318"/>
    <w:rsid w:val="007210A1"/>
    <w:rsid w:val="0072341E"/>
    <w:rsid w:val="007235D3"/>
    <w:rsid w:val="0072585D"/>
    <w:rsid w:val="00726E9D"/>
    <w:rsid w:val="0073024C"/>
    <w:rsid w:val="00730C75"/>
    <w:rsid w:val="00731B07"/>
    <w:rsid w:val="007341BF"/>
    <w:rsid w:val="007342E8"/>
    <w:rsid w:val="00737697"/>
    <w:rsid w:val="00737B0E"/>
    <w:rsid w:val="00741BE7"/>
    <w:rsid w:val="00741DD6"/>
    <w:rsid w:val="00742795"/>
    <w:rsid w:val="00742C7B"/>
    <w:rsid w:val="00743CE3"/>
    <w:rsid w:val="00743F9C"/>
    <w:rsid w:val="0074426B"/>
    <w:rsid w:val="00744F4C"/>
    <w:rsid w:val="0074611A"/>
    <w:rsid w:val="00746FE8"/>
    <w:rsid w:val="0074772D"/>
    <w:rsid w:val="00747C1E"/>
    <w:rsid w:val="00747D73"/>
    <w:rsid w:val="007515A9"/>
    <w:rsid w:val="00756C01"/>
    <w:rsid w:val="007571E5"/>
    <w:rsid w:val="00761B8A"/>
    <w:rsid w:val="007623FB"/>
    <w:rsid w:val="0076482C"/>
    <w:rsid w:val="00765635"/>
    <w:rsid w:val="0076624F"/>
    <w:rsid w:val="00771AC2"/>
    <w:rsid w:val="00772911"/>
    <w:rsid w:val="00773251"/>
    <w:rsid w:val="007743B7"/>
    <w:rsid w:val="00775473"/>
    <w:rsid w:val="00776260"/>
    <w:rsid w:val="00777A3A"/>
    <w:rsid w:val="00780434"/>
    <w:rsid w:val="007849A2"/>
    <w:rsid w:val="00785A15"/>
    <w:rsid w:val="00786203"/>
    <w:rsid w:val="00786B4A"/>
    <w:rsid w:val="00791372"/>
    <w:rsid w:val="00791959"/>
    <w:rsid w:val="007925D4"/>
    <w:rsid w:val="00794AC0"/>
    <w:rsid w:val="00796B1E"/>
    <w:rsid w:val="00796F94"/>
    <w:rsid w:val="007977D3"/>
    <w:rsid w:val="007A03A7"/>
    <w:rsid w:val="007A0F0F"/>
    <w:rsid w:val="007A106F"/>
    <w:rsid w:val="007A11EF"/>
    <w:rsid w:val="007A20D9"/>
    <w:rsid w:val="007A2AA1"/>
    <w:rsid w:val="007A43CD"/>
    <w:rsid w:val="007A4D3A"/>
    <w:rsid w:val="007A52AC"/>
    <w:rsid w:val="007A65AC"/>
    <w:rsid w:val="007A7677"/>
    <w:rsid w:val="007A7897"/>
    <w:rsid w:val="007A7DFB"/>
    <w:rsid w:val="007B059F"/>
    <w:rsid w:val="007B09D3"/>
    <w:rsid w:val="007B17A7"/>
    <w:rsid w:val="007B261D"/>
    <w:rsid w:val="007B3232"/>
    <w:rsid w:val="007B47C0"/>
    <w:rsid w:val="007B4E6E"/>
    <w:rsid w:val="007B61FF"/>
    <w:rsid w:val="007B7D06"/>
    <w:rsid w:val="007C089B"/>
    <w:rsid w:val="007C0B0C"/>
    <w:rsid w:val="007C1EFF"/>
    <w:rsid w:val="007C3748"/>
    <w:rsid w:val="007C4291"/>
    <w:rsid w:val="007C456B"/>
    <w:rsid w:val="007C5B3A"/>
    <w:rsid w:val="007C6451"/>
    <w:rsid w:val="007C7358"/>
    <w:rsid w:val="007D06D8"/>
    <w:rsid w:val="007D0FAF"/>
    <w:rsid w:val="007D175F"/>
    <w:rsid w:val="007D25EA"/>
    <w:rsid w:val="007D334C"/>
    <w:rsid w:val="007D33E4"/>
    <w:rsid w:val="007D45F5"/>
    <w:rsid w:val="007D487E"/>
    <w:rsid w:val="007D6468"/>
    <w:rsid w:val="007D6730"/>
    <w:rsid w:val="007D76F5"/>
    <w:rsid w:val="007E0433"/>
    <w:rsid w:val="007E06B8"/>
    <w:rsid w:val="007E152C"/>
    <w:rsid w:val="007E1F95"/>
    <w:rsid w:val="007E2CD0"/>
    <w:rsid w:val="007E366B"/>
    <w:rsid w:val="007E3D57"/>
    <w:rsid w:val="007E4281"/>
    <w:rsid w:val="007E62EA"/>
    <w:rsid w:val="007E6939"/>
    <w:rsid w:val="007F1077"/>
    <w:rsid w:val="007F1DBD"/>
    <w:rsid w:val="007F4D6C"/>
    <w:rsid w:val="007F63C5"/>
    <w:rsid w:val="007F6C3C"/>
    <w:rsid w:val="0080224D"/>
    <w:rsid w:val="00804070"/>
    <w:rsid w:val="0080619C"/>
    <w:rsid w:val="00806F2D"/>
    <w:rsid w:val="008077CC"/>
    <w:rsid w:val="008079D3"/>
    <w:rsid w:val="00807FCB"/>
    <w:rsid w:val="00810A68"/>
    <w:rsid w:val="00811A2F"/>
    <w:rsid w:val="00812F5E"/>
    <w:rsid w:val="00813670"/>
    <w:rsid w:val="00814B91"/>
    <w:rsid w:val="00815187"/>
    <w:rsid w:val="0081580D"/>
    <w:rsid w:val="00815E78"/>
    <w:rsid w:val="0081664C"/>
    <w:rsid w:val="0081731C"/>
    <w:rsid w:val="00817B22"/>
    <w:rsid w:val="0082267A"/>
    <w:rsid w:val="008239ED"/>
    <w:rsid w:val="00824427"/>
    <w:rsid w:val="0082497A"/>
    <w:rsid w:val="008249CB"/>
    <w:rsid w:val="0082679E"/>
    <w:rsid w:val="00826AE2"/>
    <w:rsid w:val="00827135"/>
    <w:rsid w:val="008273A5"/>
    <w:rsid w:val="00827624"/>
    <w:rsid w:val="0083075F"/>
    <w:rsid w:val="00830DDF"/>
    <w:rsid w:val="00833601"/>
    <w:rsid w:val="00834CB4"/>
    <w:rsid w:val="00835391"/>
    <w:rsid w:val="00835BEC"/>
    <w:rsid w:val="00840920"/>
    <w:rsid w:val="00841B64"/>
    <w:rsid w:val="00842380"/>
    <w:rsid w:val="00843ABF"/>
    <w:rsid w:val="008441FD"/>
    <w:rsid w:val="00844B22"/>
    <w:rsid w:val="00847849"/>
    <w:rsid w:val="00850C15"/>
    <w:rsid w:val="008534C7"/>
    <w:rsid w:val="00853E73"/>
    <w:rsid w:val="00854BBA"/>
    <w:rsid w:val="00854E13"/>
    <w:rsid w:val="008552E2"/>
    <w:rsid w:val="00856A13"/>
    <w:rsid w:val="008600D4"/>
    <w:rsid w:val="0086024F"/>
    <w:rsid w:val="0086089E"/>
    <w:rsid w:val="008612E5"/>
    <w:rsid w:val="00861C18"/>
    <w:rsid w:val="008626C6"/>
    <w:rsid w:val="00862F70"/>
    <w:rsid w:val="00863C66"/>
    <w:rsid w:val="00866184"/>
    <w:rsid w:val="0086741F"/>
    <w:rsid w:val="0087087E"/>
    <w:rsid w:val="00870C02"/>
    <w:rsid w:val="0087111A"/>
    <w:rsid w:val="00873676"/>
    <w:rsid w:val="0087378B"/>
    <w:rsid w:val="00873BD4"/>
    <w:rsid w:val="00876ABE"/>
    <w:rsid w:val="008800D5"/>
    <w:rsid w:val="00880751"/>
    <w:rsid w:val="00880FD4"/>
    <w:rsid w:val="008815BF"/>
    <w:rsid w:val="00884AF0"/>
    <w:rsid w:val="00884BDE"/>
    <w:rsid w:val="0088703A"/>
    <w:rsid w:val="0088711B"/>
    <w:rsid w:val="00887EAF"/>
    <w:rsid w:val="00890DC6"/>
    <w:rsid w:val="0089223C"/>
    <w:rsid w:val="00893660"/>
    <w:rsid w:val="008952E9"/>
    <w:rsid w:val="008959FB"/>
    <w:rsid w:val="008963AA"/>
    <w:rsid w:val="00897FFC"/>
    <w:rsid w:val="008A0AD0"/>
    <w:rsid w:val="008A28FE"/>
    <w:rsid w:val="008A2BE1"/>
    <w:rsid w:val="008A4EB4"/>
    <w:rsid w:val="008A4ECA"/>
    <w:rsid w:val="008B0993"/>
    <w:rsid w:val="008B2055"/>
    <w:rsid w:val="008B3E25"/>
    <w:rsid w:val="008B3F1D"/>
    <w:rsid w:val="008B4F2F"/>
    <w:rsid w:val="008C01E4"/>
    <w:rsid w:val="008C2465"/>
    <w:rsid w:val="008C2742"/>
    <w:rsid w:val="008C2963"/>
    <w:rsid w:val="008C433F"/>
    <w:rsid w:val="008C630D"/>
    <w:rsid w:val="008C6AF5"/>
    <w:rsid w:val="008C6D9C"/>
    <w:rsid w:val="008C71B7"/>
    <w:rsid w:val="008C7545"/>
    <w:rsid w:val="008C75CC"/>
    <w:rsid w:val="008D0006"/>
    <w:rsid w:val="008D1537"/>
    <w:rsid w:val="008D50E9"/>
    <w:rsid w:val="008D5953"/>
    <w:rsid w:val="008D775D"/>
    <w:rsid w:val="008D7A57"/>
    <w:rsid w:val="008E09FA"/>
    <w:rsid w:val="008E0DDF"/>
    <w:rsid w:val="008E212D"/>
    <w:rsid w:val="008E2715"/>
    <w:rsid w:val="008E5680"/>
    <w:rsid w:val="008E5EA3"/>
    <w:rsid w:val="008E6EA0"/>
    <w:rsid w:val="008E6FF1"/>
    <w:rsid w:val="008F0346"/>
    <w:rsid w:val="008F048A"/>
    <w:rsid w:val="008F05D9"/>
    <w:rsid w:val="008F0949"/>
    <w:rsid w:val="008F1652"/>
    <w:rsid w:val="008F19FA"/>
    <w:rsid w:val="008F2452"/>
    <w:rsid w:val="008F3DD8"/>
    <w:rsid w:val="008F42E3"/>
    <w:rsid w:val="008F43FA"/>
    <w:rsid w:val="008F47BE"/>
    <w:rsid w:val="008F5AC2"/>
    <w:rsid w:val="008F5DBA"/>
    <w:rsid w:val="008F6F73"/>
    <w:rsid w:val="008F7956"/>
    <w:rsid w:val="0090140E"/>
    <w:rsid w:val="00901587"/>
    <w:rsid w:val="00906C20"/>
    <w:rsid w:val="0090786C"/>
    <w:rsid w:val="00910732"/>
    <w:rsid w:val="00911404"/>
    <w:rsid w:val="009149EE"/>
    <w:rsid w:val="00915B68"/>
    <w:rsid w:val="0091759F"/>
    <w:rsid w:val="0092078C"/>
    <w:rsid w:val="0092100A"/>
    <w:rsid w:val="009221D3"/>
    <w:rsid w:val="00922E9F"/>
    <w:rsid w:val="00923765"/>
    <w:rsid w:val="00923FA1"/>
    <w:rsid w:val="00924214"/>
    <w:rsid w:val="009249CA"/>
    <w:rsid w:val="00926005"/>
    <w:rsid w:val="00926B4E"/>
    <w:rsid w:val="009327B1"/>
    <w:rsid w:val="00933E13"/>
    <w:rsid w:val="00933FE0"/>
    <w:rsid w:val="0093626C"/>
    <w:rsid w:val="00941EB0"/>
    <w:rsid w:val="0094318D"/>
    <w:rsid w:val="009436B9"/>
    <w:rsid w:val="00945A46"/>
    <w:rsid w:val="00947782"/>
    <w:rsid w:val="00952F10"/>
    <w:rsid w:val="00953F97"/>
    <w:rsid w:val="0095457A"/>
    <w:rsid w:val="0095710B"/>
    <w:rsid w:val="00960A09"/>
    <w:rsid w:val="009637E7"/>
    <w:rsid w:val="0096382D"/>
    <w:rsid w:val="00963C2E"/>
    <w:rsid w:val="00963F1D"/>
    <w:rsid w:val="0096409F"/>
    <w:rsid w:val="00965573"/>
    <w:rsid w:val="0096674F"/>
    <w:rsid w:val="0096695F"/>
    <w:rsid w:val="00967D3F"/>
    <w:rsid w:val="00972076"/>
    <w:rsid w:val="00972D4A"/>
    <w:rsid w:val="00972F14"/>
    <w:rsid w:val="0097348A"/>
    <w:rsid w:val="00974E13"/>
    <w:rsid w:val="00980476"/>
    <w:rsid w:val="009821C1"/>
    <w:rsid w:val="00983613"/>
    <w:rsid w:val="00983911"/>
    <w:rsid w:val="00983D67"/>
    <w:rsid w:val="009847F7"/>
    <w:rsid w:val="00984873"/>
    <w:rsid w:val="00984D25"/>
    <w:rsid w:val="00985744"/>
    <w:rsid w:val="009858AA"/>
    <w:rsid w:val="00985D71"/>
    <w:rsid w:val="00990219"/>
    <w:rsid w:val="00990FBC"/>
    <w:rsid w:val="009A1B80"/>
    <w:rsid w:val="009A2AED"/>
    <w:rsid w:val="009A2AF5"/>
    <w:rsid w:val="009A386C"/>
    <w:rsid w:val="009A4EC7"/>
    <w:rsid w:val="009A4FBD"/>
    <w:rsid w:val="009A5E85"/>
    <w:rsid w:val="009A6848"/>
    <w:rsid w:val="009A7212"/>
    <w:rsid w:val="009B0751"/>
    <w:rsid w:val="009B2141"/>
    <w:rsid w:val="009B2BF0"/>
    <w:rsid w:val="009B3077"/>
    <w:rsid w:val="009B42F1"/>
    <w:rsid w:val="009C1425"/>
    <w:rsid w:val="009C1FB5"/>
    <w:rsid w:val="009C43B8"/>
    <w:rsid w:val="009C55A0"/>
    <w:rsid w:val="009C6F5B"/>
    <w:rsid w:val="009C7177"/>
    <w:rsid w:val="009D0485"/>
    <w:rsid w:val="009D0EC3"/>
    <w:rsid w:val="009D18B6"/>
    <w:rsid w:val="009D21D1"/>
    <w:rsid w:val="009D322E"/>
    <w:rsid w:val="009D33DB"/>
    <w:rsid w:val="009D3DA4"/>
    <w:rsid w:val="009D3ED9"/>
    <w:rsid w:val="009D4188"/>
    <w:rsid w:val="009D44D5"/>
    <w:rsid w:val="009D4B53"/>
    <w:rsid w:val="009D5AE8"/>
    <w:rsid w:val="009D5CD1"/>
    <w:rsid w:val="009E1C26"/>
    <w:rsid w:val="009E22EB"/>
    <w:rsid w:val="009E2413"/>
    <w:rsid w:val="009E65E4"/>
    <w:rsid w:val="009E72E3"/>
    <w:rsid w:val="009E736C"/>
    <w:rsid w:val="009F0250"/>
    <w:rsid w:val="009F15B7"/>
    <w:rsid w:val="009F2256"/>
    <w:rsid w:val="009F449E"/>
    <w:rsid w:val="009F5987"/>
    <w:rsid w:val="009F7D5F"/>
    <w:rsid w:val="00A02909"/>
    <w:rsid w:val="00A02B7B"/>
    <w:rsid w:val="00A038DE"/>
    <w:rsid w:val="00A040A1"/>
    <w:rsid w:val="00A04B9B"/>
    <w:rsid w:val="00A04FCC"/>
    <w:rsid w:val="00A103E4"/>
    <w:rsid w:val="00A110BC"/>
    <w:rsid w:val="00A115B4"/>
    <w:rsid w:val="00A11B6C"/>
    <w:rsid w:val="00A125F3"/>
    <w:rsid w:val="00A12B3F"/>
    <w:rsid w:val="00A1301A"/>
    <w:rsid w:val="00A13C72"/>
    <w:rsid w:val="00A13E5C"/>
    <w:rsid w:val="00A14029"/>
    <w:rsid w:val="00A14816"/>
    <w:rsid w:val="00A14B80"/>
    <w:rsid w:val="00A170B1"/>
    <w:rsid w:val="00A172DB"/>
    <w:rsid w:val="00A175F7"/>
    <w:rsid w:val="00A17E76"/>
    <w:rsid w:val="00A20371"/>
    <w:rsid w:val="00A20794"/>
    <w:rsid w:val="00A233C3"/>
    <w:rsid w:val="00A23751"/>
    <w:rsid w:val="00A237C2"/>
    <w:rsid w:val="00A26456"/>
    <w:rsid w:val="00A266BB"/>
    <w:rsid w:val="00A270B4"/>
    <w:rsid w:val="00A272A8"/>
    <w:rsid w:val="00A30792"/>
    <w:rsid w:val="00A34F09"/>
    <w:rsid w:val="00A41906"/>
    <w:rsid w:val="00A421DF"/>
    <w:rsid w:val="00A42808"/>
    <w:rsid w:val="00A4280A"/>
    <w:rsid w:val="00A44161"/>
    <w:rsid w:val="00A44DD5"/>
    <w:rsid w:val="00A45DA5"/>
    <w:rsid w:val="00A46922"/>
    <w:rsid w:val="00A47288"/>
    <w:rsid w:val="00A475B2"/>
    <w:rsid w:val="00A519D1"/>
    <w:rsid w:val="00A546ED"/>
    <w:rsid w:val="00A54E01"/>
    <w:rsid w:val="00A556DC"/>
    <w:rsid w:val="00A56057"/>
    <w:rsid w:val="00A56251"/>
    <w:rsid w:val="00A60719"/>
    <w:rsid w:val="00A64290"/>
    <w:rsid w:val="00A66089"/>
    <w:rsid w:val="00A67054"/>
    <w:rsid w:val="00A7012D"/>
    <w:rsid w:val="00A707E6"/>
    <w:rsid w:val="00A713C0"/>
    <w:rsid w:val="00A72425"/>
    <w:rsid w:val="00A728D7"/>
    <w:rsid w:val="00A729CE"/>
    <w:rsid w:val="00A73BC1"/>
    <w:rsid w:val="00A73FD2"/>
    <w:rsid w:val="00A74206"/>
    <w:rsid w:val="00A742BA"/>
    <w:rsid w:val="00A745DF"/>
    <w:rsid w:val="00A74D70"/>
    <w:rsid w:val="00A7513C"/>
    <w:rsid w:val="00A75495"/>
    <w:rsid w:val="00A7632A"/>
    <w:rsid w:val="00A76589"/>
    <w:rsid w:val="00A77439"/>
    <w:rsid w:val="00A80375"/>
    <w:rsid w:val="00A81330"/>
    <w:rsid w:val="00A83220"/>
    <w:rsid w:val="00A84523"/>
    <w:rsid w:val="00A851AC"/>
    <w:rsid w:val="00A867A4"/>
    <w:rsid w:val="00A86824"/>
    <w:rsid w:val="00A868E7"/>
    <w:rsid w:val="00A86FC3"/>
    <w:rsid w:val="00A914DA"/>
    <w:rsid w:val="00A91927"/>
    <w:rsid w:val="00A92119"/>
    <w:rsid w:val="00A9219A"/>
    <w:rsid w:val="00A93210"/>
    <w:rsid w:val="00A93533"/>
    <w:rsid w:val="00A9385F"/>
    <w:rsid w:val="00A96718"/>
    <w:rsid w:val="00A97F2F"/>
    <w:rsid w:val="00AA1A77"/>
    <w:rsid w:val="00AA2617"/>
    <w:rsid w:val="00AA5493"/>
    <w:rsid w:val="00AA5F6F"/>
    <w:rsid w:val="00AA63B2"/>
    <w:rsid w:val="00AA6B9B"/>
    <w:rsid w:val="00AA70A8"/>
    <w:rsid w:val="00AA7199"/>
    <w:rsid w:val="00AA7699"/>
    <w:rsid w:val="00AB0583"/>
    <w:rsid w:val="00AB3025"/>
    <w:rsid w:val="00AB34B2"/>
    <w:rsid w:val="00AB3F40"/>
    <w:rsid w:val="00AB4291"/>
    <w:rsid w:val="00AB42A2"/>
    <w:rsid w:val="00AB4597"/>
    <w:rsid w:val="00AB48A3"/>
    <w:rsid w:val="00AB4E59"/>
    <w:rsid w:val="00AB64E8"/>
    <w:rsid w:val="00AB766E"/>
    <w:rsid w:val="00AB7B32"/>
    <w:rsid w:val="00AC013B"/>
    <w:rsid w:val="00AC1F7B"/>
    <w:rsid w:val="00AC37C9"/>
    <w:rsid w:val="00AC3B86"/>
    <w:rsid w:val="00AC6108"/>
    <w:rsid w:val="00AC7E5A"/>
    <w:rsid w:val="00AD1631"/>
    <w:rsid w:val="00AD1BA0"/>
    <w:rsid w:val="00AD23D7"/>
    <w:rsid w:val="00AD4906"/>
    <w:rsid w:val="00AD4DFC"/>
    <w:rsid w:val="00AE0F1A"/>
    <w:rsid w:val="00AE1E60"/>
    <w:rsid w:val="00AE3483"/>
    <w:rsid w:val="00AE36E5"/>
    <w:rsid w:val="00AE4CD9"/>
    <w:rsid w:val="00AE541A"/>
    <w:rsid w:val="00AE5E1E"/>
    <w:rsid w:val="00AE7251"/>
    <w:rsid w:val="00AF081B"/>
    <w:rsid w:val="00AF1D85"/>
    <w:rsid w:val="00AF1FB7"/>
    <w:rsid w:val="00AF397B"/>
    <w:rsid w:val="00AF3B69"/>
    <w:rsid w:val="00AF4754"/>
    <w:rsid w:val="00AF4A6B"/>
    <w:rsid w:val="00AF5BA3"/>
    <w:rsid w:val="00AF681B"/>
    <w:rsid w:val="00B006E4"/>
    <w:rsid w:val="00B01C94"/>
    <w:rsid w:val="00B0345F"/>
    <w:rsid w:val="00B03D75"/>
    <w:rsid w:val="00B04A24"/>
    <w:rsid w:val="00B050B9"/>
    <w:rsid w:val="00B05EB7"/>
    <w:rsid w:val="00B07469"/>
    <w:rsid w:val="00B10219"/>
    <w:rsid w:val="00B10CF0"/>
    <w:rsid w:val="00B11438"/>
    <w:rsid w:val="00B119C2"/>
    <w:rsid w:val="00B13E6E"/>
    <w:rsid w:val="00B13EF4"/>
    <w:rsid w:val="00B153BC"/>
    <w:rsid w:val="00B17950"/>
    <w:rsid w:val="00B17D83"/>
    <w:rsid w:val="00B24198"/>
    <w:rsid w:val="00B25EA4"/>
    <w:rsid w:val="00B2712D"/>
    <w:rsid w:val="00B3093E"/>
    <w:rsid w:val="00B31271"/>
    <w:rsid w:val="00B31DCA"/>
    <w:rsid w:val="00B32E06"/>
    <w:rsid w:val="00B3350D"/>
    <w:rsid w:val="00B352C7"/>
    <w:rsid w:val="00B36709"/>
    <w:rsid w:val="00B36D5B"/>
    <w:rsid w:val="00B418F1"/>
    <w:rsid w:val="00B427D8"/>
    <w:rsid w:val="00B43B4D"/>
    <w:rsid w:val="00B44853"/>
    <w:rsid w:val="00B46500"/>
    <w:rsid w:val="00B4742F"/>
    <w:rsid w:val="00B47E72"/>
    <w:rsid w:val="00B5041D"/>
    <w:rsid w:val="00B52CCB"/>
    <w:rsid w:val="00B53CD3"/>
    <w:rsid w:val="00B551AD"/>
    <w:rsid w:val="00B55933"/>
    <w:rsid w:val="00B56549"/>
    <w:rsid w:val="00B57211"/>
    <w:rsid w:val="00B6032F"/>
    <w:rsid w:val="00B6077F"/>
    <w:rsid w:val="00B61528"/>
    <w:rsid w:val="00B62004"/>
    <w:rsid w:val="00B64202"/>
    <w:rsid w:val="00B64BCB"/>
    <w:rsid w:val="00B65D07"/>
    <w:rsid w:val="00B702DD"/>
    <w:rsid w:val="00B70421"/>
    <w:rsid w:val="00B7119B"/>
    <w:rsid w:val="00B71E58"/>
    <w:rsid w:val="00B72263"/>
    <w:rsid w:val="00B72B97"/>
    <w:rsid w:val="00B72C3F"/>
    <w:rsid w:val="00B7378F"/>
    <w:rsid w:val="00B73E65"/>
    <w:rsid w:val="00B75AC4"/>
    <w:rsid w:val="00B77DF8"/>
    <w:rsid w:val="00B80F95"/>
    <w:rsid w:val="00B81886"/>
    <w:rsid w:val="00B8208A"/>
    <w:rsid w:val="00B82132"/>
    <w:rsid w:val="00B84D43"/>
    <w:rsid w:val="00B86328"/>
    <w:rsid w:val="00B8691D"/>
    <w:rsid w:val="00B86FB5"/>
    <w:rsid w:val="00B908C9"/>
    <w:rsid w:val="00B90973"/>
    <w:rsid w:val="00B9256E"/>
    <w:rsid w:val="00B9355E"/>
    <w:rsid w:val="00B9362E"/>
    <w:rsid w:val="00B946EA"/>
    <w:rsid w:val="00B96F90"/>
    <w:rsid w:val="00B97DF2"/>
    <w:rsid w:val="00B97ECE"/>
    <w:rsid w:val="00BA1008"/>
    <w:rsid w:val="00BA247C"/>
    <w:rsid w:val="00BA5AE7"/>
    <w:rsid w:val="00BA739F"/>
    <w:rsid w:val="00BA7F0A"/>
    <w:rsid w:val="00BB2904"/>
    <w:rsid w:val="00BB2960"/>
    <w:rsid w:val="00BB495C"/>
    <w:rsid w:val="00BB6964"/>
    <w:rsid w:val="00BB72FA"/>
    <w:rsid w:val="00BC080A"/>
    <w:rsid w:val="00BC0A8B"/>
    <w:rsid w:val="00BC0B98"/>
    <w:rsid w:val="00BC137C"/>
    <w:rsid w:val="00BC24EF"/>
    <w:rsid w:val="00BC3593"/>
    <w:rsid w:val="00BC3CBD"/>
    <w:rsid w:val="00BC3D53"/>
    <w:rsid w:val="00BC445E"/>
    <w:rsid w:val="00BC5266"/>
    <w:rsid w:val="00BC57D2"/>
    <w:rsid w:val="00BC76D9"/>
    <w:rsid w:val="00BC7982"/>
    <w:rsid w:val="00BD0986"/>
    <w:rsid w:val="00BD0C25"/>
    <w:rsid w:val="00BD1F54"/>
    <w:rsid w:val="00BD2631"/>
    <w:rsid w:val="00BD33C7"/>
    <w:rsid w:val="00BD3541"/>
    <w:rsid w:val="00BD3631"/>
    <w:rsid w:val="00BD7171"/>
    <w:rsid w:val="00BE0CEC"/>
    <w:rsid w:val="00BE3513"/>
    <w:rsid w:val="00BE37C5"/>
    <w:rsid w:val="00BE3897"/>
    <w:rsid w:val="00BE39A8"/>
    <w:rsid w:val="00BE4C6B"/>
    <w:rsid w:val="00BE69F6"/>
    <w:rsid w:val="00BF0C8F"/>
    <w:rsid w:val="00BF1373"/>
    <w:rsid w:val="00BF31DA"/>
    <w:rsid w:val="00BF3896"/>
    <w:rsid w:val="00BF45A4"/>
    <w:rsid w:val="00BF6B02"/>
    <w:rsid w:val="00BF7FE3"/>
    <w:rsid w:val="00C0128C"/>
    <w:rsid w:val="00C022D3"/>
    <w:rsid w:val="00C027F6"/>
    <w:rsid w:val="00C02B81"/>
    <w:rsid w:val="00C05263"/>
    <w:rsid w:val="00C0585D"/>
    <w:rsid w:val="00C05E86"/>
    <w:rsid w:val="00C061EA"/>
    <w:rsid w:val="00C06318"/>
    <w:rsid w:val="00C0715B"/>
    <w:rsid w:val="00C0746F"/>
    <w:rsid w:val="00C07FB5"/>
    <w:rsid w:val="00C130C9"/>
    <w:rsid w:val="00C13ECC"/>
    <w:rsid w:val="00C145AE"/>
    <w:rsid w:val="00C158C7"/>
    <w:rsid w:val="00C16BED"/>
    <w:rsid w:val="00C16D41"/>
    <w:rsid w:val="00C16DFB"/>
    <w:rsid w:val="00C206C5"/>
    <w:rsid w:val="00C21CE0"/>
    <w:rsid w:val="00C23985"/>
    <w:rsid w:val="00C23C68"/>
    <w:rsid w:val="00C24E60"/>
    <w:rsid w:val="00C255DD"/>
    <w:rsid w:val="00C309DE"/>
    <w:rsid w:val="00C30B66"/>
    <w:rsid w:val="00C33570"/>
    <w:rsid w:val="00C33EE8"/>
    <w:rsid w:val="00C359CF"/>
    <w:rsid w:val="00C3777B"/>
    <w:rsid w:val="00C41CFD"/>
    <w:rsid w:val="00C4205B"/>
    <w:rsid w:val="00C42A6E"/>
    <w:rsid w:val="00C44101"/>
    <w:rsid w:val="00C44890"/>
    <w:rsid w:val="00C44F26"/>
    <w:rsid w:val="00C454B5"/>
    <w:rsid w:val="00C4577F"/>
    <w:rsid w:val="00C45C6D"/>
    <w:rsid w:val="00C45FF3"/>
    <w:rsid w:val="00C4614C"/>
    <w:rsid w:val="00C46397"/>
    <w:rsid w:val="00C478BC"/>
    <w:rsid w:val="00C479F4"/>
    <w:rsid w:val="00C47BB4"/>
    <w:rsid w:val="00C53313"/>
    <w:rsid w:val="00C5365F"/>
    <w:rsid w:val="00C61331"/>
    <w:rsid w:val="00C626E7"/>
    <w:rsid w:val="00C63030"/>
    <w:rsid w:val="00C638A6"/>
    <w:rsid w:val="00C64EDB"/>
    <w:rsid w:val="00C650F4"/>
    <w:rsid w:val="00C65951"/>
    <w:rsid w:val="00C66CE8"/>
    <w:rsid w:val="00C67DA8"/>
    <w:rsid w:val="00C67E38"/>
    <w:rsid w:val="00C67F1B"/>
    <w:rsid w:val="00C7089D"/>
    <w:rsid w:val="00C72926"/>
    <w:rsid w:val="00C72CBF"/>
    <w:rsid w:val="00C749B8"/>
    <w:rsid w:val="00C75208"/>
    <w:rsid w:val="00C77987"/>
    <w:rsid w:val="00C77C0D"/>
    <w:rsid w:val="00C812C2"/>
    <w:rsid w:val="00C82AE1"/>
    <w:rsid w:val="00C83289"/>
    <w:rsid w:val="00C83938"/>
    <w:rsid w:val="00C83D87"/>
    <w:rsid w:val="00C8495C"/>
    <w:rsid w:val="00C86CDE"/>
    <w:rsid w:val="00C86DFB"/>
    <w:rsid w:val="00C87CAB"/>
    <w:rsid w:val="00C87EA2"/>
    <w:rsid w:val="00C903D4"/>
    <w:rsid w:val="00C90BB0"/>
    <w:rsid w:val="00C91994"/>
    <w:rsid w:val="00C922C6"/>
    <w:rsid w:val="00C92F66"/>
    <w:rsid w:val="00C93296"/>
    <w:rsid w:val="00C93435"/>
    <w:rsid w:val="00C94C3D"/>
    <w:rsid w:val="00CA0C21"/>
    <w:rsid w:val="00CA0D16"/>
    <w:rsid w:val="00CA4205"/>
    <w:rsid w:val="00CA4938"/>
    <w:rsid w:val="00CA643F"/>
    <w:rsid w:val="00CA6BFB"/>
    <w:rsid w:val="00CA7C4B"/>
    <w:rsid w:val="00CB0167"/>
    <w:rsid w:val="00CB0EC7"/>
    <w:rsid w:val="00CB0FFD"/>
    <w:rsid w:val="00CB1A97"/>
    <w:rsid w:val="00CB1D22"/>
    <w:rsid w:val="00CB1FD0"/>
    <w:rsid w:val="00CB2B1B"/>
    <w:rsid w:val="00CB3EBB"/>
    <w:rsid w:val="00CB3ED4"/>
    <w:rsid w:val="00CB3F71"/>
    <w:rsid w:val="00CB51E8"/>
    <w:rsid w:val="00CB51F5"/>
    <w:rsid w:val="00CB5E35"/>
    <w:rsid w:val="00CC1FE3"/>
    <w:rsid w:val="00CC2535"/>
    <w:rsid w:val="00CC360E"/>
    <w:rsid w:val="00CC3F46"/>
    <w:rsid w:val="00CC5EA8"/>
    <w:rsid w:val="00CC69A6"/>
    <w:rsid w:val="00CC6E35"/>
    <w:rsid w:val="00CC7AD4"/>
    <w:rsid w:val="00CD235E"/>
    <w:rsid w:val="00CD2F53"/>
    <w:rsid w:val="00CD458B"/>
    <w:rsid w:val="00CD4A61"/>
    <w:rsid w:val="00CD5178"/>
    <w:rsid w:val="00CD5487"/>
    <w:rsid w:val="00CD5783"/>
    <w:rsid w:val="00CD6463"/>
    <w:rsid w:val="00CE163B"/>
    <w:rsid w:val="00CE1917"/>
    <w:rsid w:val="00CE1C7B"/>
    <w:rsid w:val="00CE1DA3"/>
    <w:rsid w:val="00CE33BE"/>
    <w:rsid w:val="00CE4017"/>
    <w:rsid w:val="00CE764B"/>
    <w:rsid w:val="00CF050E"/>
    <w:rsid w:val="00CF3763"/>
    <w:rsid w:val="00CF38AC"/>
    <w:rsid w:val="00CF59E7"/>
    <w:rsid w:val="00CF6DB0"/>
    <w:rsid w:val="00CF7241"/>
    <w:rsid w:val="00CF7967"/>
    <w:rsid w:val="00CF7D76"/>
    <w:rsid w:val="00D03578"/>
    <w:rsid w:val="00D0420D"/>
    <w:rsid w:val="00D125C9"/>
    <w:rsid w:val="00D133C0"/>
    <w:rsid w:val="00D14DE3"/>
    <w:rsid w:val="00D15C08"/>
    <w:rsid w:val="00D22270"/>
    <w:rsid w:val="00D260C0"/>
    <w:rsid w:val="00D3101B"/>
    <w:rsid w:val="00D32C6F"/>
    <w:rsid w:val="00D3308F"/>
    <w:rsid w:val="00D3404D"/>
    <w:rsid w:val="00D4039D"/>
    <w:rsid w:val="00D423CC"/>
    <w:rsid w:val="00D4265A"/>
    <w:rsid w:val="00D42FA0"/>
    <w:rsid w:val="00D4342A"/>
    <w:rsid w:val="00D44510"/>
    <w:rsid w:val="00D454B3"/>
    <w:rsid w:val="00D500A5"/>
    <w:rsid w:val="00D50246"/>
    <w:rsid w:val="00D524F8"/>
    <w:rsid w:val="00D52766"/>
    <w:rsid w:val="00D53F44"/>
    <w:rsid w:val="00D54BDB"/>
    <w:rsid w:val="00D569A9"/>
    <w:rsid w:val="00D56A0A"/>
    <w:rsid w:val="00D56E68"/>
    <w:rsid w:val="00D56F42"/>
    <w:rsid w:val="00D6101C"/>
    <w:rsid w:val="00D6226F"/>
    <w:rsid w:val="00D63259"/>
    <w:rsid w:val="00D6388B"/>
    <w:rsid w:val="00D63C5C"/>
    <w:rsid w:val="00D64EF5"/>
    <w:rsid w:val="00D6520F"/>
    <w:rsid w:val="00D658EC"/>
    <w:rsid w:val="00D67617"/>
    <w:rsid w:val="00D67761"/>
    <w:rsid w:val="00D706E7"/>
    <w:rsid w:val="00D709D2"/>
    <w:rsid w:val="00D71EA5"/>
    <w:rsid w:val="00D73A88"/>
    <w:rsid w:val="00D75018"/>
    <w:rsid w:val="00D76136"/>
    <w:rsid w:val="00D76CF9"/>
    <w:rsid w:val="00D81BC3"/>
    <w:rsid w:val="00D8297D"/>
    <w:rsid w:val="00D82ED3"/>
    <w:rsid w:val="00D82F83"/>
    <w:rsid w:val="00D91134"/>
    <w:rsid w:val="00D92649"/>
    <w:rsid w:val="00D93A23"/>
    <w:rsid w:val="00D941F1"/>
    <w:rsid w:val="00D942A5"/>
    <w:rsid w:val="00D95E26"/>
    <w:rsid w:val="00D96168"/>
    <w:rsid w:val="00D970FC"/>
    <w:rsid w:val="00D97F8A"/>
    <w:rsid w:val="00DA18BA"/>
    <w:rsid w:val="00DA2372"/>
    <w:rsid w:val="00DA36F9"/>
    <w:rsid w:val="00DA387D"/>
    <w:rsid w:val="00DA40FD"/>
    <w:rsid w:val="00DA4590"/>
    <w:rsid w:val="00DB074D"/>
    <w:rsid w:val="00DB0EFC"/>
    <w:rsid w:val="00DB1038"/>
    <w:rsid w:val="00DB12B8"/>
    <w:rsid w:val="00DB1637"/>
    <w:rsid w:val="00DB1B2A"/>
    <w:rsid w:val="00DB2F65"/>
    <w:rsid w:val="00DB3EB7"/>
    <w:rsid w:val="00DB4752"/>
    <w:rsid w:val="00DB47AE"/>
    <w:rsid w:val="00DB4FD9"/>
    <w:rsid w:val="00DB55ED"/>
    <w:rsid w:val="00DB5AB5"/>
    <w:rsid w:val="00DC193D"/>
    <w:rsid w:val="00DC2B76"/>
    <w:rsid w:val="00DC2C51"/>
    <w:rsid w:val="00DC5564"/>
    <w:rsid w:val="00DC5C74"/>
    <w:rsid w:val="00DC6D01"/>
    <w:rsid w:val="00DD0217"/>
    <w:rsid w:val="00DD036F"/>
    <w:rsid w:val="00DD205D"/>
    <w:rsid w:val="00DD4880"/>
    <w:rsid w:val="00DD5369"/>
    <w:rsid w:val="00DD5523"/>
    <w:rsid w:val="00DD57F4"/>
    <w:rsid w:val="00DD59AC"/>
    <w:rsid w:val="00DD5B79"/>
    <w:rsid w:val="00DE0876"/>
    <w:rsid w:val="00DE4028"/>
    <w:rsid w:val="00DE4A34"/>
    <w:rsid w:val="00DE61E0"/>
    <w:rsid w:val="00DE7BD1"/>
    <w:rsid w:val="00DE7F8F"/>
    <w:rsid w:val="00DF0F0B"/>
    <w:rsid w:val="00DF2D98"/>
    <w:rsid w:val="00DF3157"/>
    <w:rsid w:val="00DF5E2F"/>
    <w:rsid w:val="00DF6C3E"/>
    <w:rsid w:val="00E00C15"/>
    <w:rsid w:val="00E01DE2"/>
    <w:rsid w:val="00E01EEF"/>
    <w:rsid w:val="00E02FC3"/>
    <w:rsid w:val="00E036B5"/>
    <w:rsid w:val="00E04716"/>
    <w:rsid w:val="00E05329"/>
    <w:rsid w:val="00E05504"/>
    <w:rsid w:val="00E05A5F"/>
    <w:rsid w:val="00E06C66"/>
    <w:rsid w:val="00E073A6"/>
    <w:rsid w:val="00E07A28"/>
    <w:rsid w:val="00E109AE"/>
    <w:rsid w:val="00E168A0"/>
    <w:rsid w:val="00E21B3F"/>
    <w:rsid w:val="00E2276A"/>
    <w:rsid w:val="00E22BCF"/>
    <w:rsid w:val="00E22D57"/>
    <w:rsid w:val="00E23D97"/>
    <w:rsid w:val="00E25468"/>
    <w:rsid w:val="00E272EF"/>
    <w:rsid w:val="00E277F7"/>
    <w:rsid w:val="00E30CCC"/>
    <w:rsid w:val="00E318EE"/>
    <w:rsid w:val="00E33EB1"/>
    <w:rsid w:val="00E35CB5"/>
    <w:rsid w:val="00E377C1"/>
    <w:rsid w:val="00E37994"/>
    <w:rsid w:val="00E37ABA"/>
    <w:rsid w:val="00E40588"/>
    <w:rsid w:val="00E40C90"/>
    <w:rsid w:val="00E40E9A"/>
    <w:rsid w:val="00E449C5"/>
    <w:rsid w:val="00E456D5"/>
    <w:rsid w:val="00E4618C"/>
    <w:rsid w:val="00E46F04"/>
    <w:rsid w:val="00E46FDA"/>
    <w:rsid w:val="00E51098"/>
    <w:rsid w:val="00E538BE"/>
    <w:rsid w:val="00E5566B"/>
    <w:rsid w:val="00E56CE0"/>
    <w:rsid w:val="00E57559"/>
    <w:rsid w:val="00E57CED"/>
    <w:rsid w:val="00E604E2"/>
    <w:rsid w:val="00E610B4"/>
    <w:rsid w:val="00E61716"/>
    <w:rsid w:val="00E61D17"/>
    <w:rsid w:val="00E62170"/>
    <w:rsid w:val="00E627C7"/>
    <w:rsid w:val="00E631CD"/>
    <w:rsid w:val="00E6409E"/>
    <w:rsid w:val="00E6411B"/>
    <w:rsid w:val="00E64613"/>
    <w:rsid w:val="00E663C1"/>
    <w:rsid w:val="00E666C7"/>
    <w:rsid w:val="00E66991"/>
    <w:rsid w:val="00E720EC"/>
    <w:rsid w:val="00E72115"/>
    <w:rsid w:val="00E72269"/>
    <w:rsid w:val="00E722B2"/>
    <w:rsid w:val="00E72DD1"/>
    <w:rsid w:val="00E7344D"/>
    <w:rsid w:val="00E741F2"/>
    <w:rsid w:val="00E74B83"/>
    <w:rsid w:val="00E750F8"/>
    <w:rsid w:val="00E76E0B"/>
    <w:rsid w:val="00E770DE"/>
    <w:rsid w:val="00E77596"/>
    <w:rsid w:val="00E803C3"/>
    <w:rsid w:val="00E81F78"/>
    <w:rsid w:val="00E87B4A"/>
    <w:rsid w:val="00E90519"/>
    <w:rsid w:val="00E933A4"/>
    <w:rsid w:val="00E937CD"/>
    <w:rsid w:val="00E95E03"/>
    <w:rsid w:val="00E96D6F"/>
    <w:rsid w:val="00E9751A"/>
    <w:rsid w:val="00E97A0D"/>
    <w:rsid w:val="00EA0DF1"/>
    <w:rsid w:val="00EA678F"/>
    <w:rsid w:val="00EA7217"/>
    <w:rsid w:val="00EA7842"/>
    <w:rsid w:val="00EB0C71"/>
    <w:rsid w:val="00EB137E"/>
    <w:rsid w:val="00EB3C0B"/>
    <w:rsid w:val="00EB6BAE"/>
    <w:rsid w:val="00EB7642"/>
    <w:rsid w:val="00EB7902"/>
    <w:rsid w:val="00EB7DFD"/>
    <w:rsid w:val="00EB7FB9"/>
    <w:rsid w:val="00EC0E8B"/>
    <w:rsid w:val="00EC1B7B"/>
    <w:rsid w:val="00EC43CB"/>
    <w:rsid w:val="00EC5619"/>
    <w:rsid w:val="00EC56CA"/>
    <w:rsid w:val="00EC7458"/>
    <w:rsid w:val="00EC7B6F"/>
    <w:rsid w:val="00ED0E56"/>
    <w:rsid w:val="00ED51A4"/>
    <w:rsid w:val="00ED6E15"/>
    <w:rsid w:val="00ED71CE"/>
    <w:rsid w:val="00EE10B7"/>
    <w:rsid w:val="00EE13A8"/>
    <w:rsid w:val="00EE1C55"/>
    <w:rsid w:val="00EE1D01"/>
    <w:rsid w:val="00EE28B7"/>
    <w:rsid w:val="00EE3EB8"/>
    <w:rsid w:val="00EE5762"/>
    <w:rsid w:val="00EF0300"/>
    <w:rsid w:val="00EF1C93"/>
    <w:rsid w:val="00EF2C16"/>
    <w:rsid w:val="00EF2C1B"/>
    <w:rsid w:val="00EF4461"/>
    <w:rsid w:val="00EF780D"/>
    <w:rsid w:val="00F019BA"/>
    <w:rsid w:val="00F04900"/>
    <w:rsid w:val="00F10A06"/>
    <w:rsid w:val="00F1121E"/>
    <w:rsid w:val="00F11DAF"/>
    <w:rsid w:val="00F12AA0"/>
    <w:rsid w:val="00F12F4A"/>
    <w:rsid w:val="00F13412"/>
    <w:rsid w:val="00F13AD3"/>
    <w:rsid w:val="00F13B79"/>
    <w:rsid w:val="00F14B8C"/>
    <w:rsid w:val="00F159F0"/>
    <w:rsid w:val="00F15A61"/>
    <w:rsid w:val="00F162CE"/>
    <w:rsid w:val="00F20B0D"/>
    <w:rsid w:val="00F217CF"/>
    <w:rsid w:val="00F2195D"/>
    <w:rsid w:val="00F2225B"/>
    <w:rsid w:val="00F22856"/>
    <w:rsid w:val="00F23F20"/>
    <w:rsid w:val="00F24650"/>
    <w:rsid w:val="00F246FF"/>
    <w:rsid w:val="00F24F67"/>
    <w:rsid w:val="00F259B7"/>
    <w:rsid w:val="00F2771B"/>
    <w:rsid w:val="00F319B7"/>
    <w:rsid w:val="00F3275F"/>
    <w:rsid w:val="00F33992"/>
    <w:rsid w:val="00F3492A"/>
    <w:rsid w:val="00F34FA9"/>
    <w:rsid w:val="00F3747E"/>
    <w:rsid w:val="00F37709"/>
    <w:rsid w:val="00F378E8"/>
    <w:rsid w:val="00F4135E"/>
    <w:rsid w:val="00F41A64"/>
    <w:rsid w:val="00F4214A"/>
    <w:rsid w:val="00F431E2"/>
    <w:rsid w:val="00F4320A"/>
    <w:rsid w:val="00F433B3"/>
    <w:rsid w:val="00F4415A"/>
    <w:rsid w:val="00F4568F"/>
    <w:rsid w:val="00F47593"/>
    <w:rsid w:val="00F47E6F"/>
    <w:rsid w:val="00F508FA"/>
    <w:rsid w:val="00F51261"/>
    <w:rsid w:val="00F51493"/>
    <w:rsid w:val="00F51701"/>
    <w:rsid w:val="00F517C9"/>
    <w:rsid w:val="00F51AC4"/>
    <w:rsid w:val="00F528B9"/>
    <w:rsid w:val="00F538DD"/>
    <w:rsid w:val="00F55ED1"/>
    <w:rsid w:val="00F55FAC"/>
    <w:rsid w:val="00F56130"/>
    <w:rsid w:val="00F56DDC"/>
    <w:rsid w:val="00F609A3"/>
    <w:rsid w:val="00F6174D"/>
    <w:rsid w:val="00F61E73"/>
    <w:rsid w:val="00F6298F"/>
    <w:rsid w:val="00F62FA9"/>
    <w:rsid w:val="00F62FC4"/>
    <w:rsid w:val="00F6335C"/>
    <w:rsid w:val="00F64694"/>
    <w:rsid w:val="00F64C1A"/>
    <w:rsid w:val="00F64C6A"/>
    <w:rsid w:val="00F65B62"/>
    <w:rsid w:val="00F65C8F"/>
    <w:rsid w:val="00F664DD"/>
    <w:rsid w:val="00F665D8"/>
    <w:rsid w:val="00F66C37"/>
    <w:rsid w:val="00F67165"/>
    <w:rsid w:val="00F671C1"/>
    <w:rsid w:val="00F67713"/>
    <w:rsid w:val="00F67D72"/>
    <w:rsid w:val="00F728E2"/>
    <w:rsid w:val="00F73091"/>
    <w:rsid w:val="00F7477F"/>
    <w:rsid w:val="00F74C62"/>
    <w:rsid w:val="00F74F7F"/>
    <w:rsid w:val="00F7736A"/>
    <w:rsid w:val="00F826FF"/>
    <w:rsid w:val="00F83930"/>
    <w:rsid w:val="00F83BD3"/>
    <w:rsid w:val="00F84F20"/>
    <w:rsid w:val="00F8548E"/>
    <w:rsid w:val="00F85EAA"/>
    <w:rsid w:val="00F869DF"/>
    <w:rsid w:val="00F90F73"/>
    <w:rsid w:val="00F9194B"/>
    <w:rsid w:val="00F91BD4"/>
    <w:rsid w:val="00F91E1D"/>
    <w:rsid w:val="00F9344A"/>
    <w:rsid w:val="00F9398C"/>
    <w:rsid w:val="00F95052"/>
    <w:rsid w:val="00FA1332"/>
    <w:rsid w:val="00FA1BAA"/>
    <w:rsid w:val="00FA558C"/>
    <w:rsid w:val="00FA6ED2"/>
    <w:rsid w:val="00FB04F7"/>
    <w:rsid w:val="00FB0C5F"/>
    <w:rsid w:val="00FB4425"/>
    <w:rsid w:val="00FB4469"/>
    <w:rsid w:val="00FB711F"/>
    <w:rsid w:val="00FB7EED"/>
    <w:rsid w:val="00FC16DF"/>
    <w:rsid w:val="00FC1D85"/>
    <w:rsid w:val="00FC3413"/>
    <w:rsid w:val="00FC3D50"/>
    <w:rsid w:val="00FC420F"/>
    <w:rsid w:val="00FC4C61"/>
    <w:rsid w:val="00FC4D77"/>
    <w:rsid w:val="00FC5599"/>
    <w:rsid w:val="00FC5C8D"/>
    <w:rsid w:val="00FC65AF"/>
    <w:rsid w:val="00FD206E"/>
    <w:rsid w:val="00FD2A9B"/>
    <w:rsid w:val="00FD2AC5"/>
    <w:rsid w:val="00FD4981"/>
    <w:rsid w:val="00FD54DA"/>
    <w:rsid w:val="00FD5F9B"/>
    <w:rsid w:val="00FD707A"/>
    <w:rsid w:val="00FE119F"/>
    <w:rsid w:val="00FE39AC"/>
    <w:rsid w:val="00FE6566"/>
    <w:rsid w:val="00FE7385"/>
    <w:rsid w:val="00FF06A8"/>
    <w:rsid w:val="00FF0F78"/>
    <w:rsid w:val="00FF14BB"/>
    <w:rsid w:val="00FF3575"/>
    <w:rsid w:val="00FF3A79"/>
    <w:rsid w:val="00FF5E71"/>
    <w:rsid w:val="00FF5E85"/>
    <w:rsid w:val="00FF6224"/>
    <w:rsid w:val="00FF7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A20E"/>
  <w15:chartTrackingRefBased/>
  <w15:docId w15:val="{D4857C47-E7C3-4745-A22B-2CF565FC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6B8"/>
    <w:pPr>
      <w:spacing w:line="259" w:lineRule="auto"/>
    </w:pPr>
    <w:rPr>
      <w:sz w:val="22"/>
      <w:szCs w:val="22"/>
    </w:rPr>
  </w:style>
  <w:style w:type="paragraph" w:styleId="Heading1">
    <w:name w:val="heading 1"/>
    <w:basedOn w:val="Normal"/>
    <w:next w:val="Normal"/>
    <w:link w:val="Heading1Char"/>
    <w:uiPriority w:val="9"/>
    <w:qFormat/>
    <w:rsid w:val="0017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6C0"/>
    <w:pPr>
      <w:keepNext/>
      <w:keepLines/>
      <w:spacing w:before="160" w:after="80"/>
      <w:outlineLvl w:val="1"/>
    </w:pPr>
    <w:rPr>
      <w:rFonts w:ascii="Times New Roman" w:eastAsiaTheme="majorEastAsia" w:hAnsi="Times New Roman" w:cstheme="majorBidi"/>
      <w:color w:val="C00000"/>
      <w:sz w:val="32"/>
      <w:szCs w:val="32"/>
    </w:rPr>
  </w:style>
  <w:style w:type="paragraph" w:styleId="Heading3">
    <w:name w:val="heading 3"/>
    <w:basedOn w:val="Normal"/>
    <w:next w:val="Normal"/>
    <w:link w:val="Heading3Char"/>
    <w:uiPriority w:val="9"/>
    <w:unhideWhenUsed/>
    <w:qFormat/>
    <w:rsid w:val="00F664DD"/>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17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6C0"/>
    <w:rPr>
      <w:rFonts w:ascii="Times New Roman" w:eastAsiaTheme="majorEastAsia" w:hAnsi="Times New Roman" w:cstheme="majorBidi"/>
      <w:color w:val="C00000"/>
      <w:sz w:val="32"/>
      <w:szCs w:val="32"/>
    </w:rPr>
  </w:style>
  <w:style w:type="character" w:customStyle="1" w:styleId="Heading3Char">
    <w:name w:val="Heading 3 Char"/>
    <w:basedOn w:val="DefaultParagraphFont"/>
    <w:link w:val="Heading3"/>
    <w:uiPriority w:val="9"/>
    <w:rsid w:val="00F664DD"/>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17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21"/>
    <w:rPr>
      <w:rFonts w:eastAsiaTheme="majorEastAsia" w:cstheme="majorBidi"/>
      <w:color w:val="272727" w:themeColor="text1" w:themeTint="D8"/>
    </w:rPr>
  </w:style>
  <w:style w:type="paragraph" w:styleId="Title">
    <w:name w:val="Title"/>
    <w:basedOn w:val="Normal"/>
    <w:next w:val="Normal"/>
    <w:link w:val="TitleChar"/>
    <w:uiPriority w:val="10"/>
    <w:qFormat/>
    <w:rsid w:val="0017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21"/>
    <w:pPr>
      <w:spacing w:before="160"/>
      <w:jc w:val="center"/>
    </w:pPr>
    <w:rPr>
      <w:i/>
      <w:iCs/>
      <w:color w:val="404040" w:themeColor="text1" w:themeTint="BF"/>
    </w:rPr>
  </w:style>
  <w:style w:type="character" w:customStyle="1" w:styleId="QuoteChar">
    <w:name w:val="Quote Char"/>
    <w:basedOn w:val="DefaultParagraphFont"/>
    <w:link w:val="Quote"/>
    <w:uiPriority w:val="29"/>
    <w:rsid w:val="00171D21"/>
    <w:rPr>
      <w:i/>
      <w:iCs/>
      <w:color w:val="404040" w:themeColor="text1" w:themeTint="BF"/>
    </w:rPr>
  </w:style>
  <w:style w:type="paragraph" w:styleId="ListParagraph">
    <w:name w:val="List Paragraph"/>
    <w:basedOn w:val="Normal"/>
    <w:uiPriority w:val="34"/>
    <w:qFormat/>
    <w:rsid w:val="00171D21"/>
    <w:pPr>
      <w:ind w:left="720"/>
      <w:contextualSpacing/>
    </w:pPr>
  </w:style>
  <w:style w:type="character" w:styleId="IntenseEmphasis">
    <w:name w:val="Intense Emphasis"/>
    <w:basedOn w:val="DefaultParagraphFont"/>
    <w:uiPriority w:val="21"/>
    <w:qFormat/>
    <w:rsid w:val="00171D21"/>
    <w:rPr>
      <w:i/>
      <w:iCs/>
      <w:color w:val="0F4761" w:themeColor="accent1" w:themeShade="BF"/>
    </w:rPr>
  </w:style>
  <w:style w:type="paragraph" w:styleId="IntenseQuote">
    <w:name w:val="Intense Quote"/>
    <w:basedOn w:val="Normal"/>
    <w:next w:val="Normal"/>
    <w:link w:val="IntenseQuoteChar"/>
    <w:uiPriority w:val="30"/>
    <w:qFormat/>
    <w:rsid w:val="0017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D21"/>
    <w:rPr>
      <w:i/>
      <w:iCs/>
      <w:color w:val="0F4761" w:themeColor="accent1" w:themeShade="BF"/>
    </w:rPr>
  </w:style>
  <w:style w:type="character" w:styleId="IntenseReference">
    <w:name w:val="Intense Reference"/>
    <w:basedOn w:val="DefaultParagraphFont"/>
    <w:uiPriority w:val="32"/>
    <w:qFormat/>
    <w:rsid w:val="00171D21"/>
    <w:rPr>
      <w:b/>
      <w:bCs/>
      <w:smallCaps/>
      <w:color w:val="0F4761" w:themeColor="accent1" w:themeShade="BF"/>
      <w:spacing w:val="5"/>
    </w:rPr>
  </w:style>
  <w:style w:type="paragraph" w:styleId="NormalWeb">
    <w:name w:val="Normal (Web)"/>
    <w:basedOn w:val="Normal"/>
    <w:uiPriority w:val="99"/>
    <w:semiHidden/>
    <w:unhideWhenUsed/>
    <w:rsid w:val="00BD3631"/>
    <w:rPr>
      <w:rFonts w:ascii="Times New Roman" w:hAnsi="Times New Roman" w:cs="Times New Roman"/>
      <w:sz w:val="24"/>
      <w:szCs w:val="24"/>
    </w:rPr>
  </w:style>
  <w:style w:type="character" w:styleId="Hyperlink">
    <w:name w:val="Hyperlink"/>
    <w:basedOn w:val="DefaultParagraphFont"/>
    <w:uiPriority w:val="99"/>
    <w:unhideWhenUsed/>
    <w:rsid w:val="00CD5487"/>
    <w:rPr>
      <w:color w:val="467886" w:themeColor="hyperlink"/>
      <w:u w:val="single"/>
    </w:rPr>
  </w:style>
  <w:style w:type="character" w:styleId="UnresolvedMention">
    <w:name w:val="Unresolved Mention"/>
    <w:basedOn w:val="DefaultParagraphFont"/>
    <w:uiPriority w:val="99"/>
    <w:semiHidden/>
    <w:unhideWhenUsed/>
    <w:rsid w:val="00CD5487"/>
    <w:rPr>
      <w:color w:val="605E5C"/>
      <w:shd w:val="clear" w:color="auto" w:fill="E1DFDD"/>
    </w:rPr>
  </w:style>
  <w:style w:type="paragraph" w:styleId="Bibliography">
    <w:name w:val="Bibliography"/>
    <w:basedOn w:val="Normal"/>
    <w:next w:val="Normal"/>
    <w:uiPriority w:val="37"/>
    <w:unhideWhenUsed/>
    <w:rsid w:val="00632F34"/>
    <w:pPr>
      <w:tabs>
        <w:tab w:val="left" w:pos="264"/>
      </w:tabs>
      <w:spacing w:after="240" w:line="240" w:lineRule="auto"/>
      <w:ind w:left="264" w:hanging="264"/>
    </w:pPr>
  </w:style>
  <w:style w:type="table" w:styleId="TableGrid">
    <w:name w:val="Table Grid"/>
    <w:basedOn w:val="TableNormal"/>
    <w:uiPriority w:val="39"/>
    <w:rsid w:val="00D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647"/>
    <w:rPr>
      <w:sz w:val="22"/>
      <w:szCs w:val="22"/>
    </w:rPr>
  </w:style>
  <w:style w:type="paragraph" w:styleId="Footer">
    <w:name w:val="footer"/>
    <w:basedOn w:val="Normal"/>
    <w:link w:val="FooterChar"/>
    <w:uiPriority w:val="99"/>
    <w:unhideWhenUsed/>
    <w:rsid w:val="00162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647"/>
    <w:rPr>
      <w:sz w:val="22"/>
      <w:szCs w:val="22"/>
    </w:rPr>
  </w:style>
  <w:style w:type="character" w:styleId="PlaceholderText">
    <w:name w:val="Placeholder Text"/>
    <w:basedOn w:val="DefaultParagraphFont"/>
    <w:uiPriority w:val="99"/>
    <w:semiHidden/>
    <w:rsid w:val="005E0308"/>
    <w:rPr>
      <w:color w:val="666666"/>
    </w:rPr>
  </w:style>
  <w:style w:type="paragraph" w:styleId="NoSpacing">
    <w:name w:val="No Spacing"/>
    <w:uiPriority w:val="1"/>
    <w:qFormat/>
    <w:rsid w:val="0068545F"/>
    <w:pPr>
      <w:spacing w:after="0" w:line="240" w:lineRule="auto"/>
      <w:ind w:firstLine="360"/>
      <w:jc w:val="both"/>
    </w:pPr>
    <w:rPr>
      <w:rFonts w:ascii="Arial" w:hAnsi="Arial"/>
      <w:sz w:val="22"/>
    </w:rPr>
  </w:style>
  <w:style w:type="character" w:styleId="CommentReference">
    <w:name w:val="annotation reference"/>
    <w:basedOn w:val="DefaultParagraphFont"/>
    <w:uiPriority w:val="99"/>
    <w:semiHidden/>
    <w:unhideWhenUsed/>
    <w:rsid w:val="00FC3D50"/>
    <w:rPr>
      <w:sz w:val="16"/>
      <w:szCs w:val="16"/>
    </w:rPr>
  </w:style>
  <w:style w:type="paragraph" w:styleId="CommentText">
    <w:name w:val="annotation text"/>
    <w:basedOn w:val="Normal"/>
    <w:link w:val="CommentTextChar"/>
    <w:uiPriority w:val="99"/>
    <w:unhideWhenUsed/>
    <w:rsid w:val="00FC3D50"/>
    <w:pPr>
      <w:spacing w:line="240" w:lineRule="auto"/>
    </w:pPr>
    <w:rPr>
      <w:sz w:val="20"/>
      <w:szCs w:val="20"/>
    </w:rPr>
  </w:style>
  <w:style w:type="character" w:customStyle="1" w:styleId="CommentTextChar">
    <w:name w:val="Comment Text Char"/>
    <w:basedOn w:val="DefaultParagraphFont"/>
    <w:link w:val="CommentText"/>
    <w:uiPriority w:val="99"/>
    <w:rsid w:val="00FC3D50"/>
    <w:rPr>
      <w:sz w:val="20"/>
      <w:szCs w:val="20"/>
    </w:rPr>
  </w:style>
  <w:style w:type="paragraph" w:styleId="CommentSubject">
    <w:name w:val="annotation subject"/>
    <w:basedOn w:val="CommentText"/>
    <w:next w:val="CommentText"/>
    <w:link w:val="CommentSubjectChar"/>
    <w:uiPriority w:val="99"/>
    <w:semiHidden/>
    <w:unhideWhenUsed/>
    <w:rsid w:val="00FC3D50"/>
    <w:rPr>
      <w:b/>
      <w:bCs/>
    </w:rPr>
  </w:style>
  <w:style w:type="character" w:customStyle="1" w:styleId="CommentSubjectChar">
    <w:name w:val="Comment Subject Char"/>
    <w:basedOn w:val="CommentTextChar"/>
    <w:link w:val="CommentSubject"/>
    <w:uiPriority w:val="99"/>
    <w:semiHidden/>
    <w:rsid w:val="00FC3D50"/>
    <w:rPr>
      <w:b/>
      <w:bCs/>
      <w:sz w:val="20"/>
      <w:szCs w:val="20"/>
    </w:rPr>
  </w:style>
  <w:style w:type="paragraph" w:styleId="Revision">
    <w:name w:val="Revision"/>
    <w:hidden/>
    <w:uiPriority w:val="99"/>
    <w:semiHidden/>
    <w:rsid w:val="0097348A"/>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4509">
      <w:bodyDiv w:val="1"/>
      <w:marLeft w:val="0"/>
      <w:marRight w:val="0"/>
      <w:marTop w:val="0"/>
      <w:marBottom w:val="0"/>
      <w:divBdr>
        <w:top w:val="none" w:sz="0" w:space="0" w:color="auto"/>
        <w:left w:val="none" w:sz="0" w:space="0" w:color="auto"/>
        <w:bottom w:val="none" w:sz="0" w:space="0" w:color="auto"/>
        <w:right w:val="none" w:sz="0" w:space="0" w:color="auto"/>
      </w:divBdr>
    </w:div>
    <w:div w:id="365369898">
      <w:bodyDiv w:val="1"/>
      <w:marLeft w:val="0"/>
      <w:marRight w:val="0"/>
      <w:marTop w:val="0"/>
      <w:marBottom w:val="0"/>
      <w:divBdr>
        <w:top w:val="none" w:sz="0" w:space="0" w:color="auto"/>
        <w:left w:val="none" w:sz="0" w:space="0" w:color="auto"/>
        <w:bottom w:val="none" w:sz="0" w:space="0" w:color="auto"/>
        <w:right w:val="none" w:sz="0" w:space="0" w:color="auto"/>
      </w:divBdr>
    </w:div>
    <w:div w:id="390275759">
      <w:bodyDiv w:val="1"/>
      <w:marLeft w:val="0"/>
      <w:marRight w:val="0"/>
      <w:marTop w:val="0"/>
      <w:marBottom w:val="0"/>
      <w:divBdr>
        <w:top w:val="none" w:sz="0" w:space="0" w:color="auto"/>
        <w:left w:val="none" w:sz="0" w:space="0" w:color="auto"/>
        <w:bottom w:val="none" w:sz="0" w:space="0" w:color="auto"/>
        <w:right w:val="none" w:sz="0" w:space="0" w:color="auto"/>
      </w:divBdr>
    </w:div>
    <w:div w:id="521431566">
      <w:bodyDiv w:val="1"/>
      <w:marLeft w:val="0"/>
      <w:marRight w:val="0"/>
      <w:marTop w:val="0"/>
      <w:marBottom w:val="0"/>
      <w:divBdr>
        <w:top w:val="none" w:sz="0" w:space="0" w:color="auto"/>
        <w:left w:val="none" w:sz="0" w:space="0" w:color="auto"/>
        <w:bottom w:val="none" w:sz="0" w:space="0" w:color="auto"/>
        <w:right w:val="none" w:sz="0" w:space="0" w:color="auto"/>
      </w:divBdr>
    </w:div>
    <w:div w:id="651446776">
      <w:bodyDiv w:val="1"/>
      <w:marLeft w:val="0"/>
      <w:marRight w:val="0"/>
      <w:marTop w:val="0"/>
      <w:marBottom w:val="0"/>
      <w:divBdr>
        <w:top w:val="none" w:sz="0" w:space="0" w:color="auto"/>
        <w:left w:val="none" w:sz="0" w:space="0" w:color="auto"/>
        <w:bottom w:val="none" w:sz="0" w:space="0" w:color="auto"/>
        <w:right w:val="none" w:sz="0" w:space="0" w:color="auto"/>
      </w:divBdr>
      <w:divsChild>
        <w:div w:id="1675108899">
          <w:marLeft w:val="0"/>
          <w:marRight w:val="0"/>
          <w:marTop w:val="0"/>
          <w:marBottom w:val="0"/>
          <w:divBdr>
            <w:top w:val="none" w:sz="0" w:space="0" w:color="auto"/>
            <w:left w:val="none" w:sz="0" w:space="0" w:color="auto"/>
            <w:bottom w:val="none" w:sz="0" w:space="0" w:color="auto"/>
            <w:right w:val="none" w:sz="0" w:space="0" w:color="auto"/>
          </w:divBdr>
        </w:div>
      </w:divsChild>
    </w:div>
    <w:div w:id="697661104">
      <w:bodyDiv w:val="1"/>
      <w:marLeft w:val="0"/>
      <w:marRight w:val="0"/>
      <w:marTop w:val="0"/>
      <w:marBottom w:val="0"/>
      <w:divBdr>
        <w:top w:val="none" w:sz="0" w:space="0" w:color="auto"/>
        <w:left w:val="none" w:sz="0" w:space="0" w:color="auto"/>
        <w:bottom w:val="none" w:sz="0" w:space="0" w:color="auto"/>
        <w:right w:val="none" w:sz="0" w:space="0" w:color="auto"/>
      </w:divBdr>
    </w:div>
    <w:div w:id="747726092">
      <w:bodyDiv w:val="1"/>
      <w:marLeft w:val="0"/>
      <w:marRight w:val="0"/>
      <w:marTop w:val="0"/>
      <w:marBottom w:val="0"/>
      <w:divBdr>
        <w:top w:val="none" w:sz="0" w:space="0" w:color="auto"/>
        <w:left w:val="none" w:sz="0" w:space="0" w:color="auto"/>
        <w:bottom w:val="none" w:sz="0" w:space="0" w:color="auto"/>
        <w:right w:val="none" w:sz="0" w:space="0" w:color="auto"/>
      </w:divBdr>
    </w:div>
    <w:div w:id="889071722">
      <w:bodyDiv w:val="1"/>
      <w:marLeft w:val="0"/>
      <w:marRight w:val="0"/>
      <w:marTop w:val="0"/>
      <w:marBottom w:val="0"/>
      <w:divBdr>
        <w:top w:val="none" w:sz="0" w:space="0" w:color="auto"/>
        <w:left w:val="none" w:sz="0" w:space="0" w:color="auto"/>
        <w:bottom w:val="none" w:sz="0" w:space="0" w:color="auto"/>
        <w:right w:val="none" w:sz="0" w:space="0" w:color="auto"/>
      </w:divBdr>
      <w:divsChild>
        <w:div w:id="37557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8614">
      <w:bodyDiv w:val="1"/>
      <w:marLeft w:val="0"/>
      <w:marRight w:val="0"/>
      <w:marTop w:val="0"/>
      <w:marBottom w:val="0"/>
      <w:divBdr>
        <w:top w:val="none" w:sz="0" w:space="0" w:color="auto"/>
        <w:left w:val="none" w:sz="0" w:space="0" w:color="auto"/>
        <w:bottom w:val="none" w:sz="0" w:space="0" w:color="auto"/>
        <w:right w:val="none" w:sz="0" w:space="0" w:color="auto"/>
      </w:divBdr>
    </w:div>
    <w:div w:id="1171720599">
      <w:bodyDiv w:val="1"/>
      <w:marLeft w:val="0"/>
      <w:marRight w:val="0"/>
      <w:marTop w:val="0"/>
      <w:marBottom w:val="0"/>
      <w:divBdr>
        <w:top w:val="none" w:sz="0" w:space="0" w:color="auto"/>
        <w:left w:val="none" w:sz="0" w:space="0" w:color="auto"/>
        <w:bottom w:val="none" w:sz="0" w:space="0" w:color="auto"/>
        <w:right w:val="none" w:sz="0" w:space="0" w:color="auto"/>
      </w:divBdr>
    </w:div>
    <w:div w:id="1232547373">
      <w:bodyDiv w:val="1"/>
      <w:marLeft w:val="0"/>
      <w:marRight w:val="0"/>
      <w:marTop w:val="0"/>
      <w:marBottom w:val="0"/>
      <w:divBdr>
        <w:top w:val="none" w:sz="0" w:space="0" w:color="auto"/>
        <w:left w:val="none" w:sz="0" w:space="0" w:color="auto"/>
        <w:bottom w:val="none" w:sz="0" w:space="0" w:color="auto"/>
        <w:right w:val="none" w:sz="0" w:space="0" w:color="auto"/>
      </w:divBdr>
    </w:div>
    <w:div w:id="1265922465">
      <w:bodyDiv w:val="1"/>
      <w:marLeft w:val="0"/>
      <w:marRight w:val="0"/>
      <w:marTop w:val="0"/>
      <w:marBottom w:val="0"/>
      <w:divBdr>
        <w:top w:val="none" w:sz="0" w:space="0" w:color="auto"/>
        <w:left w:val="none" w:sz="0" w:space="0" w:color="auto"/>
        <w:bottom w:val="none" w:sz="0" w:space="0" w:color="auto"/>
        <w:right w:val="none" w:sz="0" w:space="0" w:color="auto"/>
      </w:divBdr>
    </w:div>
    <w:div w:id="1379549182">
      <w:bodyDiv w:val="1"/>
      <w:marLeft w:val="0"/>
      <w:marRight w:val="0"/>
      <w:marTop w:val="0"/>
      <w:marBottom w:val="0"/>
      <w:divBdr>
        <w:top w:val="none" w:sz="0" w:space="0" w:color="auto"/>
        <w:left w:val="none" w:sz="0" w:space="0" w:color="auto"/>
        <w:bottom w:val="none" w:sz="0" w:space="0" w:color="auto"/>
        <w:right w:val="none" w:sz="0" w:space="0" w:color="auto"/>
      </w:divBdr>
    </w:div>
    <w:div w:id="1404254864">
      <w:bodyDiv w:val="1"/>
      <w:marLeft w:val="0"/>
      <w:marRight w:val="0"/>
      <w:marTop w:val="0"/>
      <w:marBottom w:val="0"/>
      <w:divBdr>
        <w:top w:val="none" w:sz="0" w:space="0" w:color="auto"/>
        <w:left w:val="none" w:sz="0" w:space="0" w:color="auto"/>
        <w:bottom w:val="none" w:sz="0" w:space="0" w:color="auto"/>
        <w:right w:val="none" w:sz="0" w:space="0" w:color="auto"/>
      </w:divBdr>
    </w:div>
    <w:div w:id="1471168079">
      <w:bodyDiv w:val="1"/>
      <w:marLeft w:val="0"/>
      <w:marRight w:val="0"/>
      <w:marTop w:val="0"/>
      <w:marBottom w:val="0"/>
      <w:divBdr>
        <w:top w:val="none" w:sz="0" w:space="0" w:color="auto"/>
        <w:left w:val="none" w:sz="0" w:space="0" w:color="auto"/>
        <w:bottom w:val="none" w:sz="0" w:space="0" w:color="auto"/>
        <w:right w:val="none" w:sz="0" w:space="0" w:color="auto"/>
      </w:divBdr>
    </w:div>
    <w:div w:id="1634671513">
      <w:bodyDiv w:val="1"/>
      <w:marLeft w:val="0"/>
      <w:marRight w:val="0"/>
      <w:marTop w:val="0"/>
      <w:marBottom w:val="0"/>
      <w:divBdr>
        <w:top w:val="none" w:sz="0" w:space="0" w:color="auto"/>
        <w:left w:val="none" w:sz="0" w:space="0" w:color="auto"/>
        <w:bottom w:val="none" w:sz="0" w:space="0" w:color="auto"/>
        <w:right w:val="none" w:sz="0" w:space="0" w:color="auto"/>
      </w:divBdr>
      <w:divsChild>
        <w:div w:id="75252109">
          <w:marLeft w:val="0"/>
          <w:marRight w:val="0"/>
          <w:marTop w:val="0"/>
          <w:marBottom w:val="0"/>
          <w:divBdr>
            <w:top w:val="none" w:sz="0" w:space="0" w:color="auto"/>
            <w:left w:val="none" w:sz="0" w:space="0" w:color="auto"/>
            <w:bottom w:val="none" w:sz="0" w:space="0" w:color="auto"/>
            <w:right w:val="none" w:sz="0" w:space="0" w:color="auto"/>
          </w:divBdr>
        </w:div>
      </w:divsChild>
    </w:div>
    <w:div w:id="1703968583">
      <w:bodyDiv w:val="1"/>
      <w:marLeft w:val="0"/>
      <w:marRight w:val="0"/>
      <w:marTop w:val="0"/>
      <w:marBottom w:val="0"/>
      <w:divBdr>
        <w:top w:val="none" w:sz="0" w:space="0" w:color="auto"/>
        <w:left w:val="none" w:sz="0" w:space="0" w:color="auto"/>
        <w:bottom w:val="none" w:sz="0" w:space="0" w:color="auto"/>
        <w:right w:val="none" w:sz="0" w:space="0" w:color="auto"/>
      </w:divBdr>
    </w:div>
    <w:div w:id="1709141026">
      <w:bodyDiv w:val="1"/>
      <w:marLeft w:val="0"/>
      <w:marRight w:val="0"/>
      <w:marTop w:val="0"/>
      <w:marBottom w:val="0"/>
      <w:divBdr>
        <w:top w:val="none" w:sz="0" w:space="0" w:color="auto"/>
        <w:left w:val="none" w:sz="0" w:space="0" w:color="auto"/>
        <w:bottom w:val="none" w:sz="0" w:space="0" w:color="auto"/>
        <w:right w:val="none" w:sz="0" w:space="0" w:color="auto"/>
      </w:divBdr>
    </w:div>
    <w:div w:id="1736902007">
      <w:bodyDiv w:val="1"/>
      <w:marLeft w:val="0"/>
      <w:marRight w:val="0"/>
      <w:marTop w:val="0"/>
      <w:marBottom w:val="0"/>
      <w:divBdr>
        <w:top w:val="none" w:sz="0" w:space="0" w:color="auto"/>
        <w:left w:val="none" w:sz="0" w:space="0" w:color="auto"/>
        <w:bottom w:val="none" w:sz="0" w:space="0" w:color="auto"/>
        <w:right w:val="none" w:sz="0" w:space="0" w:color="auto"/>
      </w:divBdr>
    </w:div>
    <w:div w:id="1775133681">
      <w:bodyDiv w:val="1"/>
      <w:marLeft w:val="0"/>
      <w:marRight w:val="0"/>
      <w:marTop w:val="0"/>
      <w:marBottom w:val="0"/>
      <w:divBdr>
        <w:top w:val="none" w:sz="0" w:space="0" w:color="auto"/>
        <w:left w:val="none" w:sz="0" w:space="0" w:color="auto"/>
        <w:bottom w:val="none" w:sz="0" w:space="0" w:color="auto"/>
        <w:right w:val="none" w:sz="0" w:space="0" w:color="auto"/>
      </w:divBdr>
    </w:div>
    <w:div w:id="1953198203">
      <w:bodyDiv w:val="1"/>
      <w:marLeft w:val="0"/>
      <w:marRight w:val="0"/>
      <w:marTop w:val="0"/>
      <w:marBottom w:val="0"/>
      <w:divBdr>
        <w:top w:val="none" w:sz="0" w:space="0" w:color="auto"/>
        <w:left w:val="none" w:sz="0" w:space="0" w:color="auto"/>
        <w:bottom w:val="none" w:sz="0" w:space="0" w:color="auto"/>
        <w:right w:val="none" w:sz="0" w:space="0" w:color="auto"/>
      </w:divBdr>
      <w:divsChild>
        <w:div w:id="2097094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469785">
      <w:bodyDiv w:val="1"/>
      <w:marLeft w:val="0"/>
      <w:marRight w:val="0"/>
      <w:marTop w:val="0"/>
      <w:marBottom w:val="0"/>
      <w:divBdr>
        <w:top w:val="none" w:sz="0" w:space="0" w:color="auto"/>
        <w:left w:val="none" w:sz="0" w:space="0" w:color="auto"/>
        <w:bottom w:val="none" w:sz="0" w:space="0" w:color="auto"/>
        <w:right w:val="none" w:sz="0" w:space="0" w:color="auto"/>
      </w:divBdr>
    </w:div>
    <w:div w:id="2026513587">
      <w:bodyDiv w:val="1"/>
      <w:marLeft w:val="0"/>
      <w:marRight w:val="0"/>
      <w:marTop w:val="0"/>
      <w:marBottom w:val="0"/>
      <w:divBdr>
        <w:top w:val="none" w:sz="0" w:space="0" w:color="auto"/>
        <w:left w:val="none" w:sz="0" w:space="0" w:color="auto"/>
        <w:bottom w:val="none" w:sz="0" w:space="0" w:color="auto"/>
        <w:right w:val="none" w:sz="0" w:space="0" w:color="auto"/>
      </w:divBdr>
    </w:div>
    <w:div w:id="21113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i.chen@yale.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20224</b:Tag>
    <b:SourceType>JournalArticle</b:SourceType>
    <b:Guid>{167ACCAB-21B4-4091-AC89-E626E0E0AE45}</b:Guid>
    <b:Title>2024 Alzheimer's disease facts and figures</b:Title>
    <b:Year>2024</b:Year>
    <b:JournalName>Alzheimers Dement J Alzheimers Assoc</b:JournalName>
    <b:Pages>20(5):3708-3821</b:Pages>
    <b:RefOrder>1</b:RefOrder>
  </b:Source>
</b:Sources>
</file>

<file path=customXml/itemProps1.xml><?xml version="1.0" encoding="utf-8"?>
<ds:datastoreItem xmlns:ds="http://schemas.openxmlformats.org/officeDocument/2006/customXml" ds:itemID="{A4AA42D5-C575-4FB9-BCFA-8A9A5D9B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21</Pages>
  <Words>19603</Words>
  <Characters>111741</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Wei</dc:creator>
  <cp:keywords/>
  <dc:description/>
  <cp:lastModifiedBy>Chen, Xi</cp:lastModifiedBy>
  <cp:revision>83</cp:revision>
  <cp:lastPrinted>2025-07-10T18:40:00Z</cp:lastPrinted>
  <dcterms:created xsi:type="dcterms:W3CDTF">2025-08-14T21:21:00Z</dcterms:created>
  <dcterms:modified xsi:type="dcterms:W3CDTF">2025-09-04T14:00:00Z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id="aKojKDoY"/&gt;&lt;style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