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BC264" w14:textId="77777777" w:rsidR="001634A5" w:rsidRPr="001634A5" w:rsidRDefault="001634A5" w:rsidP="001634A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634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Essay notes:</w:t>
      </w:r>
    </w:p>
    <w:p w14:paraId="1FBD3A4A" w14:textId="77777777" w:rsidR="001634A5" w:rsidRPr="001634A5" w:rsidRDefault="001634A5" w:rsidP="001634A5"/>
    <w:p w14:paraId="3971F90F" w14:textId="77777777" w:rsidR="001634A5" w:rsidRPr="001634A5" w:rsidRDefault="001634A5" w:rsidP="001634A5">
      <w:r w:rsidRPr="001634A5">
        <w:t xml:space="preserve">Intro: </w:t>
      </w:r>
    </w:p>
    <w:p w14:paraId="646C758F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Society has a set hierarchy (Purpose of Playing p. 20, </w:t>
      </w:r>
      <w:r w:rsidRPr="001634A5">
        <w:rPr>
          <w:i/>
          <w:iCs/>
        </w:rPr>
        <w:t>Certain Sermons and Homilies</w:t>
      </w:r>
      <w:r w:rsidRPr="001634A5">
        <w:t xml:space="preserve">) </w:t>
      </w:r>
      <w:sdt>
        <w:sdtPr>
          <w:id w:val="-832678820"/>
          <w:citation/>
        </w:sdtPr>
        <w:sdtContent>
          <w:r w:rsidRPr="001634A5">
            <w:fldChar w:fldCharType="begin"/>
          </w:r>
          <w:r w:rsidRPr="001634A5">
            <w:instrText xml:space="preserve">CITATION Mon96 \p 20 \l 2057 </w:instrText>
          </w:r>
          <w:r w:rsidRPr="001634A5">
            <w:fldChar w:fldCharType="separate"/>
          </w:r>
          <w:r w:rsidRPr="001634A5">
            <w:rPr>
              <w:noProof/>
            </w:rPr>
            <w:t>(Montrose, 1996, p. 20)</w:t>
          </w:r>
          <w:r w:rsidRPr="001634A5">
            <w:fldChar w:fldCharType="end"/>
          </w:r>
        </w:sdtContent>
      </w:sdt>
      <w:r w:rsidRPr="001634A5">
        <w:t xml:space="preserve"> </w:t>
      </w:r>
      <w:sdt>
        <w:sdtPr>
          <w:id w:val="395402983"/>
          <w:citation/>
        </w:sdtPr>
        <w:sdtContent>
          <w:r w:rsidRPr="001634A5">
            <w:fldChar w:fldCharType="begin"/>
          </w:r>
          <w:r w:rsidRPr="001634A5">
            <w:instrText xml:space="preserve"> CITATION Bon87 \l 2057 </w:instrText>
          </w:r>
          <w:r w:rsidRPr="001634A5">
            <w:fldChar w:fldCharType="separate"/>
          </w:r>
          <w:r w:rsidRPr="001634A5">
            <w:rPr>
              <w:noProof/>
            </w:rPr>
            <w:t>(Bond, 1987)</w:t>
          </w:r>
          <w:r w:rsidRPr="001634A5">
            <w:fldChar w:fldCharType="end"/>
          </w:r>
        </w:sdtContent>
      </w:sdt>
    </w:p>
    <w:p w14:paraId="2FE6E93C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 xml:space="preserve">The Sermon reminds them of this because of fluctuating Reformation policies (fluctuating because of changing rulers) </w:t>
      </w:r>
      <w:sdt>
        <w:sdtPr>
          <w:id w:val="1652096303"/>
          <w:citation/>
        </w:sdtPr>
        <w:sdtContent>
          <w:r w:rsidRPr="001634A5">
            <w:fldChar w:fldCharType="begin"/>
          </w:r>
          <w:r w:rsidRPr="001634A5">
            <w:instrText xml:space="preserve"> CITATION Cum16 \l 2057 </w:instrText>
          </w:r>
          <w:r w:rsidRPr="001634A5">
            <w:fldChar w:fldCharType="separate"/>
          </w:r>
          <w:r w:rsidRPr="001634A5">
            <w:rPr>
              <w:noProof/>
            </w:rPr>
            <w:t>(Cummings, 2016)</w:t>
          </w:r>
          <w:r w:rsidRPr="001634A5">
            <w:fldChar w:fldCharType="end"/>
          </w:r>
        </w:sdtContent>
      </w:sdt>
    </w:p>
    <w:p w14:paraId="488E670E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>Theatres performed in “the Liberties”: social diversity, margins of society</w:t>
      </w:r>
    </w:p>
    <w:p w14:paraId="1A147023" w14:textId="77777777" w:rsidR="001634A5" w:rsidRPr="001634A5" w:rsidRDefault="001634A5" w:rsidP="001634A5">
      <w:r w:rsidRPr="001634A5">
        <w:t>Theatre as a voice of the state:</w:t>
      </w:r>
    </w:p>
    <w:p w14:paraId="1D1E9F59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>Minute of City Court of Aldermen, May 20, 1572</w:t>
      </w:r>
    </w:p>
    <w:p w14:paraId="3AD3C863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 xml:space="preserve">“written in the </w:t>
      </w:r>
      <w:proofErr w:type="spellStart"/>
      <w:r w:rsidRPr="001634A5">
        <w:t>favor</w:t>
      </w:r>
      <w:proofErr w:type="spellEnd"/>
      <w:r w:rsidRPr="001634A5">
        <w:t xml:space="preserve"> of </w:t>
      </w:r>
      <w:proofErr w:type="spellStart"/>
      <w:r w:rsidRPr="001634A5">
        <w:t>certein</w:t>
      </w:r>
      <w:proofErr w:type="spellEnd"/>
      <w:r w:rsidRPr="001634A5">
        <w:t xml:space="preserve"> </w:t>
      </w:r>
      <w:proofErr w:type="spellStart"/>
      <w:r w:rsidRPr="001634A5">
        <w:t>persones</w:t>
      </w:r>
      <w:proofErr w:type="spellEnd"/>
      <w:r w:rsidRPr="001634A5">
        <w:t xml:space="preserve"> to </w:t>
      </w:r>
      <w:proofErr w:type="spellStart"/>
      <w:r w:rsidRPr="001634A5">
        <w:t>haue</w:t>
      </w:r>
      <w:proofErr w:type="spellEnd"/>
      <w:r w:rsidRPr="001634A5">
        <w:t xml:space="preserve"> in there </w:t>
      </w:r>
      <w:proofErr w:type="spellStart"/>
      <w:r w:rsidRPr="001634A5">
        <w:t>howses</w:t>
      </w:r>
      <w:proofErr w:type="spellEnd"/>
      <w:r w:rsidRPr="001634A5">
        <w:t xml:space="preserve">, </w:t>
      </w:r>
      <w:proofErr w:type="spellStart"/>
      <w:r w:rsidRPr="001634A5">
        <w:t>yardes</w:t>
      </w:r>
      <w:proofErr w:type="spellEnd"/>
      <w:r w:rsidRPr="001634A5">
        <w:t xml:space="preserve">, or back </w:t>
      </w:r>
      <w:proofErr w:type="spellStart"/>
      <w:r w:rsidRPr="001634A5">
        <w:t>sydes</w:t>
      </w:r>
      <w:proofErr w:type="spellEnd"/>
      <w:r w:rsidRPr="001634A5">
        <w:t xml:space="preserve">, being overt &amp; open places, such </w:t>
      </w:r>
      <w:proofErr w:type="spellStart"/>
      <w:r w:rsidRPr="001634A5">
        <w:t>playes</w:t>
      </w:r>
      <w:proofErr w:type="spellEnd"/>
      <w:r w:rsidRPr="001634A5">
        <w:t xml:space="preserve">, </w:t>
      </w:r>
      <w:proofErr w:type="spellStart"/>
      <w:r w:rsidRPr="001634A5">
        <w:t>enterludes</w:t>
      </w:r>
      <w:proofErr w:type="spellEnd"/>
      <w:r w:rsidRPr="001634A5">
        <w:t xml:space="preserve">, </w:t>
      </w:r>
      <w:proofErr w:type="spellStart"/>
      <w:r w:rsidRPr="001634A5">
        <w:t>commedies</w:t>
      </w:r>
      <w:proofErr w:type="spellEnd"/>
      <w:r w:rsidRPr="001634A5">
        <w:t xml:space="preserve">, &amp; tragedies as </w:t>
      </w:r>
      <w:proofErr w:type="spellStart"/>
      <w:r w:rsidRPr="001634A5">
        <w:t>maye</w:t>
      </w:r>
      <w:proofErr w:type="spellEnd"/>
      <w:r w:rsidRPr="001634A5">
        <w:t xml:space="preserve"> </w:t>
      </w:r>
      <w:proofErr w:type="spellStart"/>
      <w:r w:rsidRPr="001634A5">
        <w:t>tende</w:t>
      </w:r>
      <w:proofErr w:type="spellEnd"/>
      <w:r w:rsidRPr="001634A5">
        <w:t xml:space="preserve"> to </w:t>
      </w:r>
      <w:proofErr w:type="spellStart"/>
      <w:r w:rsidRPr="001634A5">
        <w:t>represse</w:t>
      </w:r>
      <w:proofErr w:type="spellEnd"/>
      <w:r w:rsidRPr="001634A5">
        <w:t xml:space="preserve"> </w:t>
      </w:r>
      <w:proofErr w:type="spellStart"/>
      <w:r w:rsidRPr="001634A5">
        <w:t>vyce</w:t>
      </w:r>
      <w:proofErr w:type="spellEnd"/>
      <w:r w:rsidRPr="001634A5">
        <w:t xml:space="preserve"> &amp; extoll </w:t>
      </w:r>
      <w:proofErr w:type="spellStart"/>
      <w:r w:rsidRPr="001634A5">
        <w:t>vertwe</w:t>
      </w:r>
      <w:proofErr w:type="spellEnd"/>
      <w:r w:rsidRPr="001634A5">
        <w:t xml:space="preserve">, for the </w:t>
      </w:r>
      <w:proofErr w:type="spellStart"/>
      <w:r w:rsidRPr="001634A5">
        <w:t>recreacion</w:t>
      </w:r>
      <w:proofErr w:type="spellEnd"/>
      <w:r w:rsidRPr="001634A5">
        <w:t xml:space="preserve"> of the people, &amp; </w:t>
      </w:r>
      <w:proofErr w:type="spellStart"/>
      <w:r w:rsidRPr="001634A5">
        <w:t>therby</w:t>
      </w:r>
      <w:proofErr w:type="spellEnd"/>
      <w:r w:rsidRPr="001634A5">
        <w:t xml:space="preserve"> to </w:t>
      </w:r>
      <w:proofErr w:type="spellStart"/>
      <w:r w:rsidRPr="001634A5">
        <w:t>drawe</w:t>
      </w:r>
      <w:proofErr w:type="spellEnd"/>
      <w:r w:rsidRPr="001634A5">
        <w:t xml:space="preserve"> them from </w:t>
      </w:r>
      <w:proofErr w:type="spellStart"/>
      <w:r w:rsidRPr="001634A5">
        <w:t>sundrye</w:t>
      </w:r>
      <w:proofErr w:type="spellEnd"/>
      <w:r w:rsidRPr="001634A5">
        <w:t xml:space="preserve"> </w:t>
      </w:r>
      <w:proofErr w:type="spellStart"/>
      <w:r w:rsidRPr="001634A5">
        <w:t>worser</w:t>
      </w:r>
      <w:proofErr w:type="spellEnd"/>
      <w:r w:rsidRPr="001634A5">
        <w:t xml:space="preserve"> </w:t>
      </w:r>
      <w:proofErr w:type="spellStart"/>
      <w:r w:rsidRPr="001634A5">
        <w:t>exercyses</w:t>
      </w:r>
      <w:proofErr w:type="spellEnd"/>
      <w:r w:rsidRPr="001634A5">
        <w:t xml:space="preserve">” </w:t>
      </w:r>
      <w:sdt>
        <w:sdtPr>
          <w:id w:val="-1817481047"/>
          <w:citation/>
        </w:sdtPr>
        <w:sdtContent>
          <w:r w:rsidRPr="001634A5">
            <w:fldChar w:fldCharType="begin"/>
          </w:r>
          <w:r w:rsidRPr="001634A5">
            <w:instrText xml:space="preserve">CITATION Cha23 \p 269 \l 2057 </w:instrText>
          </w:r>
          <w:r w:rsidRPr="001634A5">
            <w:fldChar w:fldCharType="separate"/>
          </w:r>
          <w:r w:rsidRPr="001634A5">
            <w:rPr>
              <w:noProof/>
            </w:rPr>
            <w:t>(Chambers, 1923, p. 269)</w:t>
          </w:r>
          <w:r w:rsidRPr="001634A5">
            <w:fldChar w:fldCharType="end"/>
          </w:r>
        </w:sdtContent>
      </w:sdt>
    </w:p>
    <w:p w14:paraId="69BB5A80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“to teach obedience to the King” </w:t>
      </w:r>
      <w:sdt>
        <w:sdtPr>
          <w:id w:val="-377243261"/>
          <w:citation/>
        </w:sdtPr>
        <w:sdtContent>
          <w:r w:rsidRPr="001634A5">
            <w:fldChar w:fldCharType="begin"/>
          </w:r>
          <w:r w:rsidRPr="001634A5">
            <w:instrText xml:space="preserve"> CITATION Hey12 \l 2057 </w:instrText>
          </w:r>
          <w:r w:rsidRPr="001634A5">
            <w:fldChar w:fldCharType="separate"/>
          </w:r>
          <w:r w:rsidRPr="001634A5">
            <w:rPr>
              <w:noProof/>
            </w:rPr>
            <w:t>(Heywood, 1612)</w:t>
          </w:r>
          <w:r w:rsidRPr="001634A5">
            <w:fldChar w:fldCharType="end"/>
          </w:r>
        </w:sdtContent>
      </w:sdt>
    </w:p>
    <w:p w14:paraId="538BC6DA" w14:textId="77777777" w:rsidR="001634A5" w:rsidRPr="001634A5" w:rsidRDefault="001634A5" w:rsidP="001634A5">
      <w:r w:rsidRPr="001634A5">
        <w:t>Theatre as a representation of the social hierarchy:</w:t>
      </w:r>
    </w:p>
    <w:p w14:paraId="345877AE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“Typically, Shakespeare generates dramatic action by combining conflict grounded in […] ethnicity, lineage, generation, gender, political faction, and social rank.” </w:t>
      </w:r>
      <w:sdt>
        <w:sdtPr>
          <w:id w:val="113725783"/>
          <w:citation/>
        </w:sdtPr>
        <w:sdtContent>
          <w:r w:rsidRPr="001634A5">
            <w:fldChar w:fldCharType="begin"/>
          </w:r>
          <w:r w:rsidRPr="001634A5">
            <w:instrText xml:space="preserve">CITATION Mon96 \p 33 \l 2057 </w:instrText>
          </w:r>
          <w:r w:rsidRPr="001634A5">
            <w:fldChar w:fldCharType="separate"/>
          </w:r>
          <w:r w:rsidRPr="001634A5">
            <w:rPr>
              <w:noProof/>
            </w:rPr>
            <w:t>(Montrose, 1996, p. 33)</w:t>
          </w:r>
          <w:r w:rsidRPr="001634A5">
            <w:fldChar w:fldCharType="end"/>
          </w:r>
        </w:sdtContent>
      </w:sdt>
    </w:p>
    <w:p w14:paraId="40F429EC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“When the margins of society are thus realized on the threshold of the community, shaped into arenas of representation […], part of what is manifested in them will be the vulnerability of the social structure itself.” </w:t>
      </w:r>
      <w:sdt>
        <w:sdtPr>
          <w:id w:val="1191414238"/>
          <w:citation/>
        </w:sdtPr>
        <w:sdtContent>
          <w:r w:rsidRPr="001634A5">
            <w:fldChar w:fldCharType="begin"/>
          </w:r>
          <w:r w:rsidRPr="001634A5">
            <w:instrText xml:space="preserve">CITATION Mul88 \p 38 \l 2057 </w:instrText>
          </w:r>
          <w:r w:rsidRPr="001634A5">
            <w:fldChar w:fldCharType="separate"/>
          </w:r>
          <w:r w:rsidRPr="001634A5">
            <w:rPr>
              <w:noProof/>
            </w:rPr>
            <w:t>(Mullaney, 1988, p. 38)</w:t>
          </w:r>
          <w:r w:rsidRPr="001634A5">
            <w:fldChar w:fldCharType="end"/>
          </w:r>
        </w:sdtContent>
      </w:sdt>
    </w:p>
    <w:p w14:paraId="71F92929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“The popular theatre was a uniquely threatening phenomenon because it was the physical and ideological site of convergence for a panoply of perceived innovations and perversions.” </w:t>
      </w:r>
      <w:sdt>
        <w:sdtPr>
          <w:id w:val="-2030179643"/>
          <w:citation/>
        </w:sdtPr>
        <w:sdtContent>
          <w:r w:rsidRPr="001634A5">
            <w:fldChar w:fldCharType="begin"/>
          </w:r>
          <w:r w:rsidRPr="001634A5">
            <w:instrText xml:space="preserve">CITATION Mon96 \p 35 \l 2057 </w:instrText>
          </w:r>
          <w:r w:rsidRPr="001634A5">
            <w:fldChar w:fldCharType="separate"/>
          </w:r>
          <w:r w:rsidRPr="001634A5">
            <w:rPr>
              <w:noProof/>
            </w:rPr>
            <w:t>(Montrose, 1996, p. 35)</w:t>
          </w:r>
          <w:r w:rsidRPr="001634A5">
            <w:fldChar w:fldCharType="end"/>
          </w:r>
        </w:sdtContent>
      </w:sdt>
    </w:p>
    <w:p w14:paraId="7EACEF58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Hamlet in Shakespeare’s </w:t>
      </w:r>
      <w:r w:rsidRPr="001634A5">
        <w:rPr>
          <w:i/>
          <w:iCs/>
        </w:rPr>
        <w:t>Hamlet</w:t>
      </w:r>
      <w:r w:rsidRPr="001634A5">
        <w:t xml:space="preserve">: “The purpose of playing […] is, to hold </w:t>
      </w:r>
      <w:proofErr w:type="spellStart"/>
      <w:r w:rsidRPr="001634A5">
        <w:t>as’t</w:t>
      </w:r>
      <w:proofErr w:type="spellEnd"/>
      <w:r w:rsidRPr="001634A5">
        <w:t xml:space="preserve"> were the mirror up to nature, to show virtue her feature, scorn her own image, and the very age and body of the time his form and pressure” (</w:t>
      </w:r>
      <w:r w:rsidRPr="001634A5">
        <w:rPr>
          <w:i/>
          <w:iCs/>
        </w:rPr>
        <w:t>Hamlet</w:t>
      </w:r>
      <w:r w:rsidRPr="001634A5">
        <w:t>, 3.2.20-4)</w:t>
      </w:r>
    </w:p>
    <w:p w14:paraId="4B670113" w14:textId="77777777" w:rsidR="001634A5" w:rsidRPr="001634A5" w:rsidRDefault="001634A5" w:rsidP="001634A5">
      <w:r w:rsidRPr="001634A5">
        <w:t>Theatre allowing actors (and audience) to dress differently, change their social status</w:t>
      </w:r>
    </w:p>
    <w:p w14:paraId="49A1045A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>Proteus</w:t>
      </w:r>
    </w:p>
    <w:p w14:paraId="4130D15A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 xml:space="preserve">Edward </w:t>
      </w:r>
      <w:proofErr w:type="spellStart"/>
      <w:r w:rsidRPr="001634A5">
        <w:t>Alleyn</w:t>
      </w:r>
      <w:proofErr w:type="spellEnd"/>
      <w:r w:rsidRPr="001634A5">
        <w:t xml:space="preserve"> was remembered by Thomas Heywood as “Proteus for shapes” </w:t>
      </w:r>
      <w:sdt>
        <w:sdtPr>
          <w:id w:val="1610161429"/>
          <w:citation/>
        </w:sdtPr>
        <w:sdtContent>
          <w:r w:rsidRPr="001634A5">
            <w:fldChar w:fldCharType="begin"/>
          </w:r>
          <w:r w:rsidRPr="001634A5">
            <w:instrText xml:space="preserve">CITATION Hey33 \l 2057 </w:instrText>
          </w:r>
          <w:r w:rsidRPr="001634A5">
            <w:fldChar w:fldCharType="separate"/>
          </w:r>
          <w:r w:rsidRPr="001634A5">
            <w:rPr>
              <w:noProof/>
            </w:rPr>
            <w:t>(Heywood, 1633)</w:t>
          </w:r>
          <w:r w:rsidRPr="001634A5">
            <w:fldChar w:fldCharType="end"/>
          </w:r>
        </w:sdtContent>
      </w:sdt>
    </w:p>
    <w:p w14:paraId="08DC4FAD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 xml:space="preserve">Richard Burbage was remembered by Richard </w:t>
      </w:r>
      <w:proofErr w:type="spellStart"/>
      <w:r w:rsidRPr="001634A5">
        <w:t>Flecknoe</w:t>
      </w:r>
      <w:proofErr w:type="spellEnd"/>
      <w:r w:rsidRPr="001634A5">
        <w:t xml:space="preserve"> as “a delightful Proteus” </w:t>
      </w:r>
      <w:sdt>
        <w:sdtPr>
          <w:id w:val="1636366788"/>
          <w:citation/>
        </w:sdtPr>
        <w:sdtContent>
          <w:r w:rsidRPr="001634A5">
            <w:fldChar w:fldCharType="begin"/>
          </w:r>
          <w:r w:rsidRPr="001634A5">
            <w:instrText xml:space="preserve"> CITATION Fle64 \l 2057 </w:instrText>
          </w:r>
          <w:r w:rsidRPr="001634A5">
            <w:fldChar w:fldCharType="separate"/>
          </w:r>
          <w:r w:rsidRPr="001634A5">
            <w:rPr>
              <w:noProof/>
            </w:rPr>
            <w:t>(Flecknoe, 1664)</w:t>
          </w:r>
          <w:r w:rsidRPr="001634A5">
            <w:fldChar w:fldCharType="end"/>
          </w:r>
        </w:sdtContent>
      </w:sdt>
    </w:p>
    <w:p w14:paraId="06E95B7F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>Actors jumping between social classes in performances may inspire the audience to challenge the social hierarchy</w:t>
      </w:r>
    </w:p>
    <w:p w14:paraId="4167BABA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>Epicoene</w:t>
      </w:r>
    </w:p>
    <w:p w14:paraId="43735620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>The Silent Woman being a man, gender roles</w:t>
      </w:r>
    </w:p>
    <w:p w14:paraId="3ABBDA53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>Two gentlemen acting as lawyers</w:t>
      </w:r>
    </w:p>
    <w:p w14:paraId="53B36DAE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>Final speech addressing audience, linking the play to reality</w:t>
      </w:r>
    </w:p>
    <w:p w14:paraId="258389A6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>Edward II</w:t>
      </w:r>
    </w:p>
    <w:p w14:paraId="42446C30" w14:textId="77777777" w:rsidR="001634A5" w:rsidRPr="001634A5" w:rsidRDefault="001634A5" w:rsidP="001634A5">
      <w:r w:rsidRPr="001634A5">
        <w:t>Theatre as an authority:</w:t>
      </w:r>
    </w:p>
    <w:p w14:paraId="55F740D5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lastRenderedPageBreak/>
        <w:t xml:space="preserve">“God </w:t>
      </w:r>
      <w:proofErr w:type="spellStart"/>
      <w:r w:rsidRPr="001634A5">
        <w:t>onely</w:t>
      </w:r>
      <w:proofErr w:type="spellEnd"/>
      <w:r w:rsidRPr="001634A5">
        <w:t xml:space="preserve"> gave authority of </w:t>
      </w:r>
      <w:proofErr w:type="spellStart"/>
      <w:r w:rsidRPr="001634A5">
        <w:t>publique</w:t>
      </w:r>
      <w:proofErr w:type="spellEnd"/>
      <w:r w:rsidRPr="001634A5">
        <w:t xml:space="preserve"> instruction and correction but to two sorts of men: to his </w:t>
      </w:r>
      <w:proofErr w:type="spellStart"/>
      <w:r w:rsidRPr="001634A5">
        <w:t>Ecclesiasticall</w:t>
      </w:r>
      <w:proofErr w:type="spellEnd"/>
      <w:r w:rsidRPr="001634A5">
        <w:t xml:space="preserve"> Ministers, and temporal Magistrates: </w:t>
      </w:r>
      <w:proofErr w:type="spellStart"/>
      <w:r w:rsidRPr="001634A5">
        <w:t>hee</w:t>
      </w:r>
      <w:proofErr w:type="spellEnd"/>
      <w:r w:rsidRPr="001634A5">
        <w:t xml:space="preserve"> never instituted a third authority of Players” </w:t>
      </w:r>
      <w:sdt>
        <w:sdtPr>
          <w:id w:val="22137705"/>
          <w:citation/>
        </w:sdtPr>
        <w:sdtContent>
          <w:r w:rsidRPr="001634A5">
            <w:fldChar w:fldCharType="begin"/>
          </w:r>
          <w:r w:rsidRPr="001634A5">
            <w:instrText xml:space="preserve"> CITATION GIG15 \l 2057 </w:instrText>
          </w:r>
          <w:r w:rsidRPr="001634A5">
            <w:fldChar w:fldCharType="separate"/>
          </w:r>
          <w:r w:rsidRPr="001634A5">
            <w:rPr>
              <w:noProof/>
            </w:rPr>
            <w:t>(G., 1615)</w:t>
          </w:r>
          <w:r w:rsidRPr="001634A5">
            <w:fldChar w:fldCharType="end"/>
          </w:r>
        </w:sdtContent>
      </w:sdt>
    </w:p>
    <w:p w14:paraId="097F0B97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 xml:space="preserve">Theatre was seen by critics as influential enough to criticise and condemn  </w:t>
      </w:r>
    </w:p>
    <w:p w14:paraId="69EC5C05" w14:textId="77777777" w:rsidR="001634A5" w:rsidRPr="001634A5" w:rsidRDefault="001634A5" w:rsidP="001634A5">
      <w:r w:rsidRPr="001634A5">
        <w:t>Edward II:</w:t>
      </w:r>
    </w:p>
    <w:p w14:paraId="2B93268D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>King as an imperfect being</w:t>
      </w:r>
    </w:p>
    <w:p w14:paraId="473AB6EE" w14:textId="77777777" w:rsidR="001634A5" w:rsidRPr="001634A5" w:rsidRDefault="001634A5" w:rsidP="001634A5">
      <w:pPr>
        <w:numPr>
          <w:ilvl w:val="1"/>
          <w:numId w:val="1"/>
        </w:numPr>
        <w:contextualSpacing/>
      </w:pPr>
      <w:r w:rsidRPr="001634A5">
        <w:t>Prioritises relationship more than royal responsibilities</w:t>
      </w:r>
    </w:p>
    <w:p w14:paraId="32889BC8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Who is the rightful ruler: the church or the state? </w:t>
      </w:r>
      <w:sdt>
        <w:sdtPr>
          <w:id w:val="-1915389951"/>
          <w:citation/>
        </w:sdtPr>
        <w:sdtContent>
          <w:r w:rsidRPr="001634A5">
            <w:fldChar w:fldCharType="begin"/>
          </w:r>
          <w:r w:rsidRPr="001634A5">
            <w:instrText xml:space="preserve">CITATION Whi04 \p 80 \l 2057 </w:instrText>
          </w:r>
          <w:r w:rsidRPr="001634A5">
            <w:fldChar w:fldCharType="separate"/>
          </w:r>
          <w:r w:rsidRPr="001634A5">
            <w:rPr>
              <w:noProof/>
            </w:rPr>
            <w:t>(White, 2004, p. 80)</w:t>
          </w:r>
          <w:r w:rsidRPr="001634A5">
            <w:fldChar w:fldCharType="end"/>
          </w:r>
        </w:sdtContent>
      </w:sdt>
    </w:p>
    <w:p w14:paraId="3DCD20E5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 xml:space="preserve">Freedom of sexuality </w:t>
      </w:r>
      <w:sdt>
        <w:sdtPr>
          <w:id w:val="-690618419"/>
          <w:citation/>
        </w:sdtPr>
        <w:sdtContent>
          <w:r w:rsidRPr="001634A5">
            <w:fldChar w:fldCharType="begin"/>
          </w:r>
          <w:r w:rsidRPr="001634A5">
            <w:instrText xml:space="preserve">CITATION Whi04 \p 84-85 \l 2057 </w:instrText>
          </w:r>
          <w:r w:rsidRPr="001634A5">
            <w:fldChar w:fldCharType="separate"/>
          </w:r>
          <w:r w:rsidRPr="001634A5">
            <w:rPr>
              <w:noProof/>
            </w:rPr>
            <w:t>(White, 2004, pp. 84-85)</w:t>
          </w:r>
          <w:r w:rsidRPr="001634A5">
            <w:fldChar w:fldCharType="end"/>
          </w:r>
        </w:sdtContent>
      </w:sdt>
    </w:p>
    <w:p w14:paraId="0173D7D9" w14:textId="77777777" w:rsidR="001634A5" w:rsidRPr="001634A5" w:rsidRDefault="001634A5" w:rsidP="001634A5">
      <w:r w:rsidRPr="001634A5">
        <w:t>Epicoene:</w:t>
      </w:r>
    </w:p>
    <w:p w14:paraId="542C4D76" w14:textId="77777777" w:rsidR="001634A5" w:rsidRPr="001634A5" w:rsidRDefault="001634A5" w:rsidP="001634A5">
      <w:pPr>
        <w:numPr>
          <w:ilvl w:val="0"/>
          <w:numId w:val="1"/>
        </w:numPr>
        <w:contextualSpacing/>
      </w:pPr>
      <w:r w:rsidRPr="001634A5">
        <w:t>.</w:t>
      </w:r>
    </w:p>
    <w:p w14:paraId="42A49976" w14:textId="77777777" w:rsidR="001634A5" w:rsidRPr="001634A5" w:rsidRDefault="001634A5" w:rsidP="001634A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634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Notes:</w:t>
      </w:r>
    </w:p>
    <w:p w14:paraId="3FA010E5" w14:textId="77777777" w:rsidR="001634A5" w:rsidRPr="001634A5" w:rsidRDefault="001634A5" w:rsidP="001634A5">
      <w:r w:rsidRPr="001634A5">
        <w:t>Balance of context and text analysis</w:t>
      </w:r>
    </w:p>
    <w:p w14:paraId="7AB4F08A" w14:textId="77777777" w:rsidR="001634A5" w:rsidRPr="001634A5" w:rsidRDefault="001634A5" w:rsidP="001634A5">
      <w:r w:rsidRPr="001634A5">
        <w:t>Signposts to reader</w:t>
      </w:r>
    </w:p>
    <w:p w14:paraId="0A7CC5B0" w14:textId="77777777" w:rsidR="001634A5" w:rsidRPr="001634A5" w:rsidRDefault="001634A5" w:rsidP="001634A5"/>
    <w:p w14:paraId="6FB8A59C" w14:textId="77777777" w:rsidR="001634A5" w:rsidRPr="001634A5" w:rsidRDefault="001634A5" w:rsidP="001634A5"/>
    <w:p w14:paraId="19B6461D" w14:textId="77777777" w:rsidR="001634A5" w:rsidRPr="001634A5" w:rsidRDefault="001634A5" w:rsidP="001634A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634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Plan:</w:t>
      </w:r>
    </w:p>
    <w:p w14:paraId="00AC8481" w14:textId="77777777" w:rsidR="001634A5" w:rsidRPr="001634A5" w:rsidRDefault="001634A5" w:rsidP="001634A5"/>
    <w:p w14:paraId="756404A7" w14:textId="77777777" w:rsidR="001634A5" w:rsidRPr="001634A5" w:rsidRDefault="001634A5" w:rsidP="001634A5">
      <w:pPr>
        <w:numPr>
          <w:ilvl w:val="0"/>
          <w:numId w:val="2"/>
        </w:numPr>
        <w:contextualSpacing/>
      </w:pPr>
      <w:r w:rsidRPr="001634A5">
        <w:t>Intro</w:t>
      </w:r>
    </w:p>
    <w:p w14:paraId="191378ED" w14:textId="77777777" w:rsidR="001634A5" w:rsidRPr="001634A5" w:rsidRDefault="001634A5" w:rsidP="001634A5">
      <w:pPr>
        <w:numPr>
          <w:ilvl w:val="0"/>
          <w:numId w:val="2"/>
        </w:numPr>
        <w:contextualSpacing/>
      </w:pPr>
      <w:r w:rsidRPr="001634A5">
        <w:t>Context – Early Modern England as a set society</w:t>
      </w:r>
    </w:p>
    <w:p w14:paraId="1B12DDAA" w14:textId="77777777" w:rsidR="001634A5" w:rsidRPr="001634A5" w:rsidRDefault="001634A5" w:rsidP="001634A5">
      <w:pPr>
        <w:numPr>
          <w:ilvl w:val="0"/>
          <w:numId w:val="2"/>
        </w:numPr>
        <w:contextualSpacing/>
      </w:pPr>
      <w:r w:rsidRPr="001634A5">
        <w:t>Theatre as a voice of the state (opposite of ‘challenging the hierarchy’)</w:t>
      </w:r>
    </w:p>
    <w:p w14:paraId="3DCE73C3" w14:textId="77777777" w:rsidR="001634A5" w:rsidRPr="001634A5" w:rsidRDefault="001634A5" w:rsidP="001634A5">
      <w:pPr>
        <w:numPr>
          <w:ilvl w:val="0"/>
          <w:numId w:val="2"/>
        </w:numPr>
        <w:contextualSpacing/>
      </w:pPr>
      <w:r w:rsidRPr="001634A5">
        <w:t>Theatre as a representation and mirror to society</w:t>
      </w:r>
    </w:p>
    <w:p w14:paraId="343BD1BD" w14:textId="77777777" w:rsidR="001634A5" w:rsidRPr="001634A5" w:rsidRDefault="001634A5" w:rsidP="001634A5">
      <w:pPr>
        <w:numPr>
          <w:ilvl w:val="0"/>
          <w:numId w:val="2"/>
        </w:numPr>
        <w:contextualSpacing/>
      </w:pPr>
      <w:r w:rsidRPr="001634A5">
        <w:t>Example plays:</w:t>
      </w:r>
    </w:p>
    <w:p w14:paraId="75EA0797" w14:textId="77777777" w:rsidR="001634A5" w:rsidRPr="001634A5" w:rsidRDefault="001634A5" w:rsidP="001634A5">
      <w:pPr>
        <w:numPr>
          <w:ilvl w:val="1"/>
          <w:numId w:val="2"/>
        </w:numPr>
        <w:contextualSpacing/>
      </w:pPr>
      <w:r w:rsidRPr="001634A5">
        <w:t>Epicoene: Actors and characters dressing up and donning different roles in society, inspiring(?) audience to do the same</w:t>
      </w:r>
    </w:p>
    <w:p w14:paraId="2E321415" w14:textId="77777777" w:rsidR="001634A5" w:rsidRPr="001634A5" w:rsidRDefault="001634A5" w:rsidP="001634A5">
      <w:pPr>
        <w:numPr>
          <w:ilvl w:val="1"/>
          <w:numId w:val="2"/>
        </w:numPr>
        <w:contextualSpacing/>
      </w:pPr>
      <w:r w:rsidRPr="001634A5">
        <w:t>Edward II: Encouraging audience, England’s citizens, to think about their government, their rulers – the church or the state, demystification of the monarch</w:t>
      </w:r>
    </w:p>
    <w:p w14:paraId="52393694" w14:textId="77777777" w:rsidR="001634A5" w:rsidRPr="001634A5" w:rsidRDefault="001634A5" w:rsidP="001634A5">
      <w:pPr>
        <w:numPr>
          <w:ilvl w:val="2"/>
          <w:numId w:val="2"/>
        </w:numPr>
        <w:contextualSpacing/>
      </w:pPr>
      <w:r w:rsidRPr="001634A5">
        <w:t>Maybe also: freedom of sexuality?</w:t>
      </w:r>
    </w:p>
    <w:p w14:paraId="77EFBA82" w14:textId="77777777" w:rsidR="00094D6B" w:rsidRPr="001634A5" w:rsidRDefault="001634A5" w:rsidP="001634A5">
      <w:pPr>
        <w:numPr>
          <w:ilvl w:val="0"/>
          <w:numId w:val="2"/>
        </w:numPr>
        <w:contextualSpacing/>
      </w:pPr>
      <w:r w:rsidRPr="001634A5">
        <w:t>Ending</w:t>
      </w:r>
      <w:bookmarkStart w:id="0" w:name="_GoBack"/>
      <w:bookmarkEnd w:id="0"/>
    </w:p>
    <w:sectPr w:rsidR="00094D6B" w:rsidRPr="00163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02157"/>
    <w:multiLevelType w:val="hybridMultilevel"/>
    <w:tmpl w:val="6B7A905A"/>
    <w:lvl w:ilvl="0" w:tplc="1958C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189B"/>
    <w:multiLevelType w:val="hybridMultilevel"/>
    <w:tmpl w:val="1E6C90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A5"/>
    <w:rsid w:val="00094D6B"/>
    <w:rsid w:val="0016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E9C7"/>
  <w15:chartTrackingRefBased/>
  <w15:docId w15:val="{5329DE20-1453-47C2-B0B4-623231E6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Mon96</b:Tag>
    <b:SourceType>Book</b:SourceType>
    <b:Guid>{ADA46961-4547-4FC2-8164-BCA8166D03E3}</b:Guid>
    <b:Title>The Purpose of Playing: Shakespeare and the Cultural Politics of the Elizabethan Theatre</b:Title>
    <b:City>Chicago &amp; London</b:City>
    <b:Publisher>The University of Chicago Press</b:Publisher>
    <b:Year>1996</b:Year>
    <b:Author>
      <b:Author>
        <b:NameList>
          <b:Person>
            <b:Last>Montrose</b:Last>
            <b:First>Louis</b:First>
          </b:Person>
        </b:NameList>
      </b:Author>
    </b:Author>
    <b:RefOrder>1</b:RefOrder>
  </b:Source>
  <b:Source>
    <b:Tag>Bon87</b:Tag>
    <b:SourceType>Book</b:SourceType>
    <b:Guid>{FB43E215-6EE9-4442-9333-2B6B3E91E76A}</b:Guid>
    <b:Author>
      <b:Author>
        <b:NameList>
          <b:Person>
            <b:Last>Bond</b:Last>
            <b:First>Ronald</b:First>
            <b:Middle>B.</b:Middle>
          </b:Person>
        </b:NameList>
      </b:Author>
    </b:Author>
    <b:Title>Certain Sermons or Homilies (1547) and A  Homily against Disobedience and Wilful Rebellion</b:Title>
    <b:Year>1987</b:Year>
    <b:City>Toronto</b:City>
    <b:Publisher>University of Toronto Press</b:Publisher>
    <b:RefOrder>2</b:RefOrder>
  </b:Source>
  <b:Source>
    <b:Tag>Cum16</b:Tag>
    <b:SourceType>ElectronicSource</b:SourceType>
    <b:Guid>{45E48B9C-493D-4AF3-B998-3D95897E1BB4}</b:Guid>
    <b:Title>The Reformation in Shakespeare</b:Title>
    <b:Year>2016</b:Year>
    <b:Author>
      <b:Author>
        <b:NameList>
          <b:Person>
            <b:Last>Cummings</b:Last>
            <b:First>Brian</b:First>
          </b:Person>
        </b:NameList>
      </b:Author>
    </b:Author>
    <b:Publisher>The British Library</b:Publisher>
    <b:URL>https://www.bl.uk/shakespeare/articles/the-reformation-in-shakespeare</b:URL>
    <b:RefOrder>3</b:RefOrder>
  </b:Source>
  <b:Source>
    <b:Tag>Cha23</b:Tag>
    <b:SourceType>Book</b:SourceType>
    <b:Guid>{4EDCFDE7-917B-40F2-A134-8D0A89C25CA7}</b:Guid>
    <b:Author>
      <b:Author>
        <b:NameList>
          <b:Person>
            <b:Last>Chambers</b:Last>
            <b:First>E.</b:First>
            <b:Middle>K.</b:Middle>
          </b:Person>
        </b:NameList>
      </b:Author>
    </b:Author>
    <b:Title>The Elizabethan Stage</b:Title>
    <b:Year>1923</b:Year>
    <b:City>United Kingdom</b:City>
    <b:Publisher>Oxford University Press</b:Publisher>
    <b:Volume>4</b:Volume>
    <b:Pages>269</b:Pages>
    <b:RefOrder>4</b:RefOrder>
  </b:Source>
  <b:Source>
    <b:Tag>Hey12</b:Tag>
    <b:SourceType>Book</b:SourceType>
    <b:Guid>{AF69D833-9B36-444C-8E0A-DAC3C17DB0FC}</b:Guid>
    <b:Author>
      <b:Author>
        <b:NameList>
          <b:Person>
            <b:Last>Heywood</b:Last>
            <b:First>Thomas</b:First>
          </b:Person>
        </b:NameList>
      </b:Author>
    </b:Author>
    <b:Title>An Apology for Actors</b:Title>
    <b:Year>1612</b:Year>
    <b:RefOrder>5</b:RefOrder>
  </b:Source>
  <b:Source>
    <b:Tag>Mul88</b:Tag>
    <b:SourceType>Book</b:SourceType>
    <b:Guid>{D6CF7253-42B0-47ED-B2E6-63AE0FCE81B9}</b:Guid>
    <b:Author>
      <b:Author>
        <b:NameList>
          <b:Person>
            <b:Last>Mullaney</b:Last>
            <b:First>Steven</b:First>
          </b:Person>
        </b:NameList>
      </b:Author>
    </b:Author>
    <b:Title>The Place of the Stage: License, Play, and Power in Renaissance England</b:Title>
    <b:Year>1988</b:Year>
    <b:City>Chicago</b:City>
    <b:Publisher>University of Chicago Press</b:Publisher>
    <b:RefOrder>6</b:RefOrder>
  </b:Source>
  <b:Source>
    <b:Tag>Hey33</b:Tag>
    <b:SourceType>BookSection</b:SourceType>
    <b:Guid>{7AF4613E-A6D0-4EEA-971B-F21F2AF2B746}</b:Guid>
    <b:Title>Prologue</b:Title>
    <b:Year>1633</b:Year>
    <b:Publisher>Nicholas Vavasour</b:Publisher>
    <b:Author>
      <b:Author>
        <b:NameList>
          <b:Person>
            <b:Last>Heywood</b:Last>
            <b:First>Thomas</b:First>
          </b:Person>
        </b:NameList>
      </b:Author>
    </b:Author>
    <b:BookTitle>The Jew of Malta</b:BookTitle>
    <b:RefOrder>7</b:RefOrder>
  </b:Source>
  <b:Source>
    <b:Tag>Fle64</b:Tag>
    <b:SourceType>BookSection</b:SourceType>
    <b:Guid>{B46FFBEF-91B4-4554-9697-E5561BA28075}</b:Guid>
    <b:Title>A Short Discourse of the English Stage</b:Title>
    <b:BookTitle>Love's Kingdom</b:BookTitle>
    <b:Year>1664</b:Year>
    <b:Author>
      <b:Author>
        <b:NameList>
          <b:Person>
            <b:Last>Flecknoe</b:Last>
            <b:First>Richard</b:First>
          </b:Person>
        </b:NameList>
      </b:Author>
    </b:Author>
    <b:RefOrder>8</b:RefOrder>
  </b:Source>
  <b:Source>
    <b:Tag>GIG15</b:Tag>
    <b:SourceType>Book</b:SourceType>
    <b:Guid>{BF78FB09-266B-45DB-ABF8-DEE045C560DA}</b:Guid>
    <b:Author>
      <b:Author>
        <b:NameList>
          <b:Person>
            <b:Last>G.</b:Last>
            <b:First>I.</b:First>
            <b:Middle>[Greene, John]</b:Middle>
          </b:Person>
        </b:NameList>
      </b:Author>
    </b:Author>
    <b:Title>A Refutation of the Apology for Actors</b:Title>
    <b:Year>1615</b:Year>
    <b:RefOrder>9</b:RefOrder>
  </b:Source>
  <b:Source>
    <b:Tag>Whi04</b:Tag>
    <b:SourceType>BookSection</b:SourceType>
    <b:Guid>{D8996834-AE2C-4BFA-8DEE-650EB929E560}</b:Guid>
    <b:Title>Marlowe and the Politics of Religion</b:Title>
    <b:Year>2004</b:Year>
    <b:Publisher>Cambridge University Press</b:Publisher>
    <b:Author>
      <b:Author>
        <b:NameList>
          <b:Person>
            <b:Last>White</b:Last>
            <b:First>Paul</b:First>
            <b:Middle>Whitfield</b:Middle>
          </b:Person>
        </b:NameList>
      </b:Author>
      <b:Editor>
        <b:NameList>
          <b:Person>
            <b:Last>Cheney</b:Last>
            <b:First>Patrick</b:First>
          </b:Person>
        </b:NameList>
      </b:Editor>
    </b:Author>
    <b:Pages>79-86</b:Pages>
    <b:BookTitle>The Cambridge Companion to Christopher Marlowe</b:BookTitle>
    <b:City>Cambridge</b:City>
    <b:RefOrder>10</b:RefOrder>
  </b:Source>
</b:Sources>
</file>

<file path=customXml/itemProps1.xml><?xml version="1.0" encoding="utf-8"?>
<ds:datastoreItem xmlns:ds="http://schemas.openxmlformats.org/officeDocument/2006/customXml" ds:itemID="{ADD31951-00A3-4BDE-8A27-4B70CCD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</cp:revision>
  <dcterms:created xsi:type="dcterms:W3CDTF">2020-02-26T09:03:00Z</dcterms:created>
  <dcterms:modified xsi:type="dcterms:W3CDTF">2020-02-26T09:03:00Z</dcterms:modified>
</cp:coreProperties>
</file>