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9F16" w14:textId="4380A04E" w:rsidR="009D77D4" w:rsidRDefault="009D77D4" w:rsidP="00493D8F">
      <w:pPr>
        <w:pStyle w:val="Heading1"/>
      </w:pPr>
      <w:r>
        <w:t>The Question/Title:</w:t>
      </w:r>
    </w:p>
    <w:p w14:paraId="3F8DA207" w14:textId="77777777" w:rsidR="007A7C91" w:rsidRPr="009A7D7E" w:rsidRDefault="007A7C91" w:rsidP="009A7D7E">
      <w:pPr>
        <w:spacing w:line="480" w:lineRule="auto"/>
        <w:rPr>
          <w:sz w:val="24"/>
          <w:szCs w:val="24"/>
        </w:rPr>
      </w:pPr>
      <w:r w:rsidRPr="009A7D7E">
        <w:rPr>
          <w:sz w:val="24"/>
          <w:szCs w:val="24"/>
        </w:rPr>
        <w:t xml:space="preserve">“Such things are committed at plays and theatres as cannot be thought upon, much less uttered without sin…there can be no stronger engine to batter the honesty than the hearing of common plays.” – Anthony Munday, </w:t>
      </w:r>
      <w:r w:rsidRPr="009A7D7E">
        <w:rPr>
          <w:i/>
          <w:iCs/>
          <w:sz w:val="24"/>
          <w:szCs w:val="24"/>
        </w:rPr>
        <w:t>A Second and Third Blast of Retrait from the Plaies and Theaters</w:t>
      </w:r>
      <w:r w:rsidRPr="009A7D7E">
        <w:rPr>
          <w:sz w:val="24"/>
          <w:szCs w:val="24"/>
        </w:rPr>
        <w:t>, 1580.</w:t>
      </w:r>
    </w:p>
    <w:p w14:paraId="50990D98" w14:textId="378DAF73" w:rsidR="009D77D4" w:rsidRPr="009A7D7E" w:rsidRDefault="007A7C91" w:rsidP="009A7D7E">
      <w:pPr>
        <w:spacing w:line="480" w:lineRule="auto"/>
        <w:rPr>
          <w:sz w:val="24"/>
          <w:szCs w:val="24"/>
        </w:rPr>
      </w:pPr>
      <w:r w:rsidRPr="009A7D7E">
        <w:rPr>
          <w:sz w:val="24"/>
          <w:szCs w:val="24"/>
        </w:rPr>
        <w:t xml:space="preserve">Would you agree with Munday’s claim that </w:t>
      </w:r>
      <w:r w:rsidRPr="009A7D7E">
        <w:rPr>
          <w:b/>
          <w:bCs/>
          <w:sz w:val="24"/>
          <w:szCs w:val="24"/>
        </w:rPr>
        <w:t>the theatre in early modern England can be seen to encourage spectators to challenge and undermine the social hierarchy</w:t>
      </w:r>
      <w:r w:rsidRPr="009A7D7E">
        <w:rPr>
          <w:sz w:val="24"/>
          <w:szCs w:val="24"/>
        </w:rPr>
        <w:t>? You should illustrate your answer with appropriate textual and contextual evidence.</w:t>
      </w:r>
    </w:p>
    <w:p w14:paraId="383A30AD" w14:textId="77777777" w:rsidR="00442924" w:rsidRPr="009A7D7E" w:rsidRDefault="00442924" w:rsidP="009A7D7E">
      <w:pPr>
        <w:spacing w:line="480" w:lineRule="auto"/>
        <w:ind w:firstLine="567"/>
        <w:rPr>
          <w:sz w:val="24"/>
          <w:szCs w:val="24"/>
        </w:rPr>
      </w:pPr>
    </w:p>
    <w:p w14:paraId="22C6E65F" w14:textId="77777777" w:rsidR="00442924" w:rsidRPr="009A7D7E" w:rsidRDefault="00442924" w:rsidP="009A7D7E">
      <w:pPr>
        <w:spacing w:line="480" w:lineRule="auto"/>
        <w:ind w:firstLine="567"/>
        <w:rPr>
          <w:sz w:val="24"/>
          <w:szCs w:val="24"/>
        </w:rPr>
      </w:pPr>
    </w:p>
    <w:p w14:paraId="7502B74D" w14:textId="3A27B752" w:rsidR="007F38E6" w:rsidRPr="009A7D7E" w:rsidRDefault="004D4C21" w:rsidP="009A7D7E">
      <w:pPr>
        <w:spacing w:line="480" w:lineRule="auto"/>
        <w:ind w:firstLine="567"/>
        <w:rPr>
          <w:sz w:val="24"/>
          <w:szCs w:val="24"/>
        </w:rPr>
      </w:pPr>
      <w:r w:rsidRPr="009A7D7E">
        <w:rPr>
          <w:sz w:val="24"/>
          <w:szCs w:val="24"/>
        </w:rPr>
        <w:t>The image of early modern England is often found to be of a society set in stone</w:t>
      </w:r>
      <w:r w:rsidR="00B16F2F" w:rsidRPr="009A7D7E">
        <w:rPr>
          <w:sz w:val="24"/>
          <w:szCs w:val="24"/>
        </w:rPr>
        <w:t xml:space="preserve">. After all, </w:t>
      </w:r>
      <w:r w:rsidR="007D0213" w:rsidRPr="009A7D7E">
        <w:rPr>
          <w:sz w:val="24"/>
          <w:szCs w:val="24"/>
        </w:rPr>
        <w:t xml:space="preserve">a certain sermon or homily preached in Elizabethan churches </w:t>
      </w:r>
      <w:r w:rsidR="009E2787" w:rsidRPr="009A7D7E">
        <w:rPr>
          <w:sz w:val="24"/>
          <w:szCs w:val="24"/>
        </w:rPr>
        <w:t>in the 16</w:t>
      </w:r>
      <w:r w:rsidR="009E2787" w:rsidRPr="009A7D7E">
        <w:rPr>
          <w:sz w:val="24"/>
          <w:szCs w:val="24"/>
          <w:vertAlign w:val="superscript"/>
        </w:rPr>
        <w:t>th</w:t>
      </w:r>
      <w:r w:rsidR="009E2787" w:rsidRPr="009A7D7E">
        <w:rPr>
          <w:sz w:val="24"/>
          <w:szCs w:val="24"/>
        </w:rPr>
        <w:t xml:space="preserve"> century </w:t>
      </w:r>
      <w:r w:rsidR="007D0213" w:rsidRPr="009A7D7E">
        <w:rPr>
          <w:sz w:val="24"/>
          <w:szCs w:val="24"/>
        </w:rPr>
        <w:t>stated thus:</w:t>
      </w:r>
      <w:r w:rsidR="00812E27">
        <w:rPr>
          <w:sz w:val="24"/>
          <w:szCs w:val="24"/>
        </w:rPr>
        <w:t xml:space="preserve"> ”</w:t>
      </w:r>
      <w:r w:rsidR="00376988" w:rsidRPr="009A7D7E">
        <w:rPr>
          <w:sz w:val="24"/>
          <w:szCs w:val="24"/>
        </w:rPr>
        <w:t>Every degre of people, in their vocacion, callyng and office, hath</w:t>
      </w:r>
      <w:r w:rsidR="007D0213" w:rsidRPr="009A7D7E">
        <w:rPr>
          <w:sz w:val="24"/>
          <w:szCs w:val="24"/>
        </w:rPr>
        <w:t xml:space="preserve"> </w:t>
      </w:r>
      <w:r w:rsidR="00376988" w:rsidRPr="009A7D7E">
        <w:rPr>
          <w:sz w:val="24"/>
          <w:szCs w:val="24"/>
        </w:rPr>
        <w:t>appoynted to them their duetie and ordre” (1547)</w:t>
      </w:r>
      <w:r w:rsidR="007D0213" w:rsidRPr="009A7D7E">
        <w:rPr>
          <w:sz w:val="24"/>
          <w:szCs w:val="24"/>
        </w:rPr>
        <w:t xml:space="preserve">. </w:t>
      </w:r>
      <w:r w:rsidR="00410286" w:rsidRPr="009A7D7E">
        <w:rPr>
          <w:sz w:val="24"/>
          <w:szCs w:val="24"/>
        </w:rPr>
        <w:t>However, a need for such a sermon prepared by the state implies that society had to be reminded of t</w:t>
      </w:r>
      <w:r w:rsidR="007900EE" w:rsidRPr="009A7D7E">
        <w:rPr>
          <w:sz w:val="24"/>
          <w:szCs w:val="24"/>
        </w:rPr>
        <w:t xml:space="preserve">he fact since a plethora of changes were experienced by </w:t>
      </w:r>
      <w:r w:rsidR="008D0CB8">
        <w:rPr>
          <w:sz w:val="24"/>
          <w:szCs w:val="24"/>
        </w:rPr>
        <w:t xml:space="preserve">the same </w:t>
      </w:r>
      <w:r w:rsidR="009E2787" w:rsidRPr="009A7D7E">
        <w:rPr>
          <w:sz w:val="24"/>
          <w:szCs w:val="24"/>
        </w:rPr>
        <w:t>“[e]very degre[e] of people” in the</w:t>
      </w:r>
      <w:r w:rsidR="00A941AC" w:rsidRPr="009A7D7E">
        <w:rPr>
          <w:sz w:val="24"/>
          <w:szCs w:val="24"/>
        </w:rPr>
        <w:t xml:space="preserve"> late</w:t>
      </w:r>
      <w:r w:rsidR="009E2787" w:rsidRPr="009A7D7E">
        <w:rPr>
          <w:sz w:val="24"/>
          <w:szCs w:val="24"/>
        </w:rPr>
        <w:t xml:space="preserve"> 16</w:t>
      </w:r>
      <w:r w:rsidR="009E2787" w:rsidRPr="009A7D7E">
        <w:rPr>
          <w:sz w:val="24"/>
          <w:szCs w:val="24"/>
          <w:vertAlign w:val="superscript"/>
        </w:rPr>
        <w:t>th</w:t>
      </w:r>
      <w:r w:rsidR="009E2787" w:rsidRPr="009A7D7E">
        <w:rPr>
          <w:sz w:val="24"/>
          <w:szCs w:val="24"/>
        </w:rPr>
        <w:t xml:space="preserve"> and </w:t>
      </w:r>
      <w:r w:rsidR="00A941AC" w:rsidRPr="009A7D7E">
        <w:rPr>
          <w:sz w:val="24"/>
          <w:szCs w:val="24"/>
        </w:rPr>
        <w:t xml:space="preserve">early </w:t>
      </w:r>
      <w:r w:rsidR="009E2787" w:rsidRPr="009A7D7E">
        <w:rPr>
          <w:sz w:val="24"/>
          <w:szCs w:val="24"/>
        </w:rPr>
        <w:t>17</w:t>
      </w:r>
      <w:r w:rsidR="009E2787" w:rsidRPr="009A7D7E">
        <w:rPr>
          <w:sz w:val="24"/>
          <w:szCs w:val="24"/>
          <w:vertAlign w:val="superscript"/>
        </w:rPr>
        <w:t>th</w:t>
      </w:r>
      <w:r w:rsidR="009E2787" w:rsidRPr="009A7D7E">
        <w:rPr>
          <w:sz w:val="24"/>
          <w:szCs w:val="24"/>
        </w:rPr>
        <w:t xml:space="preserve"> century</w:t>
      </w:r>
      <w:r w:rsidR="004A3A61" w:rsidRPr="009A7D7E">
        <w:rPr>
          <w:sz w:val="24"/>
          <w:szCs w:val="24"/>
        </w:rPr>
        <w:t>.</w:t>
      </w:r>
      <w:r w:rsidR="009E2787" w:rsidRPr="009A7D7E">
        <w:rPr>
          <w:sz w:val="24"/>
          <w:szCs w:val="24"/>
        </w:rPr>
        <w:t xml:space="preserve"> </w:t>
      </w:r>
      <w:r w:rsidR="006C519C" w:rsidRPr="009A7D7E">
        <w:rPr>
          <w:sz w:val="24"/>
          <w:szCs w:val="24"/>
        </w:rPr>
        <w:t>Some of those significant changes included</w:t>
      </w:r>
      <w:r w:rsidR="009E2787" w:rsidRPr="009A7D7E">
        <w:rPr>
          <w:sz w:val="24"/>
          <w:szCs w:val="24"/>
        </w:rPr>
        <w:t xml:space="preserve"> </w:t>
      </w:r>
      <w:r w:rsidR="00D10AD2" w:rsidRPr="009A7D7E">
        <w:rPr>
          <w:sz w:val="24"/>
          <w:szCs w:val="24"/>
        </w:rPr>
        <w:t xml:space="preserve">shifting royalty, </w:t>
      </w:r>
      <w:r w:rsidR="009E2787" w:rsidRPr="009A7D7E">
        <w:rPr>
          <w:sz w:val="24"/>
          <w:szCs w:val="24"/>
        </w:rPr>
        <w:t>the building of permanent theatres</w:t>
      </w:r>
      <w:r w:rsidR="00DB4BF6" w:rsidRPr="009A7D7E">
        <w:rPr>
          <w:sz w:val="24"/>
          <w:szCs w:val="24"/>
        </w:rPr>
        <w:t>, and theatre</w:t>
      </w:r>
      <w:r w:rsidR="00525A22" w:rsidRPr="009A7D7E">
        <w:rPr>
          <w:sz w:val="24"/>
          <w:szCs w:val="24"/>
        </w:rPr>
        <w:t xml:space="preserve"> becoming a </w:t>
      </w:r>
      <w:r w:rsidR="00753A4E" w:rsidRPr="009A7D7E">
        <w:rPr>
          <w:sz w:val="24"/>
          <w:szCs w:val="24"/>
        </w:rPr>
        <w:t xml:space="preserve">converging centre for the marginalised, </w:t>
      </w:r>
      <w:r w:rsidR="00284BBD" w:rsidRPr="009A7D7E">
        <w:rPr>
          <w:sz w:val="24"/>
          <w:szCs w:val="24"/>
        </w:rPr>
        <w:t>while also being a</w:t>
      </w:r>
      <w:r w:rsidR="0072364C" w:rsidRPr="009A7D7E">
        <w:rPr>
          <w:sz w:val="24"/>
          <w:szCs w:val="24"/>
        </w:rPr>
        <w:t>n</w:t>
      </w:r>
      <w:r w:rsidR="00284BBD" w:rsidRPr="009A7D7E">
        <w:rPr>
          <w:sz w:val="24"/>
          <w:szCs w:val="24"/>
        </w:rPr>
        <w:t xml:space="preserve"> </w:t>
      </w:r>
      <w:r w:rsidR="0072364C" w:rsidRPr="009A7D7E">
        <w:rPr>
          <w:sz w:val="24"/>
          <w:szCs w:val="24"/>
        </w:rPr>
        <w:t xml:space="preserve">influential </w:t>
      </w:r>
      <w:r w:rsidR="00284BBD" w:rsidRPr="009A7D7E">
        <w:rPr>
          <w:sz w:val="24"/>
          <w:szCs w:val="24"/>
        </w:rPr>
        <w:t xml:space="preserve">platform </w:t>
      </w:r>
      <w:r w:rsidR="00025FA0" w:rsidRPr="009A7D7E">
        <w:rPr>
          <w:sz w:val="24"/>
          <w:szCs w:val="24"/>
        </w:rPr>
        <w:lastRenderedPageBreak/>
        <w:t xml:space="preserve">from both the state and playwrights themselves. </w:t>
      </w:r>
      <w:r w:rsidR="00B63FCE" w:rsidRPr="009A7D7E">
        <w:rPr>
          <w:sz w:val="24"/>
          <w:szCs w:val="24"/>
        </w:rPr>
        <w:t>Specifically, theatre in Elizabethan and Jacobean England was used both as a voice of the state</w:t>
      </w:r>
      <w:r w:rsidR="0050122B" w:rsidRPr="009A7D7E">
        <w:rPr>
          <w:sz w:val="24"/>
          <w:szCs w:val="24"/>
        </w:rPr>
        <w:t xml:space="preserve"> in order to teach </w:t>
      </w:r>
      <w:r w:rsidR="008E10BF" w:rsidRPr="009A7D7E">
        <w:rPr>
          <w:sz w:val="24"/>
          <w:szCs w:val="24"/>
        </w:rPr>
        <w:t xml:space="preserve">its </w:t>
      </w:r>
      <w:r w:rsidR="003E4392" w:rsidRPr="009A7D7E">
        <w:rPr>
          <w:sz w:val="24"/>
          <w:szCs w:val="24"/>
        </w:rPr>
        <w:t>subjects</w:t>
      </w:r>
      <w:r w:rsidR="008E10BF" w:rsidRPr="009A7D7E">
        <w:rPr>
          <w:sz w:val="24"/>
          <w:szCs w:val="24"/>
        </w:rPr>
        <w:t xml:space="preserve"> proper, state-approved virtue</w:t>
      </w:r>
      <w:r w:rsidR="00666EFC" w:rsidRPr="009A7D7E">
        <w:rPr>
          <w:sz w:val="24"/>
          <w:szCs w:val="24"/>
        </w:rPr>
        <w:t xml:space="preserve"> and as a </w:t>
      </w:r>
      <w:r w:rsidR="00285B1C" w:rsidRPr="009A7D7E">
        <w:rPr>
          <w:sz w:val="24"/>
          <w:szCs w:val="24"/>
        </w:rPr>
        <w:t xml:space="preserve">representation of and mirror to society in order to encourage spectators to challenge </w:t>
      </w:r>
      <w:r w:rsidR="00E92248" w:rsidRPr="009A7D7E">
        <w:rPr>
          <w:sz w:val="24"/>
          <w:szCs w:val="24"/>
        </w:rPr>
        <w:t>and</w:t>
      </w:r>
      <w:r w:rsidR="00285B1C" w:rsidRPr="009A7D7E">
        <w:rPr>
          <w:sz w:val="24"/>
          <w:szCs w:val="24"/>
        </w:rPr>
        <w:t xml:space="preserve"> undermine the social hierarchy.</w:t>
      </w:r>
      <w:r w:rsidR="00F74CC2" w:rsidRPr="009A7D7E">
        <w:rPr>
          <w:sz w:val="24"/>
          <w:szCs w:val="24"/>
        </w:rPr>
        <w:t xml:space="preserve"> Two key plays exemplify </w:t>
      </w:r>
      <w:r w:rsidR="00CA74ED" w:rsidRPr="009A7D7E">
        <w:rPr>
          <w:sz w:val="24"/>
          <w:szCs w:val="24"/>
        </w:rPr>
        <w:t>the latter use of theatre as a platform</w:t>
      </w:r>
      <w:r w:rsidR="009E052A">
        <w:rPr>
          <w:sz w:val="24"/>
          <w:szCs w:val="24"/>
        </w:rPr>
        <w:t xml:space="preserve"> for challenge</w:t>
      </w:r>
      <w:r w:rsidR="0054325A" w:rsidRPr="009A7D7E">
        <w:rPr>
          <w:sz w:val="24"/>
          <w:szCs w:val="24"/>
        </w:rPr>
        <w:t xml:space="preserve">: </w:t>
      </w:r>
      <w:r w:rsidR="004867D4" w:rsidRPr="009A7D7E">
        <w:rPr>
          <w:sz w:val="24"/>
          <w:szCs w:val="24"/>
        </w:rPr>
        <w:t xml:space="preserve">Christopher Marlowe’s </w:t>
      </w:r>
      <w:r w:rsidR="004867D4" w:rsidRPr="009A7D7E">
        <w:rPr>
          <w:i/>
          <w:iCs/>
          <w:sz w:val="24"/>
          <w:szCs w:val="24"/>
        </w:rPr>
        <w:t>Edward II</w:t>
      </w:r>
      <w:r w:rsidR="001D3F23" w:rsidRPr="009A7D7E">
        <w:rPr>
          <w:sz w:val="24"/>
          <w:szCs w:val="24"/>
        </w:rPr>
        <w:t xml:space="preserve"> (1594)</w:t>
      </w:r>
      <w:r w:rsidR="00163D02" w:rsidRPr="009A7D7E">
        <w:rPr>
          <w:sz w:val="24"/>
          <w:szCs w:val="24"/>
        </w:rPr>
        <w:t xml:space="preserve">, </w:t>
      </w:r>
      <w:r w:rsidR="001D3F23" w:rsidRPr="009A7D7E">
        <w:rPr>
          <w:sz w:val="24"/>
          <w:szCs w:val="24"/>
        </w:rPr>
        <w:t xml:space="preserve">an Elizabethan play </w:t>
      </w:r>
      <w:r w:rsidR="00163D02" w:rsidRPr="009A7D7E">
        <w:rPr>
          <w:sz w:val="24"/>
          <w:szCs w:val="24"/>
        </w:rPr>
        <w:t xml:space="preserve">which </w:t>
      </w:r>
      <w:r w:rsidR="005C0CD8" w:rsidRPr="009A7D7E">
        <w:rPr>
          <w:sz w:val="24"/>
          <w:szCs w:val="24"/>
        </w:rPr>
        <w:t>incites the audience</w:t>
      </w:r>
      <w:r w:rsidR="003D01C0" w:rsidRPr="009A7D7E">
        <w:rPr>
          <w:sz w:val="24"/>
          <w:szCs w:val="24"/>
        </w:rPr>
        <w:t xml:space="preserve"> to reflect on </w:t>
      </w:r>
      <w:r w:rsidR="000F626C" w:rsidRPr="009A7D7E">
        <w:rPr>
          <w:sz w:val="24"/>
          <w:szCs w:val="24"/>
        </w:rPr>
        <w:t>their rulers</w:t>
      </w:r>
      <w:r w:rsidR="00EB55A5" w:rsidRPr="009A7D7E">
        <w:rPr>
          <w:sz w:val="24"/>
          <w:szCs w:val="24"/>
        </w:rPr>
        <w:t xml:space="preserve"> and the relationship between the church and the state</w:t>
      </w:r>
      <w:r w:rsidR="00E96329" w:rsidRPr="009A7D7E">
        <w:rPr>
          <w:sz w:val="24"/>
          <w:szCs w:val="24"/>
        </w:rPr>
        <w:t xml:space="preserve">, and Ben Jonson’s </w:t>
      </w:r>
      <w:r w:rsidR="00E96329" w:rsidRPr="009A7D7E">
        <w:rPr>
          <w:i/>
          <w:iCs/>
          <w:sz w:val="24"/>
          <w:szCs w:val="24"/>
        </w:rPr>
        <w:t>Epicoene</w:t>
      </w:r>
      <w:r w:rsidR="00E96329" w:rsidRPr="009A7D7E">
        <w:rPr>
          <w:sz w:val="24"/>
          <w:szCs w:val="24"/>
        </w:rPr>
        <w:t xml:space="preserve"> (1609), a Jacobean play which encourages the audience to be flexible with their roles in society</w:t>
      </w:r>
      <w:r w:rsidR="003C06B6" w:rsidRPr="009A7D7E">
        <w:rPr>
          <w:sz w:val="24"/>
          <w:szCs w:val="24"/>
        </w:rPr>
        <w:t>.</w:t>
      </w:r>
    </w:p>
    <w:p w14:paraId="4F2D457F" w14:textId="1E28781A" w:rsidR="006826E7" w:rsidRPr="009A7D7E" w:rsidRDefault="00FD48DD" w:rsidP="009A7D7E">
      <w:pPr>
        <w:spacing w:line="480" w:lineRule="auto"/>
        <w:ind w:firstLine="567"/>
        <w:rPr>
          <w:sz w:val="24"/>
          <w:szCs w:val="24"/>
        </w:rPr>
      </w:pPr>
      <w:r w:rsidRPr="009A7D7E">
        <w:rPr>
          <w:sz w:val="24"/>
          <w:szCs w:val="24"/>
        </w:rPr>
        <w:t xml:space="preserve">To understand what kind of society </w:t>
      </w:r>
      <w:r w:rsidR="009813E8" w:rsidRPr="009A7D7E">
        <w:rPr>
          <w:sz w:val="24"/>
          <w:szCs w:val="24"/>
        </w:rPr>
        <w:t xml:space="preserve">the audience was </w:t>
      </w:r>
      <w:r w:rsidR="00FF4B80" w:rsidRPr="009A7D7E">
        <w:rPr>
          <w:sz w:val="24"/>
          <w:szCs w:val="24"/>
        </w:rPr>
        <w:t xml:space="preserve">encouraged to challenge and undermine, one would first need to look at the context of late Elizabethan </w:t>
      </w:r>
      <w:r w:rsidR="00D21E91" w:rsidRPr="009A7D7E">
        <w:rPr>
          <w:sz w:val="24"/>
          <w:szCs w:val="24"/>
        </w:rPr>
        <w:t xml:space="preserve">and early Jacobean eras. </w:t>
      </w:r>
      <w:r w:rsidR="004B17D0" w:rsidRPr="009A7D7E">
        <w:rPr>
          <w:sz w:val="24"/>
          <w:szCs w:val="24"/>
        </w:rPr>
        <w:t>According to</w:t>
      </w:r>
      <w:r w:rsidR="00FE2A9B" w:rsidRPr="009A7D7E">
        <w:rPr>
          <w:sz w:val="24"/>
          <w:szCs w:val="24"/>
        </w:rPr>
        <w:t xml:space="preserve"> </w:t>
      </w:r>
      <w:r w:rsidR="00633B3F" w:rsidRPr="009A7D7E">
        <w:rPr>
          <w:sz w:val="24"/>
          <w:szCs w:val="24"/>
        </w:rPr>
        <w:t xml:space="preserve">the same </w:t>
      </w:r>
      <w:r w:rsidR="00D97304" w:rsidRPr="009A7D7E">
        <w:rPr>
          <w:sz w:val="24"/>
          <w:szCs w:val="24"/>
        </w:rPr>
        <w:t>sermon preached in churches</w:t>
      </w:r>
      <w:r w:rsidR="004B17D0" w:rsidRPr="009A7D7E">
        <w:rPr>
          <w:sz w:val="24"/>
          <w:szCs w:val="24"/>
        </w:rPr>
        <w:t>, the societal structure seemed to be set</w:t>
      </w:r>
      <w:r w:rsidR="00BF6C45" w:rsidRPr="009A7D7E">
        <w:rPr>
          <w:sz w:val="24"/>
          <w:szCs w:val="24"/>
        </w:rPr>
        <w:t xml:space="preserve">: </w:t>
      </w:r>
      <w:r w:rsidR="00D97304" w:rsidRPr="009A7D7E">
        <w:rPr>
          <w:sz w:val="24"/>
          <w:szCs w:val="24"/>
        </w:rPr>
        <w:t xml:space="preserve">“kynges and princes, </w:t>
      </w:r>
      <w:r w:rsidR="00D100E7" w:rsidRPr="009A7D7E">
        <w:rPr>
          <w:sz w:val="24"/>
          <w:szCs w:val="24"/>
        </w:rPr>
        <w:t>[…] inferiors and subjectes, priestes and laimen, masters</w:t>
      </w:r>
      <w:r w:rsidR="00AA6EF2" w:rsidRPr="009A7D7E">
        <w:rPr>
          <w:sz w:val="24"/>
          <w:szCs w:val="24"/>
        </w:rPr>
        <w:t xml:space="preserve"> and servauntes</w:t>
      </w:r>
      <w:r w:rsidR="00DA22AF" w:rsidRPr="009A7D7E">
        <w:rPr>
          <w:sz w:val="24"/>
          <w:szCs w:val="24"/>
        </w:rPr>
        <w:t>, […]</w:t>
      </w:r>
      <w:r w:rsidR="00122BF7" w:rsidRPr="009A7D7E">
        <w:rPr>
          <w:sz w:val="24"/>
          <w:szCs w:val="24"/>
        </w:rPr>
        <w:t>,</w:t>
      </w:r>
      <w:r w:rsidR="00DA22AF" w:rsidRPr="009A7D7E">
        <w:rPr>
          <w:sz w:val="24"/>
          <w:szCs w:val="24"/>
        </w:rPr>
        <w:t xml:space="preserve"> riche</w:t>
      </w:r>
      <w:r w:rsidR="00122BF7" w:rsidRPr="009A7D7E">
        <w:rPr>
          <w:sz w:val="24"/>
          <w:szCs w:val="24"/>
        </w:rPr>
        <w:t xml:space="preserve"> and poore</w:t>
      </w:r>
      <w:r w:rsidR="00AA6EF2" w:rsidRPr="009A7D7E">
        <w:rPr>
          <w:sz w:val="24"/>
          <w:szCs w:val="24"/>
        </w:rPr>
        <w:t xml:space="preserve">” </w:t>
      </w:r>
      <w:r w:rsidR="00DE6899" w:rsidRPr="009A7D7E">
        <w:rPr>
          <w:sz w:val="24"/>
          <w:szCs w:val="24"/>
        </w:rPr>
        <w:t xml:space="preserve">(1547) </w:t>
      </w:r>
      <w:r w:rsidR="00AA6EF2" w:rsidRPr="009A7D7E">
        <w:rPr>
          <w:sz w:val="24"/>
          <w:szCs w:val="24"/>
        </w:rPr>
        <w:t>among other</w:t>
      </w:r>
      <w:r w:rsidR="00122BF7" w:rsidRPr="009A7D7E">
        <w:rPr>
          <w:sz w:val="24"/>
          <w:szCs w:val="24"/>
        </w:rPr>
        <w:t xml:space="preserve"> roles</w:t>
      </w:r>
      <w:r w:rsidR="00FD6E49" w:rsidRPr="009A7D7E">
        <w:rPr>
          <w:sz w:val="24"/>
          <w:szCs w:val="24"/>
        </w:rPr>
        <w:t xml:space="preserve"> were represented in </w:t>
      </w:r>
      <w:r w:rsidR="005908C7" w:rsidRPr="009A7D7E">
        <w:rPr>
          <w:sz w:val="24"/>
          <w:szCs w:val="24"/>
        </w:rPr>
        <w:t>16</w:t>
      </w:r>
      <w:r w:rsidR="005908C7" w:rsidRPr="009A7D7E">
        <w:rPr>
          <w:sz w:val="24"/>
          <w:szCs w:val="24"/>
          <w:vertAlign w:val="superscript"/>
        </w:rPr>
        <w:t>th</w:t>
      </w:r>
      <w:r w:rsidR="005908C7" w:rsidRPr="009A7D7E">
        <w:rPr>
          <w:sz w:val="24"/>
          <w:szCs w:val="24"/>
        </w:rPr>
        <w:t>-17</w:t>
      </w:r>
      <w:r w:rsidR="005908C7" w:rsidRPr="009A7D7E">
        <w:rPr>
          <w:sz w:val="24"/>
          <w:szCs w:val="24"/>
          <w:vertAlign w:val="superscript"/>
        </w:rPr>
        <w:t>th</w:t>
      </w:r>
      <w:r w:rsidR="005908C7" w:rsidRPr="009A7D7E">
        <w:rPr>
          <w:sz w:val="24"/>
          <w:szCs w:val="24"/>
        </w:rPr>
        <w:t xml:space="preserve"> century England. However, all of them experienced rapid changes to </w:t>
      </w:r>
      <w:r w:rsidR="00302BBE" w:rsidRPr="009A7D7E">
        <w:rPr>
          <w:sz w:val="24"/>
          <w:szCs w:val="24"/>
        </w:rPr>
        <w:t>their social, economic</w:t>
      </w:r>
      <w:r w:rsidR="0091343A" w:rsidRPr="009A7D7E">
        <w:rPr>
          <w:sz w:val="24"/>
          <w:szCs w:val="24"/>
        </w:rPr>
        <w:t>, and spiritual life</w:t>
      </w:r>
      <w:r w:rsidR="007D652E" w:rsidRPr="009A7D7E">
        <w:rPr>
          <w:sz w:val="24"/>
          <w:szCs w:val="24"/>
        </w:rPr>
        <w:t>, including</w:t>
      </w:r>
      <w:r w:rsidR="0091343A" w:rsidRPr="009A7D7E">
        <w:rPr>
          <w:sz w:val="24"/>
          <w:szCs w:val="24"/>
        </w:rPr>
        <w:t xml:space="preserve"> shifting royalty</w:t>
      </w:r>
      <w:r w:rsidR="006A1FF9" w:rsidRPr="009A7D7E">
        <w:rPr>
          <w:sz w:val="24"/>
          <w:szCs w:val="24"/>
        </w:rPr>
        <w:t xml:space="preserve"> (Mary I to Elizabeth I to James I)</w:t>
      </w:r>
      <w:r w:rsidR="00355507" w:rsidRPr="009A7D7E">
        <w:rPr>
          <w:sz w:val="24"/>
          <w:szCs w:val="24"/>
        </w:rPr>
        <w:t xml:space="preserve"> and their </w:t>
      </w:r>
      <w:r w:rsidR="00D0531B" w:rsidRPr="009A7D7E">
        <w:rPr>
          <w:sz w:val="24"/>
          <w:szCs w:val="24"/>
        </w:rPr>
        <w:t>fluctuating</w:t>
      </w:r>
      <w:r w:rsidR="00355507" w:rsidRPr="009A7D7E">
        <w:rPr>
          <w:sz w:val="24"/>
          <w:szCs w:val="24"/>
        </w:rPr>
        <w:t xml:space="preserve"> Reformation policies</w:t>
      </w:r>
      <w:r w:rsidR="0073586E" w:rsidRPr="009A7D7E">
        <w:rPr>
          <w:sz w:val="24"/>
          <w:szCs w:val="24"/>
        </w:rPr>
        <w:t xml:space="preserve"> </w:t>
      </w:r>
      <w:sdt>
        <w:sdtPr>
          <w:rPr>
            <w:sz w:val="24"/>
            <w:szCs w:val="24"/>
          </w:rPr>
          <w:id w:val="-2126920125"/>
          <w:citation/>
        </w:sdtPr>
        <w:sdtEndPr/>
        <w:sdtContent>
          <w:r w:rsidR="0073586E" w:rsidRPr="009A7D7E">
            <w:rPr>
              <w:sz w:val="24"/>
              <w:szCs w:val="24"/>
            </w:rPr>
            <w:fldChar w:fldCharType="begin"/>
          </w:r>
          <w:r w:rsidR="0073586E" w:rsidRPr="009A7D7E">
            <w:rPr>
              <w:sz w:val="24"/>
              <w:szCs w:val="24"/>
            </w:rPr>
            <w:instrText xml:space="preserve"> CITATION Cum16 \l 2057 </w:instrText>
          </w:r>
          <w:r w:rsidR="0073586E" w:rsidRPr="009A7D7E">
            <w:rPr>
              <w:sz w:val="24"/>
              <w:szCs w:val="24"/>
            </w:rPr>
            <w:fldChar w:fldCharType="separate"/>
          </w:r>
          <w:r w:rsidR="0073586E" w:rsidRPr="009A7D7E">
            <w:rPr>
              <w:sz w:val="24"/>
              <w:szCs w:val="24"/>
            </w:rPr>
            <w:t>(Cummings, 2016)</w:t>
          </w:r>
          <w:r w:rsidR="0073586E" w:rsidRPr="009A7D7E">
            <w:rPr>
              <w:sz w:val="24"/>
              <w:szCs w:val="24"/>
            </w:rPr>
            <w:fldChar w:fldCharType="end"/>
          </w:r>
        </w:sdtContent>
      </w:sdt>
      <w:r w:rsidR="007D652E" w:rsidRPr="009A7D7E">
        <w:rPr>
          <w:sz w:val="24"/>
          <w:szCs w:val="24"/>
        </w:rPr>
        <w:t xml:space="preserve">, social </w:t>
      </w:r>
      <w:r w:rsidR="005A53A5" w:rsidRPr="009A7D7E">
        <w:rPr>
          <w:sz w:val="24"/>
          <w:szCs w:val="24"/>
        </w:rPr>
        <w:t xml:space="preserve">and geographic mobility, </w:t>
      </w:r>
      <w:r w:rsidR="00E87C7C" w:rsidRPr="009A7D7E">
        <w:rPr>
          <w:sz w:val="24"/>
          <w:szCs w:val="24"/>
        </w:rPr>
        <w:t xml:space="preserve">population growth, </w:t>
      </w:r>
      <w:r w:rsidR="0073586E" w:rsidRPr="009A7D7E">
        <w:rPr>
          <w:sz w:val="24"/>
          <w:szCs w:val="24"/>
        </w:rPr>
        <w:t xml:space="preserve">strains on the market economy, etc </w:t>
      </w:r>
      <w:sdt>
        <w:sdtPr>
          <w:rPr>
            <w:sz w:val="24"/>
            <w:szCs w:val="24"/>
          </w:rPr>
          <w:id w:val="889451112"/>
          <w:citation/>
        </w:sdtPr>
        <w:sdtEndPr/>
        <w:sdtContent>
          <w:r w:rsidR="0073586E" w:rsidRPr="009A7D7E">
            <w:rPr>
              <w:sz w:val="24"/>
              <w:szCs w:val="24"/>
            </w:rPr>
            <w:fldChar w:fldCharType="begin"/>
          </w:r>
          <w:r w:rsidR="007A55B6">
            <w:rPr>
              <w:sz w:val="24"/>
              <w:szCs w:val="24"/>
            </w:rPr>
            <w:instrText xml:space="preserve">CITATION Mon96 \p 21 \l 2057 </w:instrText>
          </w:r>
          <w:r w:rsidR="0073586E" w:rsidRPr="009A7D7E">
            <w:rPr>
              <w:sz w:val="24"/>
              <w:szCs w:val="24"/>
            </w:rPr>
            <w:fldChar w:fldCharType="separate"/>
          </w:r>
          <w:r w:rsidR="007A55B6" w:rsidRPr="007A55B6">
            <w:rPr>
              <w:sz w:val="24"/>
              <w:szCs w:val="24"/>
            </w:rPr>
            <w:t>(Montrose, 1996, p. 21)</w:t>
          </w:r>
          <w:r w:rsidR="0073586E" w:rsidRPr="009A7D7E">
            <w:rPr>
              <w:sz w:val="24"/>
              <w:szCs w:val="24"/>
            </w:rPr>
            <w:fldChar w:fldCharType="end"/>
          </w:r>
        </w:sdtContent>
      </w:sdt>
      <w:r w:rsidR="006239A6" w:rsidRPr="009A7D7E">
        <w:rPr>
          <w:sz w:val="24"/>
          <w:szCs w:val="24"/>
        </w:rPr>
        <w:t xml:space="preserve">. </w:t>
      </w:r>
      <w:r w:rsidR="000F4179" w:rsidRPr="009A7D7E">
        <w:rPr>
          <w:sz w:val="24"/>
          <w:szCs w:val="24"/>
        </w:rPr>
        <w:t>The building of permanent theatres</w:t>
      </w:r>
      <w:r w:rsidR="005F4302" w:rsidRPr="009A7D7E">
        <w:rPr>
          <w:sz w:val="24"/>
          <w:szCs w:val="24"/>
        </w:rPr>
        <w:t xml:space="preserve">, such as </w:t>
      </w:r>
      <w:r w:rsidR="0048163F" w:rsidRPr="009A7D7E">
        <w:rPr>
          <w:sz w:val="24"/>
          <w:szCs w:val="24"/>
        </w:rPr>
        <w:t>The Red Lion in 1567 and The Theatre</w:t>
      </w:r>
      <w:r w:rsidR="00BC458F" w:rsidRPr="009A7D7E">
        <w:rPr>
          <w:sz w:val="24"/>
          <w:szCs w:val="24"/>
        </w:rPr>
        <w:t xml:space="preserve"> in 1576, in the ‘Liberties’</w:t>
      </w:r>
      <w:r w:rsidR="004760FB" w:rsidRPr="009A7D7E">
        <w:rPr>
          <w:sz w:val="24"/>
          <w:szCs w:val="24"/>
        </w:rPr>
        <w:t xml:space="preserve"> of London</w:t>
      </w:r>
      <w:r w:rsidR="003E2ADE" w:rsidRPr="009A7D7E">
        <w:rPr>
          <w:sz w:val="24"/>
          <w:szCs w:val="24"/>
        </w:rPr>
        <w:t xml:space="preserve"> (</w:t>
      </w:r>
      <w:r w:rsidR="00F420BA" w:rsidRPr="009A7D7E">
        <w:rPr>
          <w:sz w:val="24"/>
          <w:szCs w:val="24"/>
        </w:rPr>
        <w:t>area</w:t>
      </w:r>
      <w:r w:rsidR="001B6269" w:rsidRPr="009A7D7E">
        <w:rPr>
          <w:sz w:val="24"/>
          <w:szCs w:val="24"/>
        </w:rPr>
        <w:t>s</w:t>
      </w:r>
      <w:r w:rsidR="00F420BA" w:rsidRPr="009A7D7E">
        <w:rPr>
          <w:sz w:val="24"/>
          <w:szCs w:val="24"/>
        </w:rPr>
        <w:t xml:space="preserve"> outside London city council jurisdiction w</w:t>
      </w:r>
      <w:r w:rsidR="00553AD6" w:rsidRPr="009A7D7E">
        <w:rPr>
          <w:sz w:val="24"/>
          <w:szCs w:val="24"/>
        </w:rPr>
        <w:t xml:space="preserve">hich </w:t>
      </w:r>
      <w:r w:rsidR="001B6269" w:rsidRPr="009A7D7E">
        <w:rPr>
          <w:sz w:val="24"/>
          <w:szCs w:val="24"/>
        </w:rPr>
        <w:t>were</w:t>
      </w:r>
      <w:r w:rsidR="00553AD6" w:rsidRPr="009A7D7E">
        <w:rPr>
          <w:sz w:val="24"/>
          <w:szCs w:val="24"/>
        </w:rPr>
        <w:t xml:space="preserve"> </w:t>
      </w:r>
      <w:r w:rsidR="00553AD6" w:rsidRPr="009A7D7E">
        <w:rPr>
          <w:sz w:val="24"/>
          <w:szCs w:val="24"/>
        </w:rPr>
        <w:lastRenderedPageBreak/>
        <w:t xml:space="preserve">inhabited mostly by marginalised </w:t>
      </w:r>
      <w:r w:rsidR="00F20227" w:rsidRPr="009A7D7E">
        <w:rPr>
          <w:sz w:val="24"/>
          <w:szCs w:val="24"/>
        </w:rPr>
        <w:t>groups</w:t>
      </w:r>
      <w:r w:rsidR="003E2ADE" w:rsidRPr="009A7D7E">
        <w:rPr>
          <w:sz w:val="24"/>
          <w:szCs w:val="24"/>
        </w:rPr>
        <w:t>)</w:t>
      </w:r>
      <w:r w:rsidR="00C50703" w:rsidRPr="009A7D7E">
        <w:rPr>
          <w:sz w:val="24"/>
          <w:szCs w:val="24"/>
        </w:rPr>
        <w:t xml:space="preserve"> ensured that these changes could be represented and discussed on stage </w:t>
      </w:r>
      <w:r w:rsidR="00C86E1E" w:rsidRPr="009A7D7E">
        <w:rPr>
          <w:sz w:val="24"/>
          <w:szCs w:val="24"/>
        </w:rPr>
        <w:t>in a place where a large and diverse part of society converged.</w:t>
      </w:r>
      <w:r w:rsidR="00CB5B35" w:rsidRPr="009A7D7E">
        <w:rPr>
          <w:sz w:val="24"/>
          <w:szCs w:val="24"/>
        </w:rPr>
        <w:t xml:space="preserve"> </w:t>
      </w:r>
      <w:r w:rsidR="007420DC" w:rsidRPr="009A7D7E">
        <w:rPr>
          <w:sz w:val="24"/>
          <w:szCs w:val="24"/>
        </w:rPr>
        <w:t>Theatre was seen by critics to be influential enough to the status quo to criticise and condemn</w:t>
      </w:r>
      <w:r w:rsidR="0001214C" w:rsidRPr="009A7D7E">
        <w:rPr>
          <w:sz w:val="24"/>
          <w:szCs w:val="24"/>
        </w:rPr>
        <w:t>,</w:t>
      </w:r>
      <w:r w:rsidR="002771A7" w:rsidRPr="009A7D7E">
        <w:rPr>
          <w:sz w:val="24"/>
          <w:szCs w:val="24"/>
        </w:rPr>
        <w:t xml:space="preserve"> for example, a certain anti-theatricalist </w:t>
      </w:r>
      <w:r w:rsidR="0021613D" w:rsidRPr="009A7D7E">
        <w:rPr>
          <w:sz w:val="24"/>
          <w:szCs w:val="24"/>
        </w:rPr>
        <w:t>refuted</w:t>
      </w:r>
      <w:r w:rsidR="00114143" w:rsidRPr="009A7D7E">
        <w:rPr>
          <w:sz w:val="24"/>
          <w:szCs w:val="24"/>
        </w:rPr>
        <w:t xml:space="preserve"> Thomas Heywood’s </w:t>
      </w:r>
      <w:r w:rsidR="00F74463" w:rsidRPr="009A7D7E">
        <w:rPr>
          <w:sz w:val="24"/>
          <w:szCs w:val="24"/>
        </w:rPr>
        <w:t xml:space="preserve">argument that theatre </w:t>
      </w:r>
      <w:r w:rsidR="00136EA2" w:rsidRPr="009A7D7E">
        <w:rPr>
          <w:sz w:val="24"/>
          <w:szCs w:val="24"/>
        </w:rPr>
        <w:t xml:space="preserve">taught only </w:t>
      </w:r>
      <w:r w:rsidR="0087437C" w:rsidRPr="009A7D7E">
        <w:rPr>
          <w:sz w:val="24"/>
          <w:szCs w:val="24"/>
        </w:rPr>
        <w:t>virtue</w:t>
      </w:r>
      <w:r w:rsidR="006C00A8" w:rsidRPr="009A7D7E">
        <w:rPr>
          <w:sz w:val="24"/>
          <w:szCs w:val="24"/>
        </w:rPr>
        <w:t xml:space="preserve"> by</w:t>
      </w:r>
      <w:r w:rsidR="00741228" w:rsidRPr="009A7D7E">
        <w:rPr>
          <w:sz w:val="24"/>
          <w:szCs w:val="24"/>
        </w:rPr>
        <w:t xml:space="preserve"> explicitly </w:t>
      </w:r>
      <w:r w:rsidR="000F5FC5" w:rsidRPr="009A7D7E">
        <w:rPr>
          <w:sz w:val="24"/>
          <w:szCs w:val="24"/>
        </w:rPr>
        <w:t xml:space="preserve">claiming that theatre </w:t>
      </w:r>
      <w:r w:rsidR="0087437C" w:rsidRPr="009A7D7E">
        <w:rPr>
          <w:sz w:val="24"/>
          <w:szCs w:val="24"/>
        </w:rPr>
        <w:t>could not</w:t>
      </w:r>
      <w:r w:rsidR="00DF18A2" w:rsidRPr="009A7D7E">
        <w:rPr>
          <w:sz w:val="24"/>
          <w:szCs w:val="24"/>
        </w:rPr>
        <w:t xml:space="preserve"> (or should not)</w:t>
      </w:r>
      <w:r w:rsidR="0087437C" w:rsidRPr="009A7D7E">
        <w:rPr>
          <w:sz w:val="24"/>
          <w:szCs w:val="24"/>
        </w:rPr>
        <w:t xml:space="preserve"> teach </w:t>
      </w:r>
      <w:r w:rsidR="0092372F" w:rsidRPr="009A7D7E">
        <w:rPr>
          <w:sz w:val="24"/>
          <w:szCs w:val="24"/>
        </w:rPr>
        <w:t xml:space="preserve">anything </w:t>
      </w:r>
      <w:r w:rsidR="006826E7" w:rsidRPr="009A7D7E">
        <w:rPr>
          <w:sz w:val="24"/>
          <w:szCs w:val="24"/>
        </w:rPr>
        <w:t xml:space="preserve">at all: “God onely gave authority of publique instruction and correction but to two sorts of men: to his Ecclesiasticall Ministers, and temporal Magistrates: hee never instituted a third authority of Players” </w:t>
      </w:r>
      <w:sdt>
        <w:sdtPr>
          <w:rPr>
            <w:sz w:val="24"/>
            <w:szCs w:val="24"/>
          </w:rPr>
          <w:id w:val="1025287820"/>
          <w:citation/>
        </w:sdtPr>
        <w:sdtEndPr/>
        <w:sdtContent>
          <w:r w:rsidR="006826E7" w:rsidRPr="009A7D7E">
            <w:rPr>
              <w:sz w:val="24"/>
              <w:szCs w:val="24"/>
            </w:rPr>
            <w:fldChar w:fldCharType="begin"/>
          </w:r>
          <w:r w:rsidR="006826E7" w:rsidRPr="009A7D7E">
            <w:rPr>
              <w:sz w:val="24"/>
              <w:szCs w:val="24"/>
            </w:rPr>
            <w:instrText xml:space="preserve"> CITATION GIG15 \l 2057 </w:instrText>
          </w:r>
          <w:r w:rsidR="006826E7" w:rsidRPr="009A7D7E">
            <w:rPr>
              <w:sz w:val="24"/>
              <w:szCs w:val="24"/>
            </w:rPr>
            <w:fldChar w:fldCharType="separate"/>
          </w:r>
          <w:r w:rsidR="006826E7" w:rsidRPr="009A7D7E">
            <w:rPr>
              <w:sz w:val="24"/>
              <w:szCs w:val="24"/>
            </w:rPr>
            <w:t>(G., 1615)</w:t>
          </w:r>
          <w:r w:rsidR="006826E7" w:rsidRPr="009A7D7E">
            <w:rPr>
              <w:sz w:val="24"/>
              <w:szCs w:val="24"/>
            </w:rPr>
            <w:fldChar w:fldCharType="end"/>
          </w:r>
        </w:sdtContent>
      </w:sdt>
      <w:r w:rsidR="00535144" w:rsidRPr="009A7D7E">
        <w:rPr>
          <w:sz w:val="24"/>
          <w:szCs w:val="24"/>
        </w:rPr>
        <w:t xml:space="preserve">. </w:t>
      </w:r>
      <w:r w:rsidR="00704D1C" w:rsidRPr="009A7D7E">
        <w:rPr>
          <w:sz w:val="24"/>
          <w:szCs w:val="24"/>
        </w:rPr>
        <w:t xml:space="preserve">The </w:t>
      </w:r>
      <w:r w:rsidR="002849F3" w:rsidRPr="009A7D7E">
        <w:rPr>
          <w:sz w:val="24"/>
          <w:szCs w:val="24"/>
        </w:rPr>
        <w:t>ardent</w:t>
      </w:r>
      <w:r w:rsidR="00704D1C" w:rsidRPr="009A7D7E">
        <w:rPr>
          <w:sz w:val="24"/>
          <w:szCs w:val="24"/>
        </w:rPr>
        <w:t xml:space="preserve"> </w:t>
      </w:r>
      <w:r w:rsidR="00157953" w:rsidRPr="009A7D7E">
        <w:rPr>
          <w:sz w:val="24"/>
          <w:szCs w:val="24"/>
        </w:rPr>
        <w:t xml:space="preserve">protest against theatre’s authority </w:t>
      </w:r>
      <w:r w:rsidR="00CE6DA4" w:rsidRPr="009A7D7E">
        <w:rPr>
          <w:sz w:val="24"/>
          <w:szCs w:val="24"/>
        </w:rPr>
        <w:t xml:space="preserve">implies that a significant </w:t>
      </w:r>
      <w:r w:rsidR="00080E06" w:rsidRPr="009A7D7E">
        <w:rPr>
          <w:sz w:val="24"/>
          <w:szCs w:val="24"/>
        </w:rPr>
        <w:t xml:space="preserve">enough </w:t>
      </w:r>
      <w:r w:rsidR="00CE6DA4" w:rsidRPr="009A7D7E">
        <w:rPr>
          <w:sz w:val="24"/>
          <w:szCs w:val="24"/>
        </w:rPr>
        <w:t>part of society did see it as an authority</w:t>
      </w:r>
      <w:r w:rsidR="00746296" w:rsidRPr="009A7D7E">
        <w:rPr>
          <w:sz w:val="24"/>
          <w:szCs w:val="24"/>
        </w:rPr>
        <w:t xml:space="preserve"> on matters of social,</w:t>
      </w:r>
      <w:r w:rsidR="009732CA" w:rsidRPr="009A7D7E">
        <w:rPr>
          <w:sz w:val="24"/>
          <w:szCs w:val="24"/>
        </w:rPr>
        <w:t xml:space="preserve"> political, and individual life to warrant such</w:t>
      </w:r>
      <w:r w:rsidR="003C6297" w:rsidRPr="009A7D7E">
        <w:rPr>
          <w:sz w:val="24"/>
          <w:szCs w:val="24"/>
        </w:rPr>
        <w:t xml:space="preserve"> a vehement response.</w:t>
      </w:r>
    </w:p>
    <w:p w14:paraId="57D66989" w14:textId="542C8E7E" w:rsidR="00DF0621" w:rsidRPr="009A7D7E" w:rsidRDefault="00686899" w:rsidP="009A7D7E">
      <w:pPr>
        <w:spacing w:line="480" w:lineRule="auto"/>
        <w:ind w:firstLine="567"/>
        <w:rPr>
          <w:sz w:val="24"/>
          <w:szCs w:val="24"/>
        </w:rPr>
      </w:pPr>
      <w:r w:rsidRPr="009A7D7E">
        <w:rPr>
          <w:sz w:val="24"/>
          <w:szCs w:val="24"/>
        </w:rPr>
        <w:t>The specific text</w:t>
      </w:r>
      <w:r w:rsidR="000D771D" w:rsidRPr="009A7D7E">
        <w:rPr>
          <w:sz w:val="24"/>
          <w:szCs w:val="24"/>
        </w:rPr>
        <w:t xml:space="preserve"> “</w:t>
      </w:r>
      <w:r w:rsidR="005F0B0A" w:rsidRPr="009A7D7E">
        <w:rPr>
          <w:sz w:val="24"/>
          <w:szCs w:val="24"/>
        </w:rPr>
        <w:t>A Refutation of the Apology for Actors”</w:t>
      </w:r>
      <w:r w:rsidRPr="009A7D7E">
        <w:rPr>
          <w:sz w:val="24"/>
          <w:szCs w:val="24"/>
        </w:rPr>
        <w:t>, written by the anonymous I.</w:t>
      </w:r>
      <w:r w:rsidR="00A109F6" w:rsidRPr="009A7D7E">
        <w:rPr>
          <w:sz w:val="24"/>
          <w:szCs w:val="24"/>
        </w:rPr>
        <w:t xml:space="preserve"> </w:t>
      </w:r>
      <w:r w:rsidRPr="009A7D7E">
        <w:rPr>
          <w:sz w:val="24"/>
          <w:szCs w:val="24"/>
        </w:rPr>
        <w:t>G.</w:t>
      </w:r>
      <w:r w:rsidR="001A3C16" w:rsidRPr="009A7D7E">
        <w:rPr>
          <w:sz w:val="24"/>
          <w:szCs w:val="24"/>
        </w:rPr>
        <w:t xml:space="preserve"> (widely considered </w:t>
      </w:r>
      <w:r w:rsidR="009C188C" w:rsidRPr="009A7D7E">
        <w:rPr>
          <w:sz w:val="24"/>
          <w:szCs w:val="24"/>
        </w:rPr>
        <w:t xml:space="preserve">as </w:t>
      </w:r>
      <w:r w:rsidR="001A3C16" w:rsidRPr="009A7D7E">
        <w:rPr>
          <w:sz w:val="24"/>
          <w:szCs w:val="24"/>
        </w:rPr>
        <w:t>John Gree</w:t>
      </w:r>
      <w:r w:rsidR="00F92C18" w:rsidRPr="009A7D7E">
        <w:rPr>
          <w:sz w:val="24"/>
          <w:szCs w:val="24"/>
        </w:rPr>
        <w:t>ne), was a</w:t>
      </w:r>
      <w:r w:rsidR="005F0B0A" w:rsidRPr="009A7D7E">
        <w:rPr>
          <w:sz w:val="24"/>
          <w:szCs w:val="24"/>
        </w:rPr>
        <w:t xml:space="preserve"> response to Thomas Heywood’s “</w:t>
      </w:r>
      <w:r w:rsidR="00F076F6" w:rsidRPr="009A7D7E">
        <w:rPr>
          <w:sz w:val="24"/>
          <w:szCs w:val="24"/>
        </w:rPr>
        <w:t xml:space="preserve">An </w:t>
      </w:r>
      <w:r w:rsidR="005F0B0A" w:rsidRPr="009A7D7E">
        <w:rPr>
          <w:sz w:val="24"/>
          <w:szCs w:val="24"/>
        </w:rPr>
        <w:t>Apology for Actors</w:t>
      </w:r>
      <w:r w:rsidR="00F076F6" w:rsidRPr="009A7D7E">
        <w:rPr>
          <w:sz w:val="24"/>
          <w:szCs w:val="24"/>
        </w:rPr>
        <w:t>”,</w:t>
      </w:r>
      <w:r w:rsidR="000F2A4F" w:rsidRPr="009A7D7E">
        <w:rPr>
          <w:sz w:val="24"/>
          <w:szCs w:val="24"/>
        </w:rPr>
        <w:t xml:space="preserve"> which is a fascinating look into </w:t>
      </w:r>
      <w:r w:rsidR="00C10B76" w:rsidRPr="009A7D7E">
        <w:rPr>
          <w:sz w:val="24"/>
          <w:szCs w:val="24"/>
        </w:rPr>
        <w:t xml:space="preserve">the argument that theatre was used only as a voice of the state. </w:t>
      </w:r>
      <w:r w:rsidR="00F42ECB" w:rsidRPr="009A7D7E">
        <w:rPr>
          <w:sz w:val="24"/>
          <w:szCs w:val="24"/>
        </w:rPr>
        <w:t xml:space="preserve">In it, Heywood writes that the point of theatre was “to teach obedience to the King” </w:t>
      </w:r>
      <w:sdt>
        <w:sdtPr>
          <w:rPr>
            <w:sz w:val="24"/>
            <w:szCs w:val="24"/>
          </w:rPr>
          <w:id w:val="-541752937"/>
          <w:citation/>
        </w:sdtPr>
        <w:sdtEndPr/>
        <w:sdtContent>
          <w:r w:rsidR="00F42ECB" w:rsidRPr="009A7D7E">
            <w:rPr>
              <w:sz w:val="24"/>
              <w:szCs w:val="24"/>
            </w:rPr>
            <w:fldChar w:fldCharType="begin"/>
          </w:r>
          <w:r w:rsidR="004D6808" w:rsidRPr="009A7D7E">
            <w:rPr>
              <w:sz w:val="24"/>
              <w:szCs w:val="24"/>
            </w:rPr>
            <w:instrText xml:space="preserve">CITATION Hey12 \n  \l 2057 </w:instrText>
          </w:r>
          <w:r w:rsidR="00F42ECB" w:rsidRPr="009A7D7E">
            <w:rPr>
              <w:sz w:val="24"/>
              <w:szCs w:val="24"/>
            </w:rPr>
            <w:fldChar w:fldCharType="separate"/>
          </w:r>
          <w:r w:rsidR="004D6808" w:rsidRPr="009A7D7E">
            <w:rPr>
              <w:sz w:val="24"/>
              <w:szCs w:val="24"/>
            </w:rPr>
            <w:t>(1612)</w:t>
          </w:r>
          <w:r w:rsidR="00F42ECB" w:rsidRPr="009A7D7E">
            <w:rPr>
              <w:sz w:val="24"/>
              <w:szCs w:val="24"/>
            </w:rPr>
            <w:fldChar w:fldCharType="end"/>
          </w:r>
        </w:sdtContent>
      </w:sdt>
      <w:r w:rsidR="000617CE" w:rsidRPr="009A7D7E">
        <w:rPr>
          <w:sz w:val="24"/>
          <w:szCs w:val="24"/>
        </w:rPr>
        <w:t>, displaying the right virtues and</w:t>
      </w:r>
      <w:r w:rsidR="002D180F" w:rsidRPr="009A7D7E">
        <w:rPr>
          <w:sz w:val="24"/>
          <w:szCs w:val="24"/>
        </w:rPr>
        <w:t xml:space="preserve"> manners of proper subjects of England’s rule</w:t>
      </w:r>
      <w:r w:rsidR="000C25C5" w:rsidRPr="009A7D7E">
        <w:rPr>
          <w:sz w:val="24"/>
          <w:szCs w:val="24"/>
        </w:rPr>
        <w:t>.</w:t>
      </w:r>
      <w:r w:rsidR="007244B8" w:rsidRPr="009A7D7E">
        <w:rPr>
          <w:sz w:val="24"/>
          <w:szCs w:val="24"/>
        </w:rPr>
        <w:t xml:space="preserve"> This view can</w:t>
      </w:r>
      <w:r w:rsidR="00316FD4" w:rsidRPr="009A7D7E">
        <w:rPr>
          <w:sz w:val="24"/>
          <w:szCs w:val="24"/>
        </w:rPr>
        <w:t xml:space="preserve"> easily be supported by considering that early modern theatre, although not under London city council’s jurisdiction, still fell under </w:t>
      </w:r>
      <w:r w:rsidR="00F64F4D" w:rsidRPr="009A7D7E">
        <w:rPr>
          <w:sz w:val="24"/>
          <w:szCs w:val="24"/>
        </w:rPr>
        <w:t xml:space="preserve">the heavy quill of the </w:t>
      </w:r>
      <w:r w:rsidR="00BC0691" w:rsidRPr="009A7D7E">
        <w:rPr>
          <w:sz w:val="24"/>
          <w:szCs w:val="24"/>
        </w:rPr>
        <w:t>M</w:t>
      </w:r>
      <w:r w:rsidR="00F64F4D" w:rsidRPr="009A7D7E">
        <w:rPr>
          <w:sz w:val="24"/>
          <w:szCs w:val="24"/>
        </w:rPr>
        <w:t xml:space="preserve">aster of the </w:t>
      </w:r>
      <w:r w:rsidR="00BC0691" w:rsidRPr="009A7D7E">
        <w:rPr>
          <w:sz w:val="24"/>
          <w:szCs w:val="24"/>
        </w:rPr>
        <w:t>R</w:t>
      </w:r>
      <w:r w:rsidR="00F64F4D" w:rsidRPr="009A7D7E">
        <w:rPr>
          <w:sz w:val="24"/>
          <w:szCs w:val="24"/>
        </w:rPr>
        <w:t xml:space="preserve">evels </w:t>
      </w:r>
      <w:r w:rsidR="00C21F00" w:rsidRPr="009A7D7E">
        <w:rPr>
          <w:sz w:val="24"/>
          <w:szCs w:val="24"/>
        </w:rPr>
        <w:t>–</w:t>
      </w:r>
      <w:r w:rsidR="00F64F4D" w:rsidRPr="009A7D7E">
        <w:rPr>
          <w:sz w:val="24"/>
          <w:szCs w:val="24"/>
        </w:rPr>
        <w:t xml:space="preserve"> </w:t>
      </w:r>
      <w:r w:rsidR="00C21F00" w:rsidRPr="009A7D7E">
        <w:rPr>
          <w:sz w:val="24"/>
          <w:szCs w:val="24"/>
        </w:rPr>
        <w:t xml:space="preserve">the person responsible for censoring and banning plays </w:t>
      </w:r>
      <w:r w:rsidR="007F31F3" w:rsidRPr="009A7D7E">
        <w:rPr>
          <w:sz w:val="24"/>
          <w:szCs w:val="24"/>
        </w:rPr>
        <w:t>concerning</w:t>
      </w:r>
      <w:r w:rsidR="00287216" w:rsidRPr="009A7D7E">
        <w:rPr>
          <w:sz w:val="24"/>
          <w:szCs w:val="24"/>
        </w:rPr>
        <w:t>, as said in a proclamation issued in 1559,</w:t>
      </w:r>
      <w:r w:rsidR="00EA2FE5" w:rsidRPr="009A7D7E">
        <w:rPr>
          <w:sz w:val="24"/>
          <w:szCs w:val="24"/>
        </w:rPr>
        <w:t xml:space="preserve"> “either matters of religion</w:t>
      </w:r>
      <w:r w:rsidR="003E352E" w:rsidRPr="009A7D7E">
        <w:rPr>
          <w:sz w:val="24"/>
          <w:szCs w:val="24"/>
        </w:rPr>
        <w:t xml:space="preserve"> or of the governance of the </w:t>
      </w:r>
      <w:r w:rsidR="003E352E" w:rsidRPr="009A7D7E">
        <w:rPr>
          <w:sz w:val="24"/>
          <w:szCs w:val="24"/>
        </w:rPr>
        <w:lastRenderedPageBreak/>
        <w:t>estate of the commonweal”</w:t>
      </w:r>
      <w:r w:rsidR="00287216" w:rsidRPr="009A7D7E">
        <w:rPr>
          <w:sz w:val="24"/>
          <w:szCs w:val="24"/>
        </w:rPr>
        <w:t xml:space="preserve"> </w:t>
      </w:r>
      <w:sdt>
        <w:sdtPr>
          <w:rPr>
            <w:sz w:val="24"/>
            <w:szCs w:val="24"/>
          </w:rPr>
          <w:id w:val="2087953361"/>
          <w:citation/>
        </w:sdtPr>
        <w:sdtEndPr/>
        <w:sdtContent>
          <w:r w:rsidR="00287216" w:rsidRPr="009A7D7E">
            <w:rPr>
              <w:sz w:val="24"/>
              <w:szCs w:val="24"/>
            </w:rPr>
            <w:fldChar w:fldCharType="begin"/>
          </w:r>
          <w:r w:rsidR="00287216" w:rsidRPr="009A7D7E">
            <w:rPr>
              <w:sz w:val="24"/>
              <w:szCs w:val="24"/>
            </w:rPr>
            <w:instrText xml:space="preserve"> CITATION Hug69 \l 2057 </w:instrText>
          </w:r>
          <w:r w:rsidR="00287216" w:rsidRPr="009A7D7E">
            <w:rPr>
              <w:sz w:val="24"/>
              <w:szCs w:val="24"/>
            </w:rPr>
            <w:fldChar w:fldCharType="separate"/>
          </w:r>
          <w:r w:rsidR="00287216" w:rsidRPr="009A7D7E">
            <w:rPr>
              <w:sz w:val="24"/>
              <w:szCs w:val="24"/>
            </w:rPr>
            <w:t>(Hughes &amp; Larkin, 1969)</w:t>
          </w:r>
          <w:r w:rsidR="00287216" w:rsidRPr="009A7D7E">
            <w:rPr>
              <w:sz w:val="24"/>
              <w:szCs w:val="24"/>
            </w:rPr>
            <w:fldChar w:fldCharType="end"/>
          </w:r>
        </w:sdtContent>
      </w:sdt>
      <w:r w:rsidR="005B3BDF" w:rsidRPr="009A7D7E">
        <w:rPr>
          <w:sz w:val="24"/>
          <w:szCs w:val="24"/>
        </w:rPr>
        <w:t xml:space="preserve">. </w:t>
      </w:r>
      <w:r w:rsidR="00717006" w:rsidRPr="009A7D7E">
        <w:rPr>
          <w:sz w:val="24"/>
          <w:szCs w:val="24"/>
        </w:rPr>
        <w:t xml:space="preserve">Every play having to earn a license to play ensured that </w:t>
      </w:r>
      <w:r w:rsidR="00C00C0D" w:rsidRPr="009A7D7E">
        <w:rPr>
          <w:sz w:val="24"/>
          <w:szCs w:val="24"/>
        </w:rPr>
        <w:t xml:space="preserve">there were no </w:t>
      </w:r>
      <w:r w:rsidR="000D5E12" w:rsidRPr="009A7D7E">
        <w:rPr>
          <w:sz w:val="24"/>
          <w:szCs w:val="24"/>
        </w:rPr>
        <w:t xml:space="preserve">plays performed with direct and </w:t>
      </w:r>
      <w:r w:rsidR="00B23CA0" w:rsidRPr="009A7D7E">
        <w:rPr>
          <w:sz w:val="24"/>
          <w:szCs w:val="24"/>
        </w:rPr>
        <w:t xml:space="preserve">straightforward revolutionary or otherwise </w:t>
      </w:r>
      <w:r w:rsidR="00DF7B49" w:rsidRPr="009A7D7E">
        <w:rPr>
          <w:sz w:val="24"/>
          <w:szCs w:val="24"/>
        </w:rPr>
        <w:t>challenging messages</w:t>
      </w:r>
      <w:r w:rsidR="002601C5" w:rsidRPr="009A7D7E">
        <w:rPr>
          <w:sz w:val="24"/>
          <w:szCs w:val="24"/>
        </w:rPr>
        <w:t xml:space="preserve">. In fact, plays with </w:t>
      </w:r>
      <w:r w:rsidR="00C96FB7" w:rsidRPr="009A7D7E">
        <w:rPr>
          <w:sz w:val="24"/>
          <w:szCs w:val="24"/>
        </w:rPr>
        <w:t>approved messages were encouraged, as says a minute</w:t>
      </w:r>
      <w:r w:rsidR="00772A02" w:rsidRPr="009A7D7E">
        <w:rPr>
          <w:sz w:val="24"/>
          <w:szCs w:val="24"/>
        </w:rPr>
        <w:t xml:space="preserve"> of City Court of Aldermen in May 20, 1572:</w:t>
      </w:r>
    </w:p>
    <w:p w14:paraId="1C02174D" w14:textId="4986155C" w:rsidR="00772A02" w:rsidRPr="009A7D7E" w:rsidRDefault="00772A02" w:rsidP="00876D8F">
      <w:pPr>
        <w:spacing w:line="240" w:lineRule="auto"/>
        <w:ind w:left="709"/>
        <w:rPr>
          <w:sz w:val="24"/>
          <w:szCs w:val="24"/>
        </w:rPr>
      </w:pPr>
      <w:r w:rsidRPr="009A7D7E">
        <w:rPr>
          <w:sz w:val="24"/>
          <w:szCs w:val="24"/>
        </w:rPr>
        <w:t>written in the favor of certein persones to haue in there howses, yardes, or back sydes, being overt &amp; open places, such playes, enterludes, commedies, &amp; tragedies as maye tende to represse vyce &amp; extoll vertwe, for the recreacion of the people, &amp; therby to drawe them from sundrye worser exercyses</w:t>
      </w:r>
      <w:r w:rsidR="00C41DF4" w:rsidRPr="009A7D7E">
        <w:rPr>
          <w:sz w:val="24"/>
          <w:szCs w:val="24"/>
        </w:rPr>
        <w:t>.</w:t>
      </w:r>
      <w:r w:rsidR="002B54A2" w:rsidRPr="009A7D7E">
        <w:rPr>
          <w:sz w:val="24"/>
          <w:szCs w:val="24"/>
        </w:rPr>
        <w:br/>
      </w:r>
      <w:sdt>
        <w:sdtPr>
          <w:rPr>
            <w:sz w:val="24"/>
            <w:szCs w:val="24"/>
          </w:rPr>
          <w:id w:val="-1411376531"/>
          <w:citation/>
        </w:sdtPr>
        <w:sdtEndPr/>
        <w:sdtContent>
          <w:r w:rsidRPr="009A7D7E">
            <w:rPr>
              <w:sz w:val="24"/>
              <w:szCs w:val="24"/>
            </w:rPr>
            <w:fldChar w:fldCharType="begin"/>
          </w:r>
          <w:r w:rsidRPr="009A7D7E">
            <w:rPr>
              <w:sz w:val="24"/>
              <w:szCs w:val="24"/>
            </w:rPr>
            <w:instrText xml:space="preserve">CITATION Cha23 \p 269 \l 2057 </w:instrText>
          </w:r>
          <w:r w:rsidRPr="009A7D7E">
            <w:rPr>
              <w:sz w:val="24"/>
              <w:szCs w:val="24"/>
            </w:rPr>
            <w:fldChar w:fldCharType="separate"/>
          </w:r>
          <w:r w:rsidRPr="009A7D7E">
            <w:rPr>
              <w:sz w:val="24"/>
              <w:szCs w:val="24"/>
            </w:rPr>
            <w:t>(Chambers, 1923, p. 269)</w:t>
          </w:r>
          <w:r w:rsidRPr="009A7D7E">
            <w:rPr>
              <w:sz w:val="24"/>
              <w:szCs w:val="24"/>
            </w:rPr>
            <w:fldChar w:fldCharType="end"/>
          </w:r>
        </w:sdtContent>
      </w:sdt>
    </w:p>
    <w:p w14:paraId="168E753D" w14:textId="42BD7B73" w:rsidR="003B5EC6" w:rsidRPr="009A7D7E" w:rsidRDefault="00FC3E83" w:rsidP="009A7D7E">
      <w:pPr>
        <w:spacing w:line="480" w:lineRule="auto"/>
        <w:rPr>
          <w:sz w:val="24"/>
          <w:szCs w:val="24"/>
        </w:rPr>
      </w:pPr>
      <w:r w:rsidRPr="009A7D7E">
        <w:rPr>
          <w:sz w:val="24"/>
          <w:szCs w:val="24"/>
        </w:rPr>
        <w:t xml:space="preserve">Furthermore, </w:t>
      </w:r>
      <w:r w:rsidR="00C01237" w:rsidRPr="009A7D7E">
        <w:rPr>
          <w:sz w:val="24"/>
          <w:szCs w:val="24"/>
        </w:rPr>
        <w:t>the theatre became much closer to the crown at the start of James I</w:t>
      </w:r>
      <w:r w:rsidR="007D096B" w:rsidRPr="009A7D7E">
        <w:rPr>
          <w:sz w:val="24"/>
          <w:szCs w:val="24"/>
        </w:rPr>
        <w:t>’s reign</w:t>
      </w:r>
      <w:r w:rsidR="00FB13F0" w:rsidRPr="009A7D7E">
        <w:rPr>
          <w:sz w:val="24"/>
          <w:szCs w:val="24"/>
        </w:rPr>
        <w:t xml:space="preserve"> </w:t>
      </w:r>
      <w:r w:rsidR="007D096B" w:rsidRPr="009A7D7E">
        <w:rPr>
          <w:sz w:val="24"/>
          <w:szCs w:val="24"/>
        </w:rPr>
        <w:t>as</w:t>
      </w:r>
      <w:r w:rsidR="00FB13F0" w:rsidRPr="009A7D7E">
        <w:rPr>
          <w:sz w:val="24"/>
          <w:szCs w:val="24"/>
        </w:rPr>
        <w:t xml:space="preserve"> playing companies, such as </w:t>
      </w:r>
      <w:r w:rsidR="00162A1B" w:rsidRPr="009A7D7E">
        <w:rPr>
          <w:sz w:val="24"/>
          <w:szCs w:val="24"/>
        </w:rPr>
        <w:t>the Lord Chamberlain’s Men, the Admiral’s Company, and Worcester’s Men</w:t>
      </w:r>
      <w:r w:rsidR="002E1684" w:rsidRPr="009A7D7E">
        <w:rPr>
          <w:sz w:val="24"/>
          <w:szCs w:val="24"/>
        </w:rPr>
        <w:t xml:space="preserve">, turned into </w:t>
      </w:r>
      <w:r w:rsidR="00162A1B" w:rsidRPr="009A7D7E">
        <w:rPr>
          <w:sz w:val="24"/>
          <w:szCs w:val="24"/>
        </w:rPr>
        <w:t>the King’s Men, Prince Henry’s Men</w:t>
      </w:r>
      <w:r w:rsidR="002E1684" w:rsidRPr="009A7D7E">
        <w:rPr>
          <w:sz w:val="24"/>
          <w:szCs w:val="24"/>
        </w:rPr>
        <w:t>, and</w:t>
      </w:r>
      <w:r w:rsidR="00162A1B" w:rsidRPr="009A7D7E">
        <w:rPr>
          <w:sz w:val="24"/>
          <w:szCs w:val="24"/>
        </w:rPr>
        <w:t xml:space="preserve"> Queen Anne’s Men</w:t>
      </w:r>
      <w:r w:rsidR="002E1684" w:rsidRPr="009A7D7E">
        <w:rPr>
          <w:sz w:val="24"/>
          <w:szCs w:val="24"/>
        </w:rPr>
        <w:t>, respectively.</w:t>
      </w:r>
      <w:r w:rsidR="000B3F9C" w:rsidRPr="009A7D7E">
        <w:rPr>
          <w:sz w:val="24"/>
          <w:szCs w:val="24"/>
        </w:rPr>
        <w:t xml:space="preserve"> </w:t>
      </w:r>
      <w:r w:rsidR="00D03D22" w:rsidRPr="009A7D7E">
        <w:rPr>
          <w:sz w:val="24"/>
          <w:szCs w:val="24"/>
        </w:rPr>
        <w:t xml:space="preserve">To add, </w:t>
      </w:r>
      <w:r w:rsidR="0025266A" w:rsidRPr="009A7D7E">
        <w:rPr>
          <w:sz w:val="24"/>
          <w:szCs w:val="24"/>
        </w:rPr>
        <w:t xml:space="preserve">Jacobean theatre </w:t>
      </w:r>
      <w:r w:rsidR="00F15213" w:rsidRPr="009A7D7E">
        <w:rPr>
          <w:sz w:val="24"/>
          <w:szCs w:val="24"/>
        </w:rPr>
        <w:t xml:space="preserve">reintroduced religious representation on stage, </w:t>
      </w:r>
      <w:r w:rsidR="000E6F02" w:rsidRPr="009A7D7E">
        <w:rPr>
          <w:sz w:val="24"/>
          <w:szCs w:val="24"/>
        </w:rPr>
        <w:t>particularly a satire often based on puritans,</w:t>
      </w:r>
      <w:r w:rsidR="000C2D6E" w:rsidRPr="009A7D7E">
        <w:rPr>
          <w:sz w:val="24"/>
          <w:szCs w:val="24"/>
        </w:rPr>
        <w:t xml:space="preserve"> which may have been a way for James I to </w:t>
      </w:r>
      <w:r w:rsidR="001A20C8" w:rsidRPr="009A7D7E">
        <w:rPr>
          <w:sz w:val="24"/>
          <w:szCs w:val="24"/>
        </w:rPr>
        <w:t xml:space="preserve">make the puritans </w:t>
      </w:r>
      <w:r w:rsidR="00F6484D" w:rsidRPr="009A7D7E">
        <w:rPr>
          <w:sz w:val="24"/>
          <w:szCs w:val="24"/>
        </w:rPr>
        <w:t xml:space="preserve">conform or leave the queen’s land </w:t>
      </w:r>
      <w:sdt>
        <w:sdtPr>
          <w:rPr>
            <w:sz w:val="24"/>
            <w:szCs w:val="24"/>
          </w:rPr>
          <w:id w:val="-1459257050"/>
          <w:citation/>
        </w:sdtPr>
        <w:sdtEndPr/>
        <w:sdtContent>
          <w:r w:rsidR="00F6484D" w:rsidRPr="009A7D7E">
            <w:rPr>
              <w:sz w:val="24"/>
              <w:szCs w:val="24"/>
            </w:rPr>
            <w:fldChar w:fldCharType="begin"/>
          </w:r>
          <w:r w:rsidR="00F6484D" w:rsidRPr="009A7D7E">
            <w:rPr>
              <w:sz w:val="24"/>
              <w:szCs w:val="24"/>
            </w:rPr>
            <w:instrText xml:space="preserve">CITATION Fit46 \p 269 \l 2057 </w:instrText>
          </w:r>
          <w:r w:rsidR="00F6484D" w:rsidRPr="009A7D7E">
            <w:rPr>
              <w:sz w:val="24"/>
              <w:szCs w:val="24"/>
            </w:rPr>
            <w:fldChar w:fldCharType="separate"/>
          </w:r>
          <w:r w:rsidR="00F6484D" w:rsidRPr="009A7D7E">
            <w:rPr>
              <w:sz w:val="24"/>
              <w:szCs w:val="24"/>
            </w:rPr>
            <w:t>(Fitzpatrick, 1946, p. 269)</w:t>
          </w:r>
          <w:r w:rsidR="00F6484D" w:rsidRPr="009A7D7E">
            <w:rPr>
              <w:sz w:val="24"/>
              <w:szCs w:val="24"/>
            </w:rPr>
            <w:fldChar w:fldCharType="end"/>
          </w:r>
        </w:sdtContent>
      </w:sdt>
      <w:r w:rsidR="00F6484D" w:rsidRPr="009A7D7E">
        <w:rPr>
          <w:sz w:val="24"/>
          <w:szCs w:val="24"/>
        </w:rPr>
        <w:t xml:space="preserve">. </w:t>
      </w:r>
      <w:r w:rsidR="00F21DDF" w:rsidRPr="009A7D7E">
        <w:rPr>
          <w:sz w:val="24"/>
          <w:szCs w:val="24"/>
        </w:rPr>
        <w:t xml:space="preserve">Thus, </w:t>
      </w:r>
      <w:r w:rsidR="002328B3" w:rsidRPr="009A7D7E">
        <w:rPr>
          <w:sz w:val="24"/>
          <w:szCs w:val="24"/>
        </w:rPr>
        <w:t xml:space="preserve">one could argue that </w:t>
      </w:r>
      <w:r w:rsidR="00CB31D2" w:rsidRPr="009A7D7E">
        <w:rPr>
          <w:sz w:val="24"/>
          <w:szCs w:val="24"/>
        </w:rPr>
        <w:t>early modern theatre was a device for the state either to solidify the status quo</w:t>
      </w:r>
      <w:r w:rsidR="00D01561" w:rsidRPr="009A7D7E">
        <w:rPr>
          <w:sz w:val="24"/>
          <w:szCs w:val="24"/>
        </w:rPr>
        <w:t xml:space="preserve"> and keep its subjects subservient</w:t>
      </w:r>
      <w:r w:rsidR="00990F6C" w:rsidRPr="009A7D7E">
        <w:rPr>
          <w:sz w:val="24"/>
          <w:szCs w:val="24"/>
        </w:rPr>
        <w:t xml:space="preserve"> or to influence society for state gains</w:t>
      </w:r>
      <w:r w:rsidR="00AB0F9A" w:rsidRPr="009A7D7E">
        <w:rPr>
          <w:sz w:val="24"/>
          <w:szCs w:val="24"/>
        </w:rPr>
        <w:t xml:space="preserve">. </w:t>
      </w:r>
    </w:p>
    <w:p w14:paraId="7C140EA1" w14:textId="2E39F606" w:rsidR="00B30E10" w:rsidRPr="009A7D7E" w:rsidRDefault="00B30E10" w:rsidP="009A7D7E">
      <w:pPr>
        <w:spacing w:line="480" w:lineRule="auto"/>
        <w:ind w:firstLine="567"/>
        <w:rPr>
          <w:sz w:val="24"/>
          <w:szCs w:val="24"/>
        </w:rPr>
      </w:pPr>
      <w:r w:rsidRPr="009A7D7E">
        <w:rPr>
          <w:sz w:val="24"/>
          <w:szCs w:val="24"/>
        </w:rPr>
        <w:t xml:space="preserve">However, censorship </w:t>
      </w:r>
      <w:r w:rsidR="00B40D0C" w:rsidRPr="009A7D7E">
        <w:rPr>
          <w:sz w:val="24"/>
          <w:szCs w:val="24"/>
        </w:rPr>
        <w:t xml:space="preserve">and bans </w:t>
      </w:r>
      <w:r w:rsidR="007C6AF7" w:rsidRPr="009A7D7E">
        <w:rPr>
          <w:sz w:val="24"/>
          <w:szCs w:val="24"/>
        </w:rPr>
        <w:t xml:space="preserve">invite creativity in </w:t>
      </w:r>
      <w:r w:rsidR="0073266D" w:rsidRPr="009A7D7E">
        <w:rPr>
          <w:sz w:val="24"/>
          <w:szCs w:val="24"/>
        </w:rPr>
        <w:t xml:space="preserve">the evasion of them. </w:t>
      </w:r>
      <w:r w:rsidR="00CF250D" w:rsidRPr="009A7D7E">
        <w:rPr>
          <w:sz w:val="24"/>
          <w:szCs w:val="24"/>
        </w:rPr>
        <w:t>Although</w:t>
      </w:r>
      <w:r w:rsidR="009670CA" w:rsidRPr="009A7D7E">
        <w:rPr>
          <w:sz w:val="24"/>
          <w:szCs w:val="24"/>
        </w:rPr>
        <w:t xml:space="preserve"> </w:t>
      </w:r>
      <w:r w:rsidR="00A77C00" w:rsidRPr="009A7D7E">
        <w:rPr>
          <w:sz w:val="24"/>
          <w:szCs w:val="24"/>
        </w:rPr>
        <w:t xml:space="preserve">(or perhaps because) early modern plays were censored, </w:t>
      </w:r>
      <w:r w:rsidR="00B13459" w:rsidRPr="009A7D7E">
        <w:rPr>
          <w:sz w:val="24"/>
          <w:szCs w:val="24"/>
        </w:rPr>
        <w:t xml:space="preserve">a significant part </w:t>
      </w:r>
      <w:r w:rsidR="007F5FE5" w:rsidRPr="009A7D7E">
        <w:rPr>
          <w:sz w:val="24"/>
          <w:szCs w:val="24"/>
        </w:rPr>
        <w:t xml:space="preserve">challenged the social hierarchy in </w:t>
      </w:r>
      <w:r w:rsidR="0063392B" w:rsidRPr="009A7D7E">
        <w:rPr>
          <w:sz w:val="24"/>
          <w:szCs w:val="24"/>
        </w:rPr>
        <w:t>subtle ways: by symbols, images, and other hidden meanings.</w:t>
      </w:r>
      <w:r w:rsidR="00A15252" w:rsidRPr="009A7D7E">
        <w:rPr>
          <w:sz w:val="24"/>
          <w:szCs w:val="24"/>
        </w:rPr>
        <w:t xml:space="preserve"> </w:t>
      </w:r>
      <w:r w:rsidR="009D2300" w:rsidRPr="009A7D7E">
        <w:rPr>
          <w:sz w:val="24"/>
          <w:szCs w:val="24"/>
        </w:rPr>
        <w:t xml:space="preserve">As Shakespeare’s Hamlet says: “The purpose of playing […] is, to </w:t>
      </w:r>
      <w:r w:rsidR="009D2300" w:rsidRPr="009A7D7E">
        <w:rPr>
          <w:sz w:val="24"/>
          <w:szCs w:val="24"/>
        </w:rPr>
        <w:lastRenderedPageBreak/>
        <w:t>hold as’t were the mirror up to nature, to show virtue her feature, scorn her own image, and the very age and body of the time his form and pressure”</w:t>
      </w:r>
      <w:r w:rsidR="00114313" w:rsidRPr="009A7D7E">
        <w:rPr>
          <w:sz w:val="24"/>
          <w:szCs w:val="24"/>
        </w:rPr>
        <w:t xml:space="preserve"> </w:t>
      </w:r>
      <w:r w:rsidR="009D2300" w:rsidRPr="009A7D7E">
        <w:rPr>
          <w:sz w:val="24"/>
          <w:szCs w:val="24"/>
        </w:rPr>
        <w:t>(</w:t>
      </w:r>
      <w:r w:rsidR="009D2300" w:rsidRPr="009A7D7E">
        <w:rPr>
          <w:i/>
          <w:iCs/>
          <w:sz w:val="24"/>
          <w:szCs w:val="24"/>
        </w:rPr>
        <w:t>Hamlet</w:t>
      </w:r>
      <w:r w:rsidR="009D2300" w:rsidRPr="009A7D7E">
        <w:rPr>
          <w:sz w:val="24"/>
          <w:szCs w:val="24"/>
        </w:rPr>
        <w:t>, 3.2.20-4)</w:t>
      </w:r>
      <w:r w:rsidR="00114313" w:rsidRPr="009A7D7E">
        <w:rPr>
          <w:sz w:val="24"/>
          <w:szCs w:val="24"/>
        </w:rPr>
        <w:t>.</w:t>
      </w:r>
      <w:r w:rsidR="00117084" w:rsidRPr="009A7D7E">
        <w:rPr>
          <w:sz w:val="24"/>
          <w:szCs w:val="24"/>
        </w:rPr>
        <w:t xml:space="preserve"> In many ways, </w:t>
      </w:r>
      <w:r w:rsidR="009016E8" w:rsidRPr="009A7D7E">
        <w:rPr>
          <w:sz w:val="24"/>
          <w:szCs w:val="24"/>
        </w:rPr>
        <w:t>theatre in early modern England acted as the mirror mentioned by Hamlet</w:t>
      </w:r>
      <w:r w:rsidR="008B4F0B" w:rsidRPr="009A7D7E">
        <w:rPr>
          <w:sz w:val="24"/>
          <w:szCs w:val="24"/>
        </w:rPr>
        <w:t xml:space="preserve">, representing </w:t>
      </w:r>
      <w:r w:rsidR="0075020F" w:rsidRPr="009A7D7E">
        <w:rPr>
          <w:sz w:val="24"/>
          <w:szCs w:val="24"/>
        </w:rPr>
        <w:t xml:space="preserve">and challenging society on the stage. </w:t>
      </w:r>
      <w:r w:rsidR="0080009D" w:rsidRPr="009A7D7E">
        <w:rPr>
          <w:sz w:val="24"/>
          <w:szCs w:val="24"/>
        </w:rPr>
        <w:t>Specifically, t</w:t>
      </w:r>
      <w:r w:rsidR="000047AF" w:rsidRPr="009A7D7E">
        <w:rPr>
          <w:sz w:val="24"/>
          <w:szCs w:val="24"/>
        </w:rPr>
        <w:t xml:space="preserve">he location of the stage was </w:t>
      </w:r>
      <w:r w:rsidR="0079195F" w:rsidRPr="009A7D7E">
        <w:rPr>
          <w:sz w:val="24"/>
          <w:szCs w:val="24"/>
        </w:rPr>
        <w:t>an</w:t>
      </w:r>
      <w:r w:rsidR="000047AF" w:rsidRPr="009A7D7E">
        <w:rPr>
          <w:sz w:val="24"/>
          <w:szCs w:val="24"/>
        </w:rPr>
        <w:t xml:space="preserve"> important factor in the making of this mirror</w:t>
      </w:r>
      <w:r w:rsidR="005E2975" w:rsidRPr="009A7D7E">
        <w:rPr>
          <w:sz w:val="24"/>
          <w:szCs w:val="24"/>
        </w:rPr>
        <w:t>,</w:t>
      </w:r>
      <w:r w:rsidR="000047AF" w:rsidRPr="009A7D7E">
        <w:rPr>
          <w:sz w:val="24"/>
          <w:szCs w:val="24"/>
        </w:rPr>
        <w:t xml:space="preserve"> as ‘the Liberties’ were</w:t>
      </w:r>
      <w:r w:rsidR="003B5EC6" w:rsidRPr="009A7D7E">
        <w:rPr>
          <w:sz w:val="24"/>
          <w:szCs w:val="24"/>
        </w:rPr>
        <w:t xml:space="preserve"> “the physical and ideological site of convergence for a panoply of perceived innovations and perversions” </w:t>
      </w:r>
      <w:sdt>
        <w:sdtPr>
          <w:rPr>
            <w:sz w:val="24"/>
            <w:szCs w:val="24"/>
          </w:rPr>
          <w:id w:val="-1366668324"/>
          <w:citation/>
        </w:sdtPr>
        <w:sdtEndPr/>
        <w:sdtContent>
          <w:r w:rsidR="003B5EC6" w:rsidRPr="009A7D7E">
            <w:rPr>
              <w:sz w:val="24"/>
              <w:szCs w:val="24"/>
            </w:rPr>
            <w:fldChar w:fldCharType="begin"/>
          </w:r>
          <w:r w:rsidR="003B5EC6" w:rsidRPr="009A7D7E">
            <w:rPr>
              <w:sz w:val="24"/>
              <w:szCs w:val="24"/>
            </w:rPr>
            <w:instrText xml:space="preserve">CITATION Mon96 \p 35 \l 2057 </w:instrText>
          </w:r>
          <w:r w:rsidR="003B5EC6" w:rsidRPr="009A7D7E">
            <w:rPr>
              <w:sz w:val="24"/>
              <w:szCs w:val="24"/>
            </w:rPr>
            <w:fldChar w:fldCharType="separate"/>
          </w:r>
          <w:r w:rsidR="003B5EC6" w:rsidRPr="009A7D7E">
            <w:rPr>
              <w:sz w:val="24"/>
              <w:szCs w:val="24"/>
            </w:rPr>
            <w:t>(Montrose, 1996, p. 35)</w:t>
          </w:r>
          <w:r w:rsidR="003B5EC6" w:rsidRPr="009A7D7E">
            <w:rPr>
              <w:sz w:val="24"/>
              <w:szCs w:val="24"/>
            </w:rPr>
            <w:fldChar w:fldCharType="end"/>
          </w:r>
        </w:sdtContent>
      </w:sdt>
      <w:r w:rsidR="003B5EC6" w:rsidRPr="009A7D7E">
        <w:rPr>
          <w:sz w:val="24"/>
          <w:szCs w:val="24"/>
        </w:rPr>
        <w:t xml:space="preserve">, meaning that “part of what is manifested in them will be the vulnerability of the social structure itself” </w:t>
      </w:r>
      <w:sdt>
        <w:sdtPr>
          <w:rPr>
            <w:sz w:val="24"/>
            <w:szCs w:val="24"/>
          </w:rPr>
          <w:id w:val="149482429"/>
          <w:citation/>
        </w:sdtPr>
        <w:sdtEndPr/>
        <w:sdtContent>
          <w:r w:rsidR="003B5EC6" w:rsidRPr="009A7D7E">
            <w:rPr>
              <w:sz w:val="24"/>
              <w:szCs w:val="24"/>
            </w:rPr>
            <w:fldChar w:fldCharType="begin"/>
          </w:r>
          <w:r w:rsidR="003B5EC6" w:rsidRPr="009A7D7E">
            <w:rPr>
              <w:sz w:val="24"/>
              <w:szCs w:val="24"/>
            </w:rPr>
            <w:instrText xml:space="preserve">CITATION Mul88 \p 38 \l 2057 </w:instrText>
          </w:r>
          <w:r w:rsidR="003B5EC6" w:rsidRPr="009A7D7E">
            <w:rPr>
              <w:sz w:val="24"/>
              <w:szCs w:val="24"/>
            </w:rPr>
            <w:fldChar w:fldCharType="separate"/>
          </w:r>
          <w:r w:rsidR="003B5EC6" w:rsidRPr="009A7D7E">
            <w:rPr>
              <w:sz w:val="24"/>
              <w:szCs w:val="24"/>
            </w:rPr>
            <w:t>(Mullaney, 1988, p. 38)</w:t>
          </w:r>
          <w:r w:rsidR="003B5EC6" w:rsidRPr="009A7D7E">
            <w:rPr>
              <w:sz w:val="24"/>
              <w:szCs w:val="24"/>
            </w:rPr>
            <w:fldChar w:fldCharType="end"/>
          </w:r>
        </w:sdtContent>
      </w:sdt>
      <w:r w:rsidR="003B5EC6" w:rsidRPr="009A7D7E">
        <w:rPr>
          <w:sz w:val="24"/>
          <w:szCs w:val="24"/>
        </w:rPr>
        <w:t>.</w:t>
      </w:r>
      <w:r w:rsidR="00766F91" w:rsidRPr="009A7D7E">
        <w:rPr>
          <w:sz w:val="24"/>
          <w:szCs w:val="24"/>
        </w:rPr>
        <w:t xml:space="preserve"> Therefore, permanent theatres were built in the ideal location for </w:t>
      </w:r>
      <w:r w:rsidR="00B42472" w:rsidRPr="009A7D7E">
        <w:rPr>
          <w:sz w:val="24"/>
          <w:szCs w:val="24"/>
        </w:rPr>
        <w:t>the</w:t>
      </w:r>
      <w:r w:rsidR="00F44192" w:rsidRPr="009A7D7E">
        <w:rPr>
          <w:sz w:val="24"/>
          <w:szCs w:val="24"/>
        </w:rPr>
        <w:t xml:space="preserve"> representation of society since </w:t>
      </w:r>
      <w:r w:rsidR="000820E6" w:rsidRPr="009A7D7E">
        <w:rPr>
          <w:sz w:val="24"/>
          <w:szCs w:val="24"/>
        </w:rPr>
        <w:t>performances</w:t>
      </w:r>
      <w:r w:rsidR="00F44192" w:rsidRPr="009A7D7E">
        <w:rPr>
          <w:sz w:val="24"/>
          <w:szCs w:val="24"/>
        </w:rPr>
        <w:t xml:space="preserve"> w</w:t>
      </w:r>
      <w:r w:rsidR="000820E6" w:rsidRPr="009A7D7E">
        <w:rPr>
          <w:sz w:val="24"/>
          <w:szCs w:val="24"/>
        </w:rPr>
        <w:t>ere</w:t>
      </w:r>
      <w:r w:rsidR="00F44192" w:rsidRPr="009A7D7E">
        <w:rPr>
          <w:sz w:val="24"/>
          <w:szCs w:val="24"/>
        </w:rPr>
        <w:t xml:space="preserve"> seen by the most diverse audience </w:t>
      </w:r>
      <w:r w:rsidR="000820E6" w:rsidRPr="009A7D7E">
        <w:rPr>
          <w:sz w:val="24"/>
          <w:szCs w:val="24"/>
        </w:rPr>
        <w:t xml:space="preserve">available </w:t>
      </w:r>
      <w:r w:rsidR="00F44192" w:rsidRPr="009A7D7E">
        <w:rPr>
          <w:sz w:val="24"/>
          <w:szCs w:val="24"/>
        </w:rPr>
        <w:t xml:space="preserve">in </w:t>
      </w:r>
      <w:r w:rsidR="00F91BB8" w:rsidRPr="009A7D7E">
        <w:rPr>
          <w:sz w:val="24"/>
          <w:szCs w:val="24"/>
        </w:rPr>
        <w:t xml:space="preserve">contemporary </w:t>
      </w:r>
      <w:r w:rsidR="00F44192" w:rsidRPr="009A7D7E">
        <w:rPr>
          <w:sz w:val="24"/>
          <w:szCs w:val="24"/>
        </w:rPr>
        <w:t>London</w:t>
      </w:r>
      <w:r w:rsidR="004F6520" w:rsidRPr="009A7D7E">
        <w:rPr>
          <w:sz w:val="24"/>
          <w:szCs w:val="24"/>
        </w:rPr>
        <w:t xml:space="preserve">. </w:t>
      </w:r>
      <w:r w:rsidR="00B63DB6" w:rsidRPr="009A7D7E">
        <w:rPr>
          <w:sz w:val="24"/>
          <w:szCs w:val="24"/>
        </w:rPr>
        <w:t xml:space="preserve">Such a convergence of </w:t>
      </w:r>
      <w:r w:rsidR="00782B1F" w:rsidRPr="009A7D7E">
        <w:rPr>
          <w:sz w:val="24"/>
          <w:szCs w:val="24"/>
        </w:rPr>
        <w:t xml:space="preserve">varied roles in society invited Elizabethan and Jacobean playwrights to </w:t>
      </w:r>
      <w:r w:rsidR="00D90EE0" w:rsidRPr="009A7D7E">
        <w:rPr>
          <w:sz w:val="24"/>
          <w:szCs w:val="24"/>
        </w:rPr>
        <w:t>make a concoction of different representations</w:t>
      </w:r>
      <w:r w:rsidR="00782D38" w:rsidRPr="009A7D7E">
        <w:rPr>
          <w:sz w:val="24"/>
          <w:szCs w:val="24"/>
        </w:rPr>
        <w:t xml:space="preserve"> because </w:t>
      </w:r>
      <w:r w:rsidR="00B47BD0">
        <w:rPr>
          <w:sz w:val="24"/>
          <w:szCs w:val="24"/>
        </w:rPr>
        <w:t xml:space="preserve">at least </w:t>
      </w:r>
      <w:r w:rsidR="00782D38" w:rsidRPr="009A7D7E">
        <w:rPr>
          <w:sz w:val="24"/>
          <w:szCs w:val="24"/>
        </w:rPr>
        <w:t xml:space="preserve">someone in the audience </w:t>
      </w:r>
      <w:r w:rsidR="00B47BD0">
        <w:rPr>
          <w:sz w:val="24"/>
          <w:szCs w:val="24"/>
        </w:rPr>
        <w:t>would</w:t>
      </w:r>
      <w:r w:rsidR="00782D38" w:rsidRPr="009A7D7E">
        <w:rPr>
          <w:sz w:val="24"/>
          <w:szCs w:val="24"/>
        </w:rPr>
        <w:t xml:space="preserve"> understand </w:t>
      </w:r>
      <w:r w:rsidR="00014736" w:rsidRPr="009A7D7E">
        <w:rPr>
          <w:sz w:val="24"/>
          <w:szCs w:val="24"/>
        </w:rPr>
        <w:t xml:space="preserve">the hidden message of the playwrights’ works. For example, </w:t>
      </w:r>
      <w:r w:rsidR="00114ECC" w:rsidRPr="009A7D7E">
        <w:rPr>
          <w:sz w:val="24"/>
          <w:szCs w:val="24"/>
        </w:rPr>
        <w:t xml:space="preserve">plays about historical figures </w:t>
      </w:r>
      <w:r w:rsidR="000B5A41" w:rsidRPr="009A7D7E">
        <w:rPr>
          <w:sz w:val="24"/>
          <w:szCs w:val="24"/>
        </w:rPr>
        <w:t xml:space="preserve">were often linked </w:t>
      </w:r>
      <w:r w:rsidR="00114ECC" w:rsidRPr="009A7D7E">
        <w:rPr>
          <w:sz w:val="24"/>
          <w:szCs w:val="24"/>
        </w:rPr>
        <w:t>with contemporary rulers</w:t>
      </w:r>
      <w:r w:rsidR="00F30D3F" w:rsidRPr="009A7D7E">
        <w:rPr>
          <w:sz w:val="24"/>
          <w:szCs w:val="24"/>
        </w:rPr>
        <w:t xml:space="preserve">, </w:t>
      </w:r>
      <w:r w:rsidR="00B165AF" w:rsidRPr="009A7D7E">
        <w:rPr>
          <w:sz w:val="24"/>
          <w:szCs w:val="24"/>
        </w:rPr>
        <w:t>especially evident in</w:t>
      </w:r>
      <w:r w:rsidR="00A5210D" w:rsidRPr="009A7D7E">
        <w:rPr>
          <w:sz w:val="24"/>
          <w:szCs w:val="24"/>
        </w:rPr>
        <w:t xml:space="preserve"> Queen Elizabeth</w:t>
      </w:r>
      <w:r w:rsidR="00B165AF" w:rsidRPr="009A7D7E">
        <w:rPr>
          <w:sz w:val="24"/>
          <w:szCs w:val="24"/>
        </w:rPr>
        <w:t>’s</w:t>
      </w:r>
      <w:r w:rsidR="00A5210D" w:rsidRPr="009A7D7E">
        <w:rPr>
          <w:sz w:val="24"/>
          <w:szCs w:val="24"/>
        </w:rPr>
        <w:t xml:space="preserve"> famous remark: “I am Richard II</w:t>
      </w:r>
      <w:r w:rsidR="00B165AF" w:rsidRPr="009A7D7E">
        <w:rPr>
          <w:sz w:val="24"/>
          <w:szCs w:val="24"/>
        </w:rPr>
        <w:t>;</w:t>
      </w:r>
      <w:r w:rsidR="00A5210D" w:rsidRPr="009A7D7E">
        <w:rPr>
          <w:sz w:val="24"/>
          <w:szCs w:val="24"/>
        </w:rPr>
        <w:t xml:space="preserve"> know ye not that?”</w:t>
      </w:r>
      <w:r w:rsidR="00B30FD9">
        <w:rPr>
          <w:sz w:val="24"/>
          <w:szCs w:val="24"/>
        </w:rPr>
        <w:t xml:space="preserve"> </w:t>
      </w:r>
      <w:sdt>
        <w:sdtPr>
          <w:rPr>
            <w:sz w:val="24"/>
            <w:szCs w:val="24"/>
          </w:rPr>
          <w:id w:val="-177585454"/>
          <w:citation/>
        </w:sdtPr>
        <w:sdtContent>
          <w:r w:rsidR="00B30FD9">
            <w:rPr>
              <w:sz w:val="24"/>
              <w:szCs w:val="24"/>
            </w:rPr>
            <w:fldChar w:fldCharType="begin"/>
          </w:r>
          <w:r w:rsidR="00B30FD9">
            <w:rPr>
              <w:sz w:val="24"/>
              <w:szCs w:val="24"/>
            </w:rPr>
            <w:instrText xml:space="preserve">CITATION Mon96 \p 79 \l 2057 </w:instrText>
          </w:r>
          <w:r w:rsidR="00B30FD9">
            <w:rPr>
              <w:sz w:val="24"/>
              <w:szCs w:val="24"/>
            </w:rPr>
            <w:fldChar w:fldCharType="separate"/>
          </w:r>
          <w:r w:rsidR="00B30FD9" w:rsidRPr="00B30FD9">
            <w:rPr>
              <w:sz w:val="24"/>
              <w:szCs w:val="24"/>
            </w:rPr>
            <w:t>(Montrose, 1996, p. 79)</w:t>
          </w:r>
          <w:r w:rsidR="00B30FD9">
            <w:rPr>
              <w:sz w:val="24"/>
              <w:szCs w:val="24"/>
            </w:rPr>
            <w:fldChar w:fldCharType="end"/>
          </w:r>
        </w:sdtContent>
      </w:sdt>
      <w:r w:rsidR="001E3653" w:rsidRPr="009A7D7E">
        <w:rPr>
          <w:sz w:val="24"/>
          <w:szCs w:val="24"/>
        </w:rPr>
        <w:t xml:space="preserve">, meaning that she </w:t>
      </w:r>
      <w:r w:rsidR="00A16FB1" w:rsidRPr="009A7D7E">
        <w:rPr>
          <w:sz w:val="24"/>
          <w:szCs w:val="24"/>
        </w:rPr>
        <w:t>was</w:t>
      </w:r>
      <w:r w:rsidR="001E3653" w:rsidRPr="009A7D7E">
        <w:rPr>
          <w:sz w:val="24"/>
          <w:szCs w:val="24"/>
        </w:rPr>
        <w:t xml:space="preserve"> aware of the connections </w:t>
      </w:r>
      <w:r w:rsidR="00557885" w:rsidRPr="009A7D7E">
        <w:rPr>
          <w:sz w:val="24"/>
          <w:szCs w:val="24"/>
        </w:rPr>
        <w:t xml:space="preserve">Shakespeare’s play </w:t>
      </w:r>
      <w:r w:rsidR="00557885" w:rsidRPr="009A7D7E">
        <w:rPr>
          <w:i/>
          <w:iCs/>
          <w:sz w:val="24"/>
          <w:szCs w:val="24"/>
        </w:rPr>
        <w:t>Richard II</w:t>
      </w:r>
      <w:r w:rsidR="00557885" w:rsidRPr="009A7D7E">
        <w:rPr>
          <w:sz w:val="24"/>
          <w:szCs w:val="24"/>
        </w:rPr>
        <w:t xml:space="preserve"> (and/or </w:t>
      </w:r>
      <w:r w:rsidR="00A83716" w:rsidRPr="009A7D7E">
        <w:rPr>
          <w:sz w:val="24"/>
          <w:szCs w:val="24"/>
        </w:rPr>
        <w:t>its</w:t>
      </w:r>
      <w:r w:rsidR="00557885" w:rsidRPr="009A7D7E">
        <w:rPr>
          <w:sz w:val="24"/>
          <w:szCs w:val="24"/>
        </w:rPr>
        <w:t xml:space="preserve"> audience</w:t>
      </w:r>
      <w:r w:rsidR="00A83716" w:rsidRPr="009A7D7E">
        <w:rPr>
          <w:sz w:val="24"/>
          <w:szCs w:val="24"/>
        </w:rPr>
        <w:t xml:space="preserve">) made to </w:t>
      </w:r>
      <w:r w:rsidR="007D1AAD" w:rsidRPr="009A7D7E">
        <w:rPr>
          <w:sz w:val="24"/>
          <w:szCs w:val="24"/>
        </w:rPr>
        <w:t xml:space="preserve">the </w:t>
      </w:r>
      <w:r w:rsidR="00A83716" w:rsidRPr="009A7D7E">
        <w:rPr>
          <w:sz w:val="24"/>
          <w:szCs w:val="24"/>
        </w:rPr>
        <w:t xml:space="preserve">Queen </w:t>
      </w:r>
      <w:r w:rsidR="00A653C2" w:rsidRPr="009A7D7E">
        <w:rPr>
          <w:sz w:val="24"/>
          <w:szCs w:val="24"/>
        </w:rPr>
        <w:t>herse</w:t>
      </w:r>
      <w:r w:rsidR="0035559E" w:rsidRPr="009A7D7E">
        <w:rPr>
          <w:sz w:val="24"/>
          <w:szCs w:val="24"/>
        </w:rPr>
        <w:t xml:space="preserve">lf. </w:t>
      </w:r>
      <w:r w:rsidR="00C451CC" w:rsidRPr="009A7D7E">
        <w:rPr>
          <w:sz w:val="24"/>
          <w:szCs w:val="24"/>
        </w:rPr>
        <w:t xml:space="preserve">Thus, </w:t>
      </w:r>
      <w:r w:rsidR="00CA434C" w:rsidRPr="009A7D7E">
        <w:rPr>
          <w:sz w:val="24"/>
          <w:szCs w:val="24"/>
        </w:rPr>
        <w:t>history</w:t>
      </w:r>
      <w:r w:rsidR="00C451CC" w:rsidRPr="009A7D7E">
        <w:rPr>
          <w:sz w:val="24"/>
          <w:szCs w:val="24"/>
        </w:rPr>
        <w:t xml:space="preserve"> plays were a subtle method of representing </w:t>
      </w:r>
      <w:r w:rsidR="00F43098" w:rsidRPr="009A7D7E">
        <w:rPr>
          <w:sz w:val="24"/>
          <w:szCs w:val="24"/>
        </w:rPr>
        <w:t xml:space="preserve">contemporaneous events and personae. </w:t>
      </w:r>
      <w:r w:rsidR="00045B6B" w:rsidRPr="009A7D7E">
        <w:rPr>
          <w:sz w:val="24"/>
          <w:szCs w:val="24"/>
        </w:rPr>
        <w:t xml:space="preserve">Furthermore, </w:t>
      </w:r>
      <w:r w:rsidR="00D258F0" w:rsidRPr="009A7D7E">
        <w:rPr>
          <w:sz w:val="24"/>
          <w:szCs w:val="24"/>
        </w:rPr>
        <w:t xml:space="preserve">Shakespeare’s </w:t>
      </w:r>
      <w:r w:rsidR="00D258F0" w:rsidRPr="009A7D7E">
        <w:rPr>
          <w:i/>
          <w:iCs/>
          <w:sz w:val="24"/>
          <w:szCs w:val="24"/>
        </w:rPr>
        <w:t>Hamlet</w:t>
      </w:r>
      <w:r w:rsidR="00D258F0" w:rsidRPr="009A7D7E">
        <w:rPr>
          <w:sz w:val="24"/>
          <w:szCs w:val="24"/>
        </w:rPr>
        <w:t xml:space="preserve"> exemplifies the fact that </w:t>
      </w:r>
      <w:r w:rsidR="00977F3F" w:rsidRPr="009A7D7E">
        <w:rPr>
          <w:sz w:val="24"/>
          <w:szCs w:val="24"/>
        </w:rPr>
        <w:t xml:space="preserve">theatre could be used as a device to influence and rouse its audience by </w:t>
      </w:r>
      <w:r w:rsidR="00F438DD" w:rsidRPr="009A7D7E">
        <w:rPr>
          <w:sz w:val="24"/>
          <w:szCs w:val="24"/>
        </w:rPr>
        <w:t xml:space="preserve">the </w:t>
      </w:r>
      <w:r w:rsidR="006D449D" w:rsidRPr="009A7D7E">
        <w:rPr>
          <w:sz w:val="24"/>
          <w:szCs w:val="24"/>
        </w:rPr>
        <w:t xml:space="preserve">play-within-a-play </w:t>
      </w:r>
      <w:r w:rsidR="006D449D" w:rsidRPr="009A7D7E">
        <w:rPr>
          <w:i/>
          <w:iCs/>
          <w:sz w:val="24"/>
          <w:szCs w:val="24"/>
        </w:rPr>
        <w:t>The Murder of Gonzago</w:t>
      </w:r>
      <w:r w:rsidR="006D449D" w:rsidRPr="009A7D7E">
        <w:rPr>
          <w:sz w:val="24"/>
          <w:szCs w:val="24"/>
        </w:rPr>
        <w:t>, which</w:t>
      </w:r>
      <w:r w:rsidR="00A47E7D" w:rsidRPr="009A7D7E">
        <w:rPr>
          <w:sz w:val="24"/>
          <w:szCs w:val="24"/>
        </w:rPr>
        <w:t>, although it</w:t>
      </w:r>
      <w:r w:rsidR="006D449D" w:rsidRPr="009A7D7E">
        <w:rPr>
          <w:sz w:val="24"/>
          <w:szCs w:val="24"/>
        </w:rPr>
        <w:t xml:space="preserve"> </w:t>
      </w:r>
      <w:r w:rsidR="00FF1E2F" w:rsidRPr="009A7D7E">
        <w:rPr>
          <w:sz w:val="24"/>
          <w:szCs w:val="24"/>
        </w:rPr>
        <w:t>represent</w:t>
      </w:r>
      <w:r w:rsidR="006D0012" w:rsidRPr="009A7D7E">
        <w:rPr>
          <w:sz w:val="24"/>
          <w:szCs w:val="24"/>
        </w:rPr>
        <w:t>s</w:t>
      </w:r>
      <w:r w:rsidR="00FF1E2F" w:rsidRPr="009A7D7E">
        <w:rPr>
          <w:sz w:val="24"/>
          <w:szCs w:val="24"/>
        </w:rPr>
        <w:t xml:space="preserve"> the fictional events of </w:t>
      </w:r>
      <w:r w:rsidR="00FF1E2F" w:rsidRPr="009A7D7E">
        <w:rPr>
          <w:i/>
          <w:iCs/>
          <w:sz w:val="24"/>
          <w:szCs w:val="24"/>
        </w:rPr>
        <w:lastRenderedPageBreak/>
        <w:t>Hamlet</w:t>
      </w:r>
      <w:r w:rsidR="00FF1E2F" w:rsidRPr="009A7D7E">
        <w:rPr>
          <w:sz w:val="24"/>
          <w:szCs w:val="24"/>
        </w:rPr>
        <w:t xml:space="preserve"> and </w:t>
      </w:r>
      <w:r w:rsidR="00A47E7D" w:rsidRPr="009A7D7E">
        <w:rPr>
          <w:sz w:val="24"/>
          <w:szCs w:val="24"/>
        </w:rPr>
        <w:t>makes the fictional</w:t>
      </w:r>
      <w:r w:rsidR="00A57AA6" w:rsidRPr="009A7D7E">
        <w:rPr>
          <w:sz w:val="24"/>
          <w:szCs w:val="24"/>
        </w:rPr>
        <w:t xml:space="preserve"> </w:t>
      </w:r>
      <w:r w:rsidR="00351FAF" w:rsidRPr="009A7D7E">
        <w:rPr>
          <w:sz w:val="24"/>
          <w:szCs w:val="24"/>
        </w:rPr>
        <w:t>King Claudius feel guilty about killing his brother (</w:t>
      </w:r>
      <w:r w:rsidR="00351FAF" w:rsidRPr="009A7D7E">
        <w:rPr>
          <w:i/>
          <w:iCs/>
          <w:sz w:val="24"/>
          <w:szCs w:val="24"/>
        </w:rPr>
        <w:t xml:space="preserve">Hamlet, </w:t>
      </w:r>
      <w:r w:rsidR="00095723" w:rsidRPr="009A7D7E">
        <w:rPr>
          <w:sz w:val="24"/>
          <w:szCs w:val="24"/>
        </w:rPr>
        <w:t>3.2)</w:t>
      </w:r>
      <w:r w:rsidR="00A47E7D" w:rsidRPr="009A7D7E">
        <w:rPr>
          <w:sz w:val="24"/>
          <w:szCs w:val="24"/>
        </w:rPr>
        <w:t xml:space="preserve">, also demonstrates </w:t>
      </w:r>
      <w:r w:rsidR="00A266BA" w:rsidRPr="009A7D7E">
        <w:rPr>
          <w:sz w:val="24"/>
          <w:szCs w:val="24"/>
        </w:rPr>
        <w:t>how much contemporary authors like Shakespeare were aware</w:t>
      </w:r>
      <w:r w:rsidR="00B77274" w:rsidRPr="009A7D7E">
        <w:rPr>
          <w:sz w:val="24"/>
          <w:szCs w:val="24"/>
        </w:rPr>
        <w:t xml:space="preserve"> of their own influence on society. </w:t>
      </w:r>
      <w:r w:rsidR="00222EEF">
        <w:rPr>
          <w:sz w:val="24"/>
          <w:szCs w:val="24"/>
        </w:rPr>
        <w:t>Therefore</w:t>
      </w:r>
      <w:r w:rsidR="00F3578B" w:rsidRPr="009A7D7E">
        <w:rPr>
          <w:sz w:val="24"/>
          <w:szCs w:val="24"/>
        </w:rPr>
        <w:t xml:space="preserve">, early modern theatre was a place of </w:t>
      </w:r>
      <w:r w:rsidR="009855C5" w:rsidRPr="009A7D7E">
        <w:rPr>
          <w:sz w:val="24"/>
          <w:szCs w:val="24"/>
        </w:rPr>
        <w:t>representation for a diverse society, and it certainly</w:t>
      </w:r>
      <w:r w:rsidR="00ED0185" w:rsidRPr="009A7D7E">
        <w:rPr>
          <w:sz w:val="24"/>
          <w:szCs w:val="24"/>
        </w:rPr>
        <w:t xml:space="preserve"> challenged </w:t>
      </w:r>
      <w:r w:rsidR="002B31DB" w:rsidRPr="009A7D7E">
        <w:rPr>
          <w:sz w:val="24"/>
          <w:szCs w:val="24"/>
        </w:rPr>
        <w:t>its audience’s views of the social hierarchy.</w:t>
      </w:r>
    </w:p>
    <w:p w14:paraId="5FCB52B7" w14:textId="4DDA3E88" w:rsidR="002B31DB" w:rsidRPr="009A7D7E" w:rsidRDefault="002B31DB" w:rsidP="009A7D7E">
      <w:pPr>
        <w:spacing w:line="480" w:lineRule="auto"/>
        <w:ind w:firstLine="567"/>
        <w:rPr>
          <w:sz w:val="24"/>
          <w:szCs w:val="24"/>
        </w:rPr>
      </w:pPr>
      <w:r w:rsidRPr="009A7D7E">
        <w:rPr>
          <w:sz w:val="24"/>
          <w:szCs w:val="24"/>
        </w:rPr>
        <w:t xml:space="preserve">To see </w:t>
      </w:r>
      <w:r w:rsidR="00EC7363" w:rsidRPr="009A7D7E">
        <w:rPr>
          <w:sz w:val="24"/>
          <w:szCs w:val="24"/>
        </w:rPr>
        <w:t xml:space="preserve">how Elizabethan theatre challenged social views, one must not look far but into a famous play by a famous playwright: </w:t>
      </w:r>
      <w:r w:rsidR="00EC7363" w:rsidRPr="009A7D7E">
        <w:rPr>
          <w:i/>
          <w:iCs/>
          <w:sz w:val="24"/>
          <w:szCs w:val="24"/>
        </w:rPr>
        <w:t>Edward II</w:t>
      </w:r>
      <w:r w:rsidR="00EC7363" w:rsidRPr="009A7D7E">
        <w:rPr>
          <w:sz w:val="24"/>
          <w:szCs w:val="24"/>
        </w:rPr>
        <w:t xml:space="preserve"> by Christopher Marlowe.</w:t>
      </w:r>
      <w:r w:rsidR="00CA1F46" w:rsidRPr="009A7D7E">
        <w:rPr>
          <w:sz w:val="24"/>
          <w:szCs w:val="24"/>
        </w:rPr>
        <w:t xml:space="preserve"> The </w:t>
      </w:r>
      <w:r w:rsidR="00BD1274">
        <w:rPr>
          <w:sz w:val="24"/>
          <w:szCs w:val="24"/>
        </w:rPr>
        <w:t xml:space="preserve">history </w:t>
      </w:r>
      <w:r w:rsidR="00CA1F46" w:rsidRPr="009A7D7E">
        <w:rPr>
          <w:sz w:val="24"/>
          <w:szCs w:val="24"/>
        </w:rPr>
        <w:t>play, first performed in 1594, tel</w:t>
      </w:r>
      <w:r w:rsidR="00AC3CD3" w:rsidRPr="009A7D7E">
        <w:rPr>
          <w:sz w:val="24"/>
          <w:szCs w:val="24"/>
        </w:rPr>
        <w:t xml:space="preserve">ls about a king, Edward II, who is so preoccupied with his lover, Gaveston, that he </w:t>
      </w:r>
      <w:r w:rsidR="00540FD2" w:rsidRPr="009A7D7E">
        <w:rPr>
          <w:sz w:val="24"/>
          <w:szCs w:val="24"/>
        </w:rPr>
        <w:t xml:space="preserve">neglects his duties as a king, so the clergy and other nobles overthrow him. </w:t>
      </w:r>
      <w:r w:rsidR="00E10F25" w:rsidRPr="009A7D7E">
        <w:rPr>
          <w:sz w:val="24"/>
          <w:szCs w:val="24"/>
        </w:rPr>
        <w:t xml:space="preserve">Such a play about </w:t>
      </w:r>
      <w:r w:rsidR="00B02098" w:rsidRPr="009A7D7E">
        <w:rPr>
          <w:sz w:val="24"/>
          <w:szCs w:val="24"/>
        </w:rPr>
        <w:t xml:space="preserve">power struggles at the highest level can easily be interpreted as a commentary on contemporary </w:t>
      </w:r>
      <w:r w:rsidR="00A4700D" w:rsidRPr="009A7D7E">
        <w:rPr>
          <w:sz w:val="24"/>
          <w:szCs w:val="24"/>
        </w:rPr>
        <w:t>monarchy and the state</w:t>
      </w:r>
      <w:r w:rsidR="00E87F42" w:rsidRPr="009A7D7E">
        <w:rPr>
          <w:sz w:val="24"/>
          <w:szCs w:val="24"/>
        </w:rPr>
        <w:t xml:space="preserve"> </w:t>
      </w:r>
      <w:sdt>
        <w:sdtPr>
          <w:rPr>
            <w:sz w:val="24"/>
            <w:szCs w:val="24"/>
          </w:rPr>
          <w:id w:val="-2043897458"/>
          <w:citation/>
        </w:sdtPr>
        <w:sdtEndPr/>
        <w:sdtContent>
          <w:r w:rsidR="009D0CC0" w:rsidRPr="009A7D7E">
            <w:rPr>
              <w:sz w:val="24"/>
              <w:szCs w:val="24"/>
            </w:rPr>
            <w:fldChar w:fldCharType="begin"/>
          </w:r>
          <w:r w:rsidR="00503360" w:rsidRPr="009A7D7E">
            <w:rPr>
              <w:sz w:val="24"/>
              <w:szCs w:val="24"/>
            </w:rPr>
            <w:instrText xml:space="preserve">CITATION Whi04 \p 80 \l 2057 </w:instrText>
          </w:r>
          <w:r w:rsidR="009D0CC0" w:rsidRPr="009A7D7E">
            <w:rPr>
              <w:sz w:val="24"/>
              <w:szCs w:val="24"/>
            </w:rPr>
            <w:fldChar w:fldCharType="separate"/>
          </w:r>
          <w:r w:rsidR="00503360" w:rsidRPr="009A7D7E">
            <w:rPr>
              <w:sz w:val="24"/>
              <w:szCs w:val="24"/>
            </w:rPr>
            <w:t>(White, 2004, p. 80)</w:t>
          </w:r>
          <w:r w:rsidR="009D0CC0" w:rsidRPr="009A7D7E">
            <w:rPr>
              <w:sz w:val="24"/>
              <w:szCs w:val="24"/>
            </w:rPr>
            <w:fldChar w:fldCharType="end"/>
          </w:r>
        </w:sdtContent>
      </w:sdt>
      <w:r w:rsidR="00A4700D" w:rsidRPr="009A7D7E">
        <w:rPr>
          <w:sz w:val="24"/>
          <w:szCs w:val="24"/>
        </w:rPr>
        <w:t xml:space="preserve">. </w:t>
      </w:r>
      <w:r w:rsidR="000D32A0" w:rsidRPr="009A7D7E">
        <w:rPr>
          <w:sz w:val="24"/>
          <w:szCs w:val="24"/>
        </w:rPr>
        <w:t xml:space="preserve">An example can be seen in </w:t>
      </w:r>
      <w:r w:rsidR="003C268A" w:rsidRPr="009A7D7E">
        <w:rPr>
          <w:sz w:val="24"/>
          <w:szCs w:val="24"/>
        </w:rPr>
        <w:t>scene 4, where the Bishop of Canterbury threatens the King by saying that “</w:t>
      </w:r>
      <w:r w:rsidR="00CE0E43" w:rsidRPr="009A7D7E">
        <w:rPr>
          <w:sz w:val="24"/>
          <w:szCs w:val="24"/>
        </w:rPr>
        <w:t>Remember how the Bishop was abused; / Either banish him that was the cause thereof, / Or I will presently discharge these lords / Of duty and allegiance due to thee” (</w:t>
      </w:r>
      <w:r w:rsidR="00CE0E43" w:rsidRPr="009A7D7E">
        <w:rPr>
          <w:i/>
          <w:iCs/>
          <w:sz w:val="24"/>
          <w:szCs w:val="24"/>
        </w:rPr>
        <w:t>Edward II,</w:t>
      </w:r>
      <w:r w:rsidR="00CE0E43" w:rsidRPr="009A7D7E">
        <w:rPr>
          <w:sz w:val="24"/>
          <w:szCs w:val="24"/>
        </w:rPr>
        <w:t xml:space="preserve"> </w:t>
      </w:r>
      <w:r w:rsidR="00AC63B0" w:rsidRPr="009A7D7E">
        <w:rPr>
          <w:sz w:val="24"/>
          <w:szCs w:val="24"/>
        </w:rPr>
        <w:t>4.59-62)</w:t>
      </w:r>
      <w:r w:rsidR="004A3A08" w:rsidRPr="009A7D7E">
        <w:rPr>
          <w:sz w:val="24"/>
          <w:szCs w:val="24"/>
        </w:rPr>
        <w:t xml:space="preserve">, </w:t>
      </w:r>
      <w:r w:rsidR="00A01308" w:rsidRPr="009A7D7E">
        <w:rPr>
          <w:sz w:val="24"/>
          <w:szCs w:val="24"/>
        </w:rPr>
        <w:t>which remind</w:t>
      </w:r>
      <w:r w:rsidR="007A55AB" w:rsidRPr="009A7D7E">
        <w:rPr>
          <w:sz w:val="24"/>
          <w:szCs w:val="24"/>
        </w:rPr>
        <w:t>ed everyone in the audience of their own Queen being excommunicated by Pope Pius V</w:t>
      </w:r>
      <w:r w:rsidR="00497702" w:rsidRPr="009A7D7E">
        <w:rPr>
          <w:sz w:val="24"/>
          <w:szCs w:val="24"/>
        </w:rPr>
        <w:t xml:space="preserve"> in 1570</w:t>
      </w:r>
      <w:r w:rsidR="00183633" w:rsidRPr="009A7D7E">
        <w:rPr>
          <w:sz w:val="24"/>
          <w:szCs w:val="24"/>
        </w:rPr>
        <w:t xml:space="preserve"> </w:t>
      </w:r>
      <w:sdt>
        <w:sdtPr>
          <w:rPr>
            <w:sz w:val="24"/>
            <w:szCs w:val="24"/>
          </w:rPr>
          <w:id w:val="-1442831450"/>
          <w:citation/>
        </w:sdtPr>
        <w:sdtEndPr/>
        <w:sdtContent>
          <w:r w:rsidR="00183633" w:rsidRPr="009A7D7E">
            <w:rPr>
              <w:sz w:val="24"/>
              <w:szCs w:val="24"/>
            </w:rPr>
            <w:fldChar w:fldCharType="begin"/>
          </w:r>
          <w:r w:rsidR="005C7E15" w:rsidRPr="009A7D7E">
            <w:rPr>
              <w:sz w:val="24"/>
              <w:szCs w:val="24"/>
            </w:rPr>
            <w:instrText xml:space="preserve">CITATION Wag00 \p 258 \l 2057 </w:instrText>
          </w:r>
          <w:r w:rsidR="00183633" w:rsidRPr="009A7D7E">
            <w:rPr>
              <w:sz w:val="24"/>
              <w:szCs w:val="24"/>
            </w:rPr>
            <w:fldChar w:fldCharType="separate"/>
          </w:r>
          <w:r w:rsidR="005C7E15" w:rsidRPr="009A7D7E">
            <w:rPr>
              <w:sz w:val="24"/>
              <w:szCs w:val="24"/>
            </w:rPr>
            <w:t>(Wagner, 2000, p. 258)</w:t>
          </w:r>
          <w:r w:rsidR="00183633" w:rsidRPr="009A7D7E">
            <w:rPr>
              <w:sz w:val="24"/>
              <w:szCs w:val="24"/>
            </w:rPr>
            <w:fldChar w:fldCharType="end"/>
          </w:r>
        </w:sdtContent>
      </w:sdt>
      <w:r w:rsidR="009C2584" w:rsidRPr="009A7D7E">
        <w:rPr>
          <w:sz w:val="24"/>
          <w:szCs w:val="24"/>
        </w:rPr>
        <w:t xml:space="preserve">. The bishop’s lines were also a </w:t>
      </w:r>
      <w:r w:rsidR="006F7ABF" w:rsidRPr="009A7D7E">
        <w:rPr>
          <w:sz w:val="24"/>
          <w:szCs w:val="24"/>
        </w:rPr>
        <w:t xml:space="preserve">device to highlight the </w:t>
      </w:r>
      <w:r w:rsidR="00C1352D" w:rsidRPr="009A7D7E">
        <w:rPr>
          <w:sz w:val="24"/>
          <w:szCs w:val="24"/>
        </w:rPr>
        <w:t xml:space="preserve">power struggles at play between church and state and how </w:t>
      </w:r>
      <w:r w:rsidR="008B7335" w:rsidRPr="009A7D7E">
        <w:rPr>
          <w:sz w:val="24"/>
          <w:szCs w:val="24"/>
        </w:rPr>
        <w:t xml:space="preserve">society had been divided between Catholics and non-Catholics because of such </w:t>
      </w:r>
      <w:r w:rsidR="00613DB1" w:rsidRPr="009A7D7E">
        <w:rPr>
          <w:sz w:val="24"/>
          <w:szCs w:val="24"/>
        </w:rPr>
        <w:t>power plays.</w:t>
      </w:r>
      <w:r w:rsidR="004E6479" w:rsidRPr="009A7D7E">
        <w:rPr>
          <w:sz w:val="24"/>
          <w:szCs w:val="24"/>
        </w:rPr>
        <w:t xml:space="preserve"> </w:t>
      </w:r>
      <w:r w:rsidR="00345A20" w:rsidRPr="009A7D7E">
        <w:rPr>
          <w:sz w:val="24"/>
          <w:szCs w:val="24"/>
        </w:rPr>
        <w:t xml:space="preserve">However, Marlowe does not just </w:t>
      </w:r>
      <w:r w:rsidR="00DC6FBA" w:rsidRPr="009A7D7E">
        <w:rPr>
          <w:sz w:val="24"/>
          <w:szCs w:val="24"/>
        </w:rPr>
        <w:t xml:space="preserve">represent society in its faults: </w:t>
      </w:r>
      <w:r w:rsidR="00DC6FBA" w:rsidRPr="009A7D7E">
        <w:rPr>
          <w:i/>
          <w:iCs/>
          <w:sz w:val="24"/>
          <w:szCs w:val="24"/>
        </w:rPr>
        <w:t xml:space="preserve">Edward II </w:t>
      </w:r>
      <w:r w:rsidR="00DC6FBA" w:rsidRPr="009A7D7E">
        <w:rPr>
          <w:sz w:val="24"/>
          <w:szCs w:val="24"/>
        </w:rPr>
        <w:t xml:space="preserve">has a didactic nature, too. </w:t>
      </w:r>
      <w:r w:rsidR="00BE1602" w:rsidRPr="009A7D7E">
        <w:rPr>
          <w:sz w:val="24"/>
          <w:szCs w:val="24"/>
        </w:rPr>
        <w:t xml:space="preserve">By </w:t>
      </w:r>
      <w:r w:rsidR="00AC549B" w:rsidRPr="009A7D7E">
        <w:rPr>
          <w:sz w:val="24"/>
          <w:szCs w:val="24"/>
        </w:rPr>
        <w:t xml:space="preserve">the king answering the question </w:t>
      </w:r>
      <w:r w:rsidR="00AC549B" w:rsidRPr="009A7D7E">
        <w:rPr>
          <w:sz w:val="24"/>
          <w:szCs w:val="24"/>
        </w:rPr>
        <w:lastRenderedPageBreak/>
        <w:t>“</w:t>
      </w:r>
      <w:r w:rsidR="00572086" w:rsidRPr="009A7D7E">
        <w:rPr>
          <w:sz w:val="24"/>
          <w:szCs w:val="24"/>
        </w:rPr>
        <w:t>Why should you love him [Gaveston] who</w:t>
      </w:r>
      <w:r w:rsidR="00E5221F" w:rsidRPr="009A7D7E">
        <w:rPr>
          <w:sz w:val="24"/>
          <w:szCs w:val="24"/>
        </w:rPr>
        <w:t>m</w:t>
      </w:r>
      <w:r w:rsidR="00572086" w:rsidRPr="009A7D7E">
        <w:rPr>
          <w:sz w:val="24"/>
          <w:szCs w:val="24"/>
        </w:rPr>
        <w:t xml:space="preserve"> the world hates so?” (</w:t>
      </w:r>
      <w:r w:rsidR="00E5221F" w:rsidRPr="009A7D7E">
        <w:rPr>
          <w:i/>
          <w:iCs/>
          <w:sz w:val="24"/>
          <w:szCs w:val="24"/>
        </w:rPr>
        <w:t xml:space="preserve">Edward II, </w:t>
      </w:r>
      <w:r w:rsidR="00E5221F" w:rsidRPr="009A7D7E">
        <w:rPr>
          <w:sz w:val="24"/>
          <w:szCs w:val="24"/>
        </w:rPr>
        <w:t>4.76)</w:t>
      </w:r>
      <w:r w:rsidR="00A10025" w:rsidRPr="009A7D7E">
        <w:rPr>
          <w:sz w:val="24"/>
          <w:szCs w:val="24"/>
        </w:rPr>
        <w:t xml:space="preserve"> with “Because he loves me more than all the world</w:t>
      </w:r>
      <w:r w:rsidR="006C6E0C" w:rsidRPr="009A7D7E">
        <w:rPr>
          <w:sz w:val="24"/>
          <w:szCs w:val="24"/>
        </w:rPr>
        <w:t xml:space="preserve">” (77), Marlowe displays an ideal world of freedom </w:t>
      </w:r>
      <w:r w:rsidR="003C30FE" w:rsidRPr="009A7D7E">
        <w:rPr>
          <w:sz w:val="24"/>
          <w:szCs w:val="24"/>
        </w:rPr>
        <w:t xml:space="preserve">of romance and </w:t>
      </w:r>
      <w:r w:rsidR="003E0895" w:rsidRPr="009A7D7E">
        <w:rPr>
          <w:sz w:val="24"/>
          <w:szCs w:val="24"/>
        </w:rPr>
        <w:t xml:space="preserve">of </w:t>
      </w:r>
      <w:r w:rsidR="003C30FE" w:rsidRPr="009A7D7E">
        <w:rPr>
          <w:sz w:val="24"/>
          <w:szCs w:val="24"/>
        </w:rPr>
        <w:t>sexuality to his audience</w:t>
      </w:r>
      <w:r w:rsidR="00704B0B" w:rsidRPr="009A7D7E">
        <w:rPr>
          <w:sz w:val="24"/>
          <w:szCs w:val="24"/>
        </w:rPr>
        <w:t xml:space="preserve"> without any remorse, emphasised </w:t>
      </w:r>
      <w:r w:rsidR="00B52D93" w:rsidRPr="009A7D7E">
        <w:rPr>
          <w:sz w:val="24"/>
          <w:szCs w:val="24"/>
        </w:rPr>
        <w:t>by</w:t>
      </w:r>
      <w:r w:rsidR="00704B0B" w:rsidRPr="009A7D7E">
        <w:rPr>
          <w:sz w:val="24"/>
          <w:szCs w:val="24"/>
        </w:rPr>
        <w:t xml:space="preserve"> King Edward II’s </w:t>
      </w:r>
      <w:r w:rsidR="00956D4C" w:rsidRPr="009A7D7E">
        <w:rPr>
          <w:sz w:val="24"/>
          <w:szCs w:val="24"/>
        </w:rPr>
        <w:t>dying words “Assist me, sweet God</w:t>
      </w:r>
      <w:r w:rsidR="00A50972" w:rsidRPr="009A7D7E">
        <w:rPr>
          <w:sz w:val="24"/>
          <w:szCs w:val="24"/>
        </w:rPr>
        <w:t>, and receive my soul” (24.108)</w:t>
      </w:r>
      <w:r w:rsidR="00B52D93" w:rsidRPr="009A7D7E">
        <w:rPr>
          <w:sz w:val="24"/>
          <w:szCs w:val="24"/>
        </w:rPr>
        <w:t xml:space="preserve"> without any mention of sin</w:t>
      </w:r>
      <w:r w:rsidR="00100A2B" w:rsidRPr="009A7D7E">
        <w:rPr>
          <w:sz w:val="24"/>
          <w:szCs w:val="24"/>
        </w:rPr>
        <w:t xml:space="preserve"> </w:t>
      </w:r>
      <w:sdt>
        <w:sdtPr>
          <w:rPr>
            <w:sz w:val="24"/>
            <w:szCs w:val="24"/>
          </w:rPr>
          <w:id w:val="75719872"/>
          <w:citation/>
        </w:sdtPr>
        <w:sdtEndPr/>
        <w:sdtContent>
          <w:r w:rsidR="00FF5828" w:rsidRPr="009A7D7E">
            <w:rPr>
              <w:sz w:val="24"/>
              <w:szCs w:val="24"/>
            </w:rPr>
            <w:fldChar w:fldCharType="begin"/>
          </w:r>
          <w:r w:rsidR="00122AE9" w:rsidRPr="009A7D7E">
            <w:rPr>
              <w:sz w:val="24"/>
              <w:szCs w:val="24"/>
            </w:rPr>
            <w:instrText xml:space="preserve">CITATION Whi04 \p 85 \l 2057 </w:instrText>
          </w:r>
          <w:r w:rsidR="00FF5828" w:rsidRPr="009A7D7E">
            <w:rPr>
              <w:sz w:val="24"/>
              <w:szCs w:val="24"/>
            </w:rPr>
            <w:fldChar w:fldCharType="separate"/>
          </w:r>
          <w:r w:rsidR="00122AE9" w:rsidRPr="009A7D7E">
            <w:rPr>
              <w:sz w:val="24"/>
              <w:szCs w:val="24"/>
            </w:rPr>
            <w:t>(White, 2004, p. 85)</w:t>
          </w:r>
          <w:r w:rsidR="00FF5828" w:rsidRPr="009A7D7E">
            <w:rPr>
              <w:sz w:val="24"/>
              <w:szCs w:val="24"/>
            </w:rPr>
            <w:fldChar w:fldCharType="end"/>
          </w:r>
        </w:sdtContent>
      </w:sdt>
      <w:r w:rsidR="002A46B1" w:rsidRPr="009A7D7E">
        <w:rPr>
          <w:sz w:val="24"/>
          <w:szCs w:val="24"/>
        </w:rPr>
        <w:t xml:space="preserve">. However, </w:t>
      </w:r>
      <w:r w:rsidR="005E6A77" w:rsidRPr="009A7D7E">
        <w:rPr>
          <w:sz w:val="24"/>
          <w:szCs w:val="24"/>
        </w:rPr>
        <w:t xml:space="preserve">one might </w:t>
      </w:r>
      <w:r w:rsidR="00FF28D4" w:rsidRPr="009A7D7E">
        <w:rPr>
          <w:sz w:val="24"/>
          <w:szCs w:val="24"/>
        </w:rPr>
        <w:t xml:space="preserve">interpret the </w:t>
      </w:r>
      <w:r w:rsidR="00207647" w:rsidRPr="009A7D7E">
        <w:rPr>
          <w:sz w:val="24"/>
          <w:szCs w:val="24"/>
        </w:rPr>
        <w:t xml:space="preserve">murder weapon </w:t>
      </w:r>
      <w:r w:rsidR="00811144" w:rsidRPr="009A7D7E">
        <w:rPr>
          <w:sz w:val="24"/>
          <w:szCs w:val="24"/>
        </w:rPr>
        <w:t>being a “hot spit [rod]” (</w:t>
      </w:r>
      <w:r w:rsidR="00C17D68" w:rsidRPr="009A7D7E">
        <w:rPr>
          <w:i/>
          <w:iCs/>
          <w:sz w:val="24"/>
          <w:szCs w:val="24"/>
        </w:rPr>
        <w:t xml:space="preserve">Edward II, </w:t>
      </w:r>
      <w:r w:rsidR="00C17D68" w:rsidRPr="009A7D7E">
        <w:rPr>
          <w:sz w:val="24"/>
          <w:szCs w:val="24"/>
        </w:rPr>
        <w:t xml:space="preserve">24.109) </w:t>
      </w:r>
      <w:r w:rsidR="005D51F6" w:rsidRPr="009A7D7E">
        <w:rPr>
          <w:sz w:val="24"/>
          <w:szCs w:val="24"/>
        </w:rPr>
        <w:t>as a</w:t>
      </w:r>
      <w:r w:rsidR="00C740A8" w:rsidRPr="009A7D7E">
        <w:rPr>
          <w:sz w:val="24"/>
          <w:szCs w:val="24"/>
        </w:rPr>
        <w:t xml:space="preserve"> </w:t>
      </w:r>
      <w:r w:rsidR="003A5697" w:rsidRPr="009A7D7E">
        <w:rPr>
          <w:sz w:val="24"/>
          <w:szCs w:val="24"/>
        </w:rPr>
        <w:t xml:space="preserve">visual </w:t>
      </w:r>
      <w:r w:rsidR="00C740A8" w:rsidRPr="009A7D7E">
        <w:rPr>
          <w:sz w:val="24"/>
          <w:szCs w:val="24"/>
        </w:rPr>
        <w:t>metaphor</w:t>
      </w:r>
      <w:r w:rsidR="005A76D0" w:rsidRPr="009A7D7E">
        <w:rPr>
          <w:sz w:val="24"/>
          <w:szCs w:val="24"/>
        </w:rPr>
        <w:t>/symbol</w:t>
      </w:r>
      <w:r w:rsidR="00C740A8" w:rsidRPr="009A7D7E">
        <w:rPr>
          <w:sz w:val="24"/>
          <w:szCs w:val="24"/>
        </w:rPr>
        <w:t xml:space="preserve"> </w:t>
      </w:r>
      <w:r w:rsidR="005D51F6" w:rsidRPr="009A7D7E">
        <w:rPr>
          <w:sz w:val="24"/>
          <w:szCs w:val="24"/>
        </w:rPr>
        <w:t xml:space="preserve">either </w:t>
      </w:r>
      <w:r w:rsidR="00C740A8" w:rsidRPr="009A7D7E">
        <w:rPr>
          <w:sz w:val="24"/>
          <w:szCs w:val="24"/>
        </w:rPr>
        <w:t>for the</w:t>
      </w:r>
      <w:r w:rsidR="00B7455D" w:rsidRPr="009A7D7E">
        <w:rPr>
          <w:sz w:val="24"/>
          <w:szCs w:val="24"/>
        </w:rPr>
        <w:t xml:space="preserve"> condemnation of sodomy </w:t>
      </w:r>
      <w:sdt>
        <w:sdtPr>
          <w:rPr>
            <w:sz w:val="24"/>
            <w:szCs w:val="24"/>
          </w:rPr>
          <w:id w:val="-2027010799"/>
          <w:citation/>
        </w:sdtPr>
        <w:sdtEndPr/>
        <w:sdtContent>
          <w:r w:rsidR="003A5697" w:rsidRPr="009A7D7E">
            <w:rPr>
              <w:sz w:val="24"/>
              <w:szCs w:val="24"/>
            </w:rPr>
            <w:fldChar w:fldCharType="begin"/>
          </w:r>
          <w:r w:rsidR="003A5697" w:rsidRPr="009A7D7E">
            <w:rPr>
              <w:sz w:val="24"/>
              <w:szCs w:val="24"/>
            </w:rPr>
            <w:instrText xml:space="preserve">CITATION Mel20 \p 10-11 \l 2057 </w:instrText>
          </w:r>
          <w:r w:rsidR="003A5697" w:rsidRPr="009A7D7E">
            <w:rPr>
              <w:sz w:val="24"/>
              <w:szCs w:val="24"/>
            </w:rPr>
            <w:fldChar w:fldCharType="separate"/>
          </w:r>
          <w:r w:rsidR="003A5697" w:rsidRPr="009A7D7E">
            <w:rPr>
              <w:sz w:val="24"/>
              <w:szCs w:val="24"/>
            </w:rPr>
            <w:t>(Melnikoff, 2020, pp. 10-11)</w:t>
          </w:r>
          <w:r w:rsidR="003A5697" w:rsidRPr="009A7D7E">
            <w:rPr>
              <w:sz w:val="24"/>
              <w:szCs w:val="24"/>
            </w:rPr>
            <w:fldChar w:fldCharType="end"/>
          </w:r>
        </w:sdtContent>
      </w:sdt>
      <w:r w:rsidR="005A76D0" w:rsidRPr="009A7D7E">
        <w:rPr>
          <w:sz w:val="24"/>
          <w:szCs w:val="24"/>
        </w:rPr>
        <w:t xml:space="preserve"> or </w:t>
      </w:r>
      <w:r w:rsidR="005D51F6" w:rsidRPr="009A7D7E">
        <w:rPr>
          <w:sz w:val="24"/>
          <w:szCs w:val="24"/>
        </w:rPr>
        <w:t>for the “</w:t>
      </w:r>
      <w:r w:rsidR="00321C42" w:rsidRPr="009A7D7E">
        <w:rPr>
          <w:sz w:val="24"/>
          <w:szCs w:val="24"/>
        </w:rPr>
        <w:t>denial of those socially constructed hierarchies that are taken to be natural</w:t>
      </w:r>
      <w:r w:rsidR="0035250B" w:rsidRPr="009A7D7E">
        <w:rPr>
          <w:sz w:val="24"/>
          <w:szCs w:val="24"/>
        </w:rPr>
        <w:t xml:space="preserve">” </w:t>
      </w:r>
      <w:sdt>
        <w:sdtPr>
          <w:rPr>
            <w:sz w:val="24"/>
            <w:szCs w:val="24"/>
          </w:rPr>
          <w:id w:val="-2041424068"/>
          <w:citation/>
        </w:sdtPr>
        <w:sdtEndPr/>
        <w:sdtContent>
          <w:r w:rsidR="0035250B" w:rsidRPr="009A7D7E">
            <w:rPr>
              <w:sz w:val="24"/>
              <w:szCs w:val="24"/>
            </w:rPr>
            <w:fldChar w:fldCharType="begin"/>
          </w:r>
          <w:r w:rsidR="0035250B" w:rsidRPr="009A7D7E">
            <w:rPr>
              <w:sz w:val="24"/>
              <w:szCs w:val="24"/>
            </w:rPr>
            <w:instrText xml:space="preserve"> CITATION Gol10 \l 2057 </w:instrText>
          </w:r>
          <w:r w:rsidR="0035250B" w:rsidRPr="009A7D7E">
            <w:rPr>
              <w:sz w:val="24"/>
              <w:szCs w:val="24"/>
            </w:rPr>
            <w:fldChar w:fldCharType="separate"/>
          </w:r>
          <w:r w:rsidR="0035250B" w:rsidRPr="009A7D7E">
            <w:rPr>
              <w:sz w:val="24"/>
              <w:szCs w:val="24"/>
            </w:rPr>
            <w:t>(Goldberg, 2010)</w:t>
          </w:r>
          <w:r w:rsidR="0035250B" w:rsidRPr="009A7D7E">
            <w:rPr>
              <w:sz w:val="24"/>
              <w:szCs w:val="24"/>
            </w:rPr>
            <w:fldChar w:fldCharType="end"/>
          </w:r>
        </w:sdtContent>
      </w:sdt>
      <w:r w:rsidR="005A460D" w:rsidRPr="009A7D7E">
        <w:rPr>
          <w:sz w:val="24"/>
          <w:szCs w:val="24"/>
        </w:rPr>
        <w:t>, thus challenging them and encouraging the audience to do the same.</w:t>
      </w:r>
    </w:p>
    <w:p w14:paraId="0D3460BD" w14:textId="1B2C0429" w:rsidR="005A460D" w:rsidRPr="009A7D7E" w:rsidRDefault="005A460D" w:rsidP="009A7D7E">
      <w:pPr>
        <w:spacing w:line="480" w:lineRule="auto"/>
        <w:ind w:firstLine="567"/>
        <w:rPr>
          <w:sz w:val="24"/>
          <w:szCs w:val="24"/>
        </w:rPr>
      </w:pPr>
      <w:r w:rsidRPr="009A7D7E">
        <w:rPr>
          <w:sz w:val="24"/>
          <w:szCs w:val="24"/>
        </w:rPr>
        <w:t>A</w:t>
      </w:r>
      <w:r w:rsidR="00B27511" w:rsidRPr="009A7D7E">
        <w:rPr>
          <w:sz w:val="24"/>
          <w:szCs w:val="24"/>
        </w:rPr>
        <w:t xml:space="preserve">nother </w:t>
      </w:r>
      <w:r w:rsidR="0093281F" w:rsidRPr="009A7D7E">
        <w:rPr>
          <w:sz w:val="24"/>
          <w:szCs w:val="24"/>
        </w:rPr>
        <w:t xml:space="preserve">example of the rouse of </w:t>
      </w:r>
      <w:r w:rsidR="007D2539" w:rsidRPr="009A7D7E">
        <w:rPr>
          <w:sz w:val="24"/>
          <w:szCs w:val="24"/>
        </w:rPr>
        <w:t xml:space="preserve">an audience to undermine social structures can be found </w:t>
      </w:r>
      <w:r w:rsidR="00112814" w:rsidRPr="009A7D7E">
        <w:rPr>
          <w:sz w:val="24"/>
          <w:szCs w:val="24"/>
        </w:rPr>
        <w:t>in a</w:t>
      </w:r>
      <w:r w:rsidR="007D2539" w:rsidRPr="009A7D7E">
        <w:rPr>
          <w:sz w:val="24"/>
          <w:szCs w:val="24"/>
        </w:rPr>
        <w:t xml:space="preserve"> Jacobean</w:t>
      </w:r>
      <w:r w:rsidR="00112814" w:rsidRPr="009A7D7E">
        <w:rPr>
          <w:sz w:val="24"/>
          <w:szCs w:val="24"/>
        </w:rPr>
        <w:t xml:space="preserve"> play</w:t>
      </w:r>
      <w:r w:rsidR="007D2539" w:rsidRPr="009A7D7E">
        <w:rPr>
          <w:sz w:val="24"/>
          <w:szCs w:val="24"/>
        </w:rPr>
        <w:t xml:space="preserve"> by another famous playwright: </w:t>
      </w:r>
      <w:r w:rsidR="00112814" w:rsidRPr="009A7D7E">
        <w:rPr>
          <w:sz w:val="24"/>
          <w:szCs w:val="24"/>
        </w:rPr>
        <w:t xml:space="preserve">Ben Jonson’s </w:t>
      </w:r>
      <w:r w:rsidR="00112814" w:rsidRPr="009A7D7E">
        <w:rPr>
          <w:i/>
          <w:iCs/>
          <w:sz w:val="24"/>
          <w:szCs w:val="24"/>
        </w:rPr>
        <w:t>Epicoene</w:t>
      </w:r>
      <w:r w:rsidR="00C45ED3" w:rsidRPr="009A7D7E">
        <w:rPr>
          <w:i/>
          <w:iCs/>
          <w:sz w:val="24"/>
          <w:szCs w:val="24"/>
        </w:rPr>
        <w:t>, or The Silent Woman.</w:t>
      </w:r>
      <w:r w:rsidR="00C45ED3" w:rsidRPr="009A7D7E">
        <w:rPr>
          <w:sz w:val="24"/>
          <w:szCs w:val="24"/>
        </w:rPr>
        <w:t xml:space="preserve"> First performed in 1609</w:t>
      </w:r>
      <w:r w:rsidR="00727FDE" w:rsidRPr="009A7D7E">
        <w:rPr>
          <w:sz w:val="24"/>
          <w:szCs w:val="24"/>
        </w:rPr>
        <w:t xml:space="preserve"> and banned for some time because of an aristocratic scandal</w:t>
      </w:r>
      <w:r w:rsidR="00C45ED3" w:rsidRPr="009A7D7E">
        <w:rPr>
          <w:sz w:val="24"/>
          <w:szCs w:val="24"/>
        </w:rPr>
        <w:t xml:space="preserve">, it is a </w:t>
      </w:r>
      <w:r w:rsidR="00140CB0" w:rsidRPr="009A7D7E">
        <w:rPr>
          <w:sz w:val="24"/>
          <w:szCs w:val="24"/>
        </w:rPr>
        <w:t>comedy</w:t>
      </w:r>
      <w:r w:rsidR="00C45ED3" w:rsidRPr="009A7D7E">
        <w:rPr>
          <w:sz w:val="24"/>
          <w:szCs w:val="24"/>
        </w:rPr>
        <w:t xml:space="preserve"> about </w:t>
      </w:r>
      <w:r w:rsidR="0075350A" w:rsidRPr="009A7D7E">
        <w:rPr>
          <w:sz w:val="24"/>
          <w:szCs w:val="24"/>
        </w:rPr>
        <w:t xml:space="preserve">a nephew, Dauphine, of a wealthy gentleman, Morose, </w:t>
      </w:r>
      <w:r w:rsidR="004F0F2E" w:rsidRPr="009A7D7E">
        <w:rPr>
          <w:sz w:val="24"/>
          <w:szCs w:val="24"/>
        </w:rPr>
        <w:t xml:space="preserve">who </w:t>
      </w:r>
      <w:r w:rsidR="00BD373B" w:rsidRPr="009A7D7E">
        <w:rPr>
          <w:sz w:val="24"/>
          <w:szCs w:val="24"/>
        </w:rPr>
        <w:t xml:space="preserve">arranges for his uncle to </w:t>
      </w:r>
      <w:r w:rsidR="004F0F2E" w:rsidRPr="009A7D7E">
        <w:rPr>
          <w:sz w:val="24"/>
          <w:szCs w:val="24"/>
        </w:rPr>
        <w:t>marr</w:t>
      </w:r>
      <w:r w:rsidR="00BD373B" w:rsidRPr="009A7D7E">
        <w:rPr>
          <w:sz w:val="24"/>
          <w:szCs w:val="24"/>
        </w:rPr>
        <w:t>y</w:t>
      </w:r>
      <w:r w:rsidR="004F0F2E" w:rsidRPr="009A7D7E">
        <w:rPr>
          <w:sz w:val="24"/>
          <w:szCs w:val="24"/>
        </w:rPr>
        <w:t xml:space="preserve"> a </w:t>
      </w:r>
      <w:r w:rsidR="00BD373B" w:rsidRPr="009A7D7E">
        <w:rPr>
          <w:sz w:val="24"/>
          <w:szCs w:val="24"/>
        </w:rPr>
        <w:t>quiet woman</w:t>
      </w:r>
      <w:r w:rsidR="00D244D3" w:rsidRPr="009A7D7E">
        <w:rPr>
          <w:sz w:val="24"/>
          <w:szCs w:val="24"/>
        </w:rPr>
        <w:t>, Epicoene</w:t>
      </w:r>
      <w:r w:rsidR="00140CB0" w:rsidRPr="009A7D7E">
        <w:rPr>
          <w:sz w:val="24"/>
          <w:szCs w:val="24"/>
        </w:rPr>
        <w:t>,</w:t>
      </w:r>
      <w:r w:rsidR="00BD373B" w:rsidRPr="009A7D7E">
        <w:rPr>
          <w:sz w:val="24"/>
          <w:szCs w:val="24"/>
        </w:rPr>
        <w:t xml:space="preserve"> </w:t>
      </w:r>
      <w:r w:rsidR="00140CB0" w:rsidRPr="009A7D7E">
        <w:rPr>
          <w:sz w:val="24"/>
          <w:szCs w:val="24"/>
        </w:rPr>
        <w:t xml:space="preserve">who turns out to be a man, all in order to </w:t>
      </w:r>
      <w:r w:rsidR="0061260C" w:rsidRPr="009A7D7E">
        <w:rPr>
          <w:sz w:val="24"/>
          <w:szCs w:val="24"/>
        </w:rPr>
        <w:t xml:space="preserve">gain his inheritance. </w:t>
      </w:r>
      <w:r w:rsidR="001F0EF2" w:rsidRPr="009A7D7E">
        <w:rPr>
          <w:sz w:val="24"/>
          <w:szCs w:val="24"/>
        </w:rPr>
        <w:t xml:space="preserve">It is a play of schemes, </w:t>
      </w:r>
      <w:r w:rsidR="000D235A" w:rsidRPr="009A7D7E">
        <w:rPr>
          <w:sz w:val="24"/>
          <w:szCs w:val="24"/>
        </w:rPr>
        <w:t xml:space="preserve">a major one in the midst of many being a </w:t>
      </w:r>
      <w:r w:rsidR="00E3593A" w:rsidRPr="009A7D7E">
        <w:rPr>
          <w:sz w:val="24"/>
          <w:szCs w:val="24"/>
        </w:rPr>
        <w:t>scheme for Dauphine’s friends</w:t>
      </w:r>
      <w:r w:rsidR="00CA1072" w:rsidRPr="009A7D7E">
        <w:rPr>
          <w:sz w:val="24"/>
          <w:szCs w:val="24"/>
        </w:rPr>
        <w:t>, Otter and Cutbeard,</w:t>
      </w:r>
      <w:r w:rsidR="00E3593A" w:rsidRPr="009A7D7E">
        <w:rPr>
          <w:sz w:val="24"/>
          <w:szCs w:val="24"/>
        </w:rPr>
        <w:t xml:space="preserve"> to </w:t>
      </w:r>
      <w:r w:rsidR="006501F3" w:rsidRPr="009A7D7E">
        <w:rPr>
          <w:sz w:val="24"/>
          <w:szCs w:val="24"/>
        </w:rPr>
        <w:t>act</w:t>
      </w:r>
      <w:r w:rsidR="00E3593A" w:rsidRPr="009A7D7E">
        <w:rPr>
          <w:sz w:val="24"/>
          <w:szCs w:val="24"/>
        </w:rPr>
        <w:t xml:space="preserve"> as </w:t>
      </w:r>
      <w:r w:rsidR="006501F3" w:rsidRPr="009A7D7E">
        <w:rPr>
          <w:sz w:val="24"/>
          <w:szCs w:val="24"/>
        </w:rPr>
        <w:t xml:space="preserve">a </w:t>
      </w:r>
      <w:r w:rsidR="00E3593A" w:rsidRPr="009A7D7E">
        <w:rPr>
          <w:sz w:val="24"/>
          <w:szCs w:val="24"/>
        </w:rPr>
        <w:t>lawyer</w:t>
      </w:r>
      <w:r w:rsidR="006501F3" w:rsidRPr="009A7D7E">
        <w:rPr>
          <w:sz w:val="24"/>
          <w:szCs w:val="24"/>
        </w:rPr>
        <w:t xml:space="preserve"> and a cleric</w:t>
      </w:r>
      <w:r w:rsidR="00E3593A" w:rsidRPr="009A7D7E">
        <w:rPr>
          <w:sz w:val="24"/>
          <w:szCs w:val="24"/>
        </w:rPr>
        <w:t xml:space="preserve"> and convince Morose that there </w:t>
      </w:r>
      <w:r w:rsidR="00D244D3" w:rsidRPr="009A7D7E">
        <w:rPr>
          <w:sz w:val="24"/>
          <w:szCs w:val="24"/>
        </w:rPr>
        <w:t>are no grounds for him to divorce Epicoene</w:t>
      </w:r>
      <w:r w:rsidR="00560AFC" w:rsidRPr="009A7D7E">
        <w:rPr>
          <w:sz w:val="24"/>
          <w:szCs w:val="24"/>
        </w:rPr>
        <w:t xml:space="preserve">. </w:t>
      </w:r>
      <w:r w:rsidR="00ED71A5" w:rsidRPr="009A7D7E">
        <w:rPr>
          <w:sz w:val="24"/>
          <w:szCs w:val="24"/>
        </w:rPr>
        <w:t>The apparent donning of different roles in society without any major struggles</w:t>
      </w:r>
      <w:r w:rsidR="00092FCC" w:rsidRPr="009A7D7E">
        <w:rPr>
          <w:sz w:val="24"/>
          <w:szCs w:val="24"/>
        </w:rPr>
        <w:t>, highlighted by the phrase</w:t>
      </w:r>
      <w:r w:rsidR="003E4690" w:rsidRPr="009A7D7E">
        <w:rPr>
          <w:sz w:val="24"/>
          <w:szCs w:val="24"/>
        </w:rPr>
        <w:t xml:space="preserve"> </w:t>
      </w:r>
      <w:r w:rsidR="00092FCC" w:rsidRPr="009A7D7E">
        <w:rPr>
          <w:sz w:val="24"/>
          <w:szCs w:val="24"/>
        </w:rPr>
        <w:t xml:space="preserve">“Preferment </w:t>
      </w:r>
      <w:r w:rsidR="003963D1" w:rsidRPr="009A7D7E">
        <w:rPr>
          <w:sz w:val="24"/>
          <w:szCs w:val="24"/>
        </w:rPr>
        <w:t>changes any man” (</w:t>
      </w:r>
      <w:r w:rsidR="003963D1" w:rsidRPr="009A7D7E">
        <w:rPr>
          <w:i/>
          <w:iCs/>
          <w:sz w:val="24"/>
          <w:szCs w:val="24"/>
        </w:rPr>
        <w:t xml:space="preserve">Epicoene, </w:t>
      </w:r>
      <w:r w:rsidR="003963D1" w:rsidRPr="009A7D7E">
        <w:rPr>
          <w:sz w:val="24"/>
          <w:szCs w:val="24"/>
        </w:rPr>
        <w:t>5.3.</w:t>
      </w:r>
      <w:r w:rsidR="00B044BC" w:rsidRPr="009A7D7E">
        <w:rPr>
          <w:sz w:val="24"/>
          <w:szCs w:val="24"/>
        </w:rPr>
        <w:t>4-5)</w:t>
      </w:r>
      <w:r w:rsidR="008414D4">
        <w:rPr>
          <w:sz w:val="24"/>
          <w:szCs w:val="24"/>
        </w:rPr>
        <w:t>,</w:t>
      </w:r>
      <w:r w:rsidR="00B044BC" w:rsidRPr="009A7D7E">
        <w:rPr>
          <w:sz w:val="24"/>
          <w:szCs w:val="24"/>
        </w:rPr>
        <w:t xml:space="preserve"> </w:t>
      </w:r>
      <w:r w:rsidR="003E4690" w:rsidRPr="009A7D7E">
        <w:rPr>
          <w:sz w:val="24"/>
          <w:szCs w:val="24"/>
        </w:rPr>
        <w:t xml:space="preserve">invites the audience to </w:t>
      </w:r>
      <w:r w:rsidR="00522951" w:rsidRPr="009A7D7E">
        <w:rPr>
          <w:sz w:val="24"/>
          <w:szCs w:val="24"/>
        </w:rPr>
        <w:lastRenderedPageBreak/>
        <w:t xml:space="preserve">contemplate their </w:t>
      </w:r>
      <w:r w:rsidR="009D089B" w:rsidRPr="009A7D7E">
        <w:rPr>
          <w:sz w:val="24"/>
          <w:szCs w:val="24"/>
        </w:rPr>
        <w:t>respective roles and the changeability of them</w:t>
      </w:r>
      <w:r w:rsidR="00775F41" w:rsidRPr="009A7D7E">
        <w:rPr>
          <w:sz w:val="24"/>
          <w:szCs w:val="24"/>
        </w:rPr>
        <w:t>,</w:t>
      </w:r>
      <w:r w:rsidR="002449F0" w:rsidRPr="009A7D7E">
        <w:rPr>
          <w:sz w:val="24"/>
          <w:szCs w:val="24"/>
        </w:rPr>
        <w:t xml:space="preserve"> since</w:t>
      </w:r>
      <w:r w:rsidR="0000691E" w:rsidRPr="009A7D7E">
        <w:rPr>
          <w:sz w:val="24"/>
          <w:szCs w:val="24"/>
        </w:rPr>
        <w:t xml:space="preserve"> different</w:t>
      </w:r>
      <w:r w:rsidR="002449F0" w:rsidRPr="009A7D7E">
        <w:rPr>
          <w:sz w:val="24"/>
          <w:szCs w:val="24"/>
        </w:rPr>
        <w:t xml:space="preserve"> </w:t>
      </w:r>
      <w:r w:rsidR="00F32224" w:rsidRPr="009A7D7E">
        <w:rPr>
          <w:sz w:val="24"/>
          <w:szCs w:val="24"/>
        </w:rPr>
        <w:t xml:space="preserve">societal roles </w:t>
      </w:r>
      <w:r w:rsidR="0000691E" w:rsidRPr="009A7D7E">
        <w:rPr>
          <w:sz w:val="24"/>
          <w:szCs w:val="24"/>
        </w:rPr>
        <w:t xml:space="preserve">can be undertaken by anyone willing to change and adapt. </w:t>
      </w:r>
      <w:r w:rsidR="00A14DA9" w:rsidRPr="009A7D7E">
        <w:rPr>
          <w:sz w:val="24"/>
          <w:szCs w:val="24"/>
        </w:rPr>
        <w:t xml:space="preserve">Change and malleability was a topic of interest in early modern </w:t>
      </w:r>
      <w:r w:rsidR="00363D69" w:rsidRPr="009A7D7E">
        <w:rPr>
          <w:sz w:val="24"/>
          <w:szCs w:val="24"/>
        </w:rPr>
        <w:t>culture</w:t>
      </w:r>
      <w:r w:rsidR="00A14DA9" w:rsidRPr="009A7D7E">
        <w:rPr>
          <w:sz w:val="24"/>
          <w:szCs w:val="24"/>
        </w:rPr>
        <w:t xml:space="preserve"> as</w:t>
      </w:r>
      <w:r w:rsidR="00692502" w:rsidRPr="009A7D7E">
        <w:rPr>
          <w:sz w:val="24"/>
          <w:szCs w:val="24"/>
        </w:rPr>
        <w:t xml:space="preserve"> there were numerous references to Proteus, the </w:t>
      </w:r>
      <w:r w:rsidR="004D3397" w:rsidRPr="009A7D7E">
        <w:rPr>
          <w:sz w:val="24"/>
          <w:szCs w:val="24"/>
        </w:rPr>
        <w:t>a</w:t>
      </w:r>
      <w:r w:rsidR="00692502" w:rsidRPr="009A7D7E">
        <w:rPr>
          <w:sz w:val="24"/>
          <w:szCs w:val="24"/>
        </w:rPr>
        <w:t xml:space="preserve">ncient Greek god of the sea with the </w:t>
      </w:r>
      <w:r w:rsidR="00943CF3" w:rsidRPr="009A7D7E">
        <w:rPr>
          <w:sz w:val="24"/>
          <w:szCs w:val="24"/>
        </w:rPr>
        <w:t xml:space="preserve">power to transform his appearance. Examples can be found in </w:t>
      </w:r>
      <w:r w:rsidR="00972BCD" w:rsidRPr="009A7D7E">
        <w:rPr>
          <w:sz w:val="24"/>
          <w:szCs w:val="24"/>
        </w:rPr>
        <w:t>plays</w:t>
      </w:r>
      <w:r w:rsidR="00943CF3" w:rsidRPr="009A7D7E">
        <w:rPr>
          <w:sz w:val="24"/>
          <w:szCs w:val="24"/>
        </w:rPr>
        <w:t xml:space="preserve">, </w:t>
      </w:r>
      <w:r w:rsidR="00363D69" w:rsidRPr="009A7D7E">
        <w:rPr>
          <w:sz w:val="24"/>
          <w:szCs w:val="24"/>
        </w:rPr>
        <w:t xml:space="preserve">e.g. how Gaveston in </w:t>
      </w:r>
      <w:r w:rsidR="00363D69" w:rsidRPr="009A7D7E">
        <w:rPr>
          <w:i/>
          <w:iCs/>
          <w:sz w:val="24"/>
          <w:szCs w:val="24"/>
        </w:rPr>
        <w:t>Edward II</w:t>
      </w:r>
      <w:r w:rsidR="00363D69" w:rsidRPr="009A7D7E">
        <w:rPr>
          <w:sz w:val="24"/>
          <w:szCs w:val="24"/>
        </w:rPr>
        <w:t xml:space="preserve"> is likened to “Proteus, god of shapes” </w:t>
      </w:r>
      <w:r w:rsidR="009570B3" w:rsidRPr="009A7D7E">
        <w:rPr>
          <w:sz w:val="24"/>
          <w:szCs w:val="24"/>
        </w:rPr>
        <w:t>(</w:t>
      </w:r>
      <w:r w:rsidR="009570B3" w:rsidRPr="009A7D7E">
        <w:rPr>
          <w:i/>
          <w:iCs/>
          <w:sz w:val="24"/>
          <w:szCs w:val="24"/>
        </w:rPr>
        <w:t xml:space="preserve">Edward II, </w:t>
      </w:r>
      <w:r w:rsidR="009570B3" w:rsidRPr="009A7D7E">
        <w:rPr>
          <w:sz w:val="24"/>
          <w:szCs w:val="24"/>
        </w:rPr>
        <w:t>4.412)</w:t>
      </w:r>
      <w:r w:rsidR="00DF1183" w:rsidRPr="009A7D7E">
        <w:rPr>
          <w:sz w:val="24"/>
          <w:szCs w:val="24"/>
        </w:rPr>
        <w:t xml:space="preserve">, </w:t>
      </w:r>
      <w:r w:rsidR="00972BCD" w:rsidRPr="009A7D7E">
        <w:rPr>
          <w:sz w:val="24"/>
          <w:szCs w:val="24"/>
        </w:rPr>
        <w:t>as well as</w:t>
      </w:r>
      <w:r w:rsidR="00DF1183" w:rsidRPr="009A7D7E">
        <w:rPr>
          <w:sz w:val="24"/>
          <w:szCs w:val="24"/>
        </w:rPr>
        <w:t xml:space="preserve"> in the praise of players’ ability to play fictional characters on the stage</w:t>
      </w:r>
      <w:r w:rsidR="00C347E2" w:rsidRPr="009A7D7E">
        <w:rPr>
          <w:sz w:val="24"/>
          <w:szCs w:val="24"/>
        </w:rPr>
        <w:t xml:space="preserve">, e.g. how Edward Alleyn was remembered by Thomas Heywood as “Proteus for shapes” </w:t>
      </w:r>
      <w:sdt>
        <w:sdtPr>
          <w:rPr>
            <w:sz w:val="24"/>
            <w:szCs w:val="24"/>
          </w:rPr>
          <w:id w:val="1812604044"/>
          <w:citation/>
        </w:sdtPr>
        <w:sdtEndPr/>
        <w:sdtContent>
          <w:r w:rsidR="00C347E2" w:rsidRPr="009A7D7E">
            <w:rPr>
              <w:sz w:val="24"/>
              <w:szCs w:val="24"/>
            </w:rPr>
            <w:fldChar w:fldCharType="begin"/>
          </w:r>
          <w:r w:rsidR="002F3B4F" w:rsidRPr="009A7D7E">
            <w:rPr>
              <w:sz w:val="24"/>
              <w:szCs w:val="24"/>
            </w:rPr>
            <w:instrText xml:space="preserve">CITATION Hey33 \n  \l 2057 </w:instrText>
          </w:r>
          <w:r w:rsidR="00C347E2" w:rsidRPr="009A7D7E">
            <w:rPr>
              <w:sz w:val="24"/>
              <w:szCs w:val="24"/>
            </w:rPr>
            <w:fldChar w:fldCharType="separate"/>
          </w:r>
          <w:r w:rsidR="002F3B4F" w:rsidRPr="009A7D7E">
            <w:rPr>
              <w:sz w:val="24"/>
              <w:szCs w:val="24"/>
            </w:rPr>
            <w:t>(1633)</w:t>
          </w:r>
          <w:r w:rsidR="00C347E2" w:rsidRPr="009A7D7E">
            <w:rPr>
              <w:sz w:val="24"/>
              <w:szCs w:val="24"/>
            </w:rPr>
            <w:fldChar w:fldCharType="end"/>
          </w:r>
        </w:sdtContent>
      </w:sdt>
      <w:r w:rsidR="00C347E2" w:rsidRPr="009A7D7E">
        <w:rPr>
          <w:sz w:val="24"/>
          <w:szCs w:val="24"/>
        </w:rPr>
        <w:t xml:space="preserve"> and Richard Burbage was remembered by Richard Flecknoe as “a delightful Proteus” </w:t>
      </w:r>
      <w:sdt>
        <w:sdtPr>
          <w:rPr>
            <w:sz w:val="24"/>
            <w:szCs w:val="24"/>
          </w:rPr>
          <w:id w:val="1825316490"/>
          <w:citation/>
        </w:sdtPr>
        <w:sdtEndPr/>
        <w:sdtContent>
          <w:r w:rsidR="00C347E2" w:rsidRPr="009A7D7E">
            <w:rPr>
              <w:sz w:val="24"/>
              <w:szCs w:val="24"/>
            </w:rPr>
            <w:fldChar w:fldCharType="begin"/>
          </w:r>
          <w:r w:rsidR="002F3B4F" w:rsidRPr="009A7D7E">
            <w:rPr>
              <w:sz w:val="24"/>
              <w:szCs w:val="24"/>
            </w:rPr>
            <w:instrText xml:space="preserve">CITATION Fle64 \n  \l 2057 </w:instrText>
          </w:r>
          <w:r w:rsidR="00C347E2" w:rsidRPr="009A7D7E">
            <w:rPr>
              <w:sz w:val="24"/>
              <w:szCs w:val="24"/>
            </w:rPr>
            <w:fldChar w:fldCharType="separate"/>
          </w:r>
          <w:r w:rsidR="002F3B4F" w:rsidRPr="009A7D7E">
            <w:rPr>
              <w:sz w:val="24"/>
              <w:szCs w:val="24"/>
            </w:rPr>
            <w:t>(1664)</w:t>
          </w:r>
          <w:r w:rsidR="00C347E2" w:rsidRPr="009A7D7E">
            <w:rPr>
              <w:sz w:val="24"/>
              <w:szCs w:val="24"/>
            </w:rPr>
            <w:fldChar w:fldCharType="end"/>
          </w:r>
        </w:sdtContent>
      </w:sdt>
      <w:r w:rsidR="00147C46" w:rsidRPr="009A7D7E">
        <w:rPr>
          <w:sz w:val="24"/>
          <w:szCs w:val="24"/>
        </w:rPr>
        <w:t>. Just as players and their represented characters were seen jumping between social classes in performances, t</w:t>
      </w:r>
      <w:r w:rsidR="00067415" w:rsidRPr="009A7D7E">
        <w:rPr>
          <w:sz w:val="24"/>
          <w:szCs w:val="24"/>
        </w:rPr>
        <w:t>his</w:t>
      </w:r>
      <w:r w:rsidR="00147C46" w:rsidRPr="009A7D7E">
        <w:rPr>
          <w:sz w:val="24"/>
          <w:szCs w:val="24"/>
        </w:rPr>
        <w:t xml:space="preserve"> may </w:t>
      </w:r>
      <w:r w:rsidR="00067415" w:rsidRPr="009A7D7E">
        <w:rPr>
          <w:sz w:val="24"/>
          <w:szCs w:val="24"/>
        </w:rPr>
        <w:t xml:space="preserve">have </w:t>
      </w:r>
      <w:r w:rsidR="00147C46" w:rsidRPr="009A7D7E">
        <w:rPr>
          <w:sz w:val="24"/>
          <w:szCs w:val="24"/>
        </w:rPr>
        <w:t>inspire</w:t>
      </w:r>
      <w:r w:rsidR="00067415" w:rsidRPr="009A7D7E">
        <w:rPr>
          <w:sz w:val="24"/>
          <w:szCs w:val="24"/>
        </w:rPr>
        <w:t>d</w:t>
      </w:r>
      <w:r w:rsidR="00147C46" w:rsidRPr="009A7D7E">
        <w:rPr>
          <w:sz w:val="24"/>
          <w:szCs w:val="24"/>
        </w:rPr>
        <w:t xml:space="preserve"> the audience to </w:t>
      </w:r>
      <w:r w:rsidR="00067415" w:rsidRPr="009A7D7E">
        <w:rPr>
          <w:sz w:val="24"/>
          <w:szCs w:val="24"/>
        </w:rPr>
        <w:t>do the same</w:t>
      </w:r>
      <w:r w:rsidR="00595E6F" w:rsidRPr="009A7D7E">
        <w:rPr>
          <w:sz w:val="24"/>
          <w:szCs w:val="24"/>
        </w:rPr>
        <w:t xml:space="preserve">: to reject societal norms, to create one’s own </w:t>
      </w:r>
      <w:r w:rsidR="00146276" w:rsidRPr="009A7D7E">
        <w:rPr>
          <w:sz w:val="24"/>
          <w:szCs w:val="24"/>
        </w:rPr>
        <w:t xml:space="preserve">place in the world, undefined by others. </w:t>
      </w:r>
      <w:r w:rsidR="00304A7F" w:rsidRPr="009A7D7E">
        <w:rPr>
          <w:i/>
          <w:iCs/>
          <w:sz w:val="24"/>
          <w:szCs w:val="24"/>
        </w:rPr>
        <w:t>Epicoene</w:t>
      </w:r>
      <w:r w:rsidR="00304A7F" w:rsidRPr="009A7D7E">
        <w:rPr>
          <w:sz w:val="24"/>
          <w:szCs w:val="24"/>
        </w:rPr>
        <w:t xml:space="preserve">, </w:t>
      </w:r>
      <w:r w:rsidR="006674BE" w:rsidRPr="009A7D7E">
        <w:rPr>
          <w:sz w:val="24"/>
          <w:szCs w:val="24"/>
        </w:rPr>
        <w:t xml:space="preserve">a comedy ending in tragedy, a marriage story ending in divorce, or </w:t>
      </w:r>
      <w:r w:rsidR="009828B7" w:rsidRPr="009A7D7E">
        <w:rPr>
          <w:sz w:val="24"/>
          <w:szCs w:val="24"/>
        </w:rPr>
        <w:t>“plain nullity” (</w:t>
      </w:r>
      <w:r w:rsidR="009828B7" w:rsidRPr="009A7D7E">
        <w:rPr>
          <w:i/>
          <w:iCs/>
          <w:sz w:val="24"/>
          <w:szCs w:val="24"/>
        </w:rPr>
        <w:t xml:space="preserve">Epicoene, </w:t>
      </w:r>
      <w:r w:rsidR="00CD42ED" w:rsidRPr="009A7D7E">
        <w:rPr>
          <w:sz w:val="24"/>
          <w:szCs w:val="24"/>
        </w:rPr>
        <w:t>5.4.108), is a play that defies expectations</w:t>
      </w:r>
      <w:r w:rsidR="004A2BCA" w:rsidRPr="009A7D7E">
        <w:rPr>
          <w:sz w:val="24"/>
          <w:szCs w:val="24"/>
        </w:rPr>
        <w:t xml:space="preserve"> </w:t>
      </w:r>
      <w:sdt>
        <w:sdtPr>
          <w:rPr>
            <w:sz w:val="24"/>
            <w:szCs w:val="24"/>
          </w:rPr>
          <w:id w:val="-1066326731"/>
          <w:citation/>
        </w:sdtPr>
        <w:sdtEndPr/>
        <w:sdtContent>
          <w:r w:rsidR="005D73FC" w:rsidRPr="009A7D7E">
            <w:rPr>
              <w:sz w:val="24"/>
              <w:szCs w:val="24"/>
            </w:rPr>
            <w:fldChar w:fldCharType="begin"/>
          </w:r>
          <w:r w:rsidR="005D73FC" w:rsidRPr="009A7D7E">
            <w:rPr>
              <w:sz w:val="24"/>
              <w:szCs w:val="24"/>
            </w:rPr>
            <w:instrText xml:space="preserve">CITATION Jon08 \l 2057 </w:instrText>
          </w:r>
          <w:r w:rsidR="005D73FC" w:rsidRPr="009A7D7E">
            <w:rPr>
              <w:sz w:val="24"/>
              <w:szCs w:val="24"/>
            </w:rPr>
            <w:fldChar w:fldCharType="separate"/>
          </w:r>
          <w:r w:rsidR="005D73FC" w:rsidRPr="009A7D7E">
            <w:rPr>
              <w:sz w:val="24"/>
              <w:szCs w:val="24"/>
            </w:rPr>
            <w:t>(Holdsworth, 2008)</w:t>
          </w:r>
          <w:r w:rsidR="005D73FC" w:rsidRPr="009A7D7E">
            <w:rPr>
              <w:sz w:val="24"/>
              <w:szCs w:val="24"/>
            </w:rPr>
            <w:fldChar w:fldCharType="end"/>
          </w:r>
        </w:sdtContent>
      </w:sdt>
      <w:r w:rsidR="005D73FC" w:rsidRPr="009A7D7E">
        <w:rPr>
          <w:sz w:val="24"/>
          <w:szCs w:val="24"/>
        </w:rPr>
        <w:t xml:space="preserve">, </w:t>
      </w:r>
      <w:r w:rsidR="00CD42ED" w:rsidRPr="009A7D7E">
        <w:rPr>
          <w:sz w:val="24"/>
          <w:szCs w:val="24"/>
        </w:rPr>
        <w:t xml:space="preserve">and by doing so </w:t>
      </w:r>
      <w:r w:rsidR="00433AEB" w:rsidRPr="009A7D7E">
        <w:rPr>
          <w:sz w:val="24"/>
          <w:szCs w:val="24"/>
        </w:rPr>
        <w:t>forces the audience to analyse the comedy and the drama more closely</w:t>
      </w:r>
      <w:r w:rsidR="00D341B9" w:rsidRPr="009A7D7E">
        <w:rPr>
          <w:sz w:val="24"/>
          <w:szCs w:val="24"/>
        </w:rPr>
        <w:t xml:space="preserve">, i.e. </w:t>
      </w:r>
      <w:r w:rsidR="00E63FFD" w:rsidRPr="009A7D7E">
        <w:rPr>
          <w:sz w:val="24"/>
          <w:szCs w:val="24"/>
        </w:rPr>
        <w:t>it forces playgoers to look behind the surface meaning and draw something more from it</w:t>
      </w:r>
      <w:r w:rsidR="004E617C" w:rsidRPr="009A7D7E">
        <w:rPr>
          <w:sz w:val="24"/>
          <w:szCs w:val="24"/>
        </w:rPr>
        <w:t xml:space="preserve">, to look inside the window “when the </w:t>
      </w:r>
      <w:r w:rsidR="001E7E14" w:rsidRPr="009A7D7E">
        <w:rPr>
          <w:sz w:val="24"/>
          <w:szCs w:val="24"/>
        </w:rPr>
        <w:t>doors are shut” (1.1.111)</w:t>
      </w:r>
      <w:r w:rsidR="00F03DEB" w:rsidRPr="009A7D7E">
        <w:rPr>
          <w:sz w:val="24"/>
          <w:szCs w:val="24"/>
        </w:rPr>
        <w:t xml:space="preserve">. The </w:t>
      </w:r>
      <w:r w:rsidR="00AD507F" w:rsidRPr="009A7D7E">
        <w:rPr>
          <w:sz w:val="24"/>
          <w:szCs w:val="24"/>
        </w:rPr>
        <w:t xml:space="preserve">play’s </w:t>
      </w:r>
      <w:r w:rsidR="00096324" w:rsidRPr="009A7D7E">
        <w:rPr>
          <w:sz w:val="24"/>
          <w:szCs w:val="24"/>
        </w:rPr>
        <w:t>parting</w:t>
      </w:r>
      <w:r w:rsidR="00F03DEB" w:rsidRPr="009A7D7E">
        <w:rPr>
          <w:sz w:val="24"/>
          <w:szCs w:val="24"/>
        </w:rPr>
        <w:t xml:space="preserve"> address to the audience </w:t>
      </w:r>
      <w:r w:rsidR="006D44DB" w:rsidRPr="009A7D7E">
        <w:rPr>
          <w:sz w:val="24"/>
          <w:szCs w:val="24"/>
        </w:rPr>
        <w:t>“Spectators, if you like this comedy, rise cheerfully” (5.4.235)</w:t>
      </w:r>
      <w:r w:rsidR="00062DE7" w:rsidRPr="009A7D7E">
        <w:rPr>
          <w:sz w:val="24"/>
          <w:szCs w:val="24"/>
        </w:rPr>
        <w:t xml:space="preserve"> is </w:t>
      </w:r>
      <w:r w:rsidR="000E7D98" w:rsidRPr="009A7D7E">
        <w:rPr>
          <w:sz w:val="24"/>
          <w:szCs w:val="24"/>
        </w:rPr>
        <w:t xml:space="preserve">a powerful connection between the play’s </w:t>
      </w:r>
      <w:r w:rsidR="00212ACC" w:rsidRPr="009A7D7E">
        <w:rPr>
          <w:sz w:val="24"/>
          <w:szCs w:val="24"/>
        </w:rPr>
        <w:t>fictive</w:t>
      </w:r>
      <w:r w:rsidR="000E7D98" w:rsidRPr="009A7D7E">
        <w:rPr>
          <w:sz w:val="24"/>
          <w:szCs w:val="24"/>
        </w:rPr>
        <w:t xml:space="preserve"> world and </w:t>
      </w:r>
      <w:r w:rsidR="003F0513" w:rsidRPr="009A7D7E">
        <w:rPr>
          <w:sz w:val="24"/>
          <w:szCs w:val="24"/>
        </w:rPr>
        <w:t xml:space="preserve">its </w:t>
      </w:r>
      <w:r w:rsidR="007B3361" w:rsidRPr="009A7D7E">
        <w:rPr>
          <w:sz w:val="24"/>
          <w:szCs w:val="24"/>
        </w:rPr>
        <w:t xml:space="preserve">hidden messages and the world of the </w:t>
      </w:r>
      <w:r w:rsidR="00FE68FC" w:rsidRPr="009A7D7E">
        <w:rPr>
          <w:sz w:val="24"/>
          <w:szCs w:val="24"/>
        </w:rPr>
        <w:t>revealed spectators</w:t>
      </w:r>
      <w:r w:rsidR="003F0513" w:rsidRPr="009A7D7E">
        <w:rPr>
          <w:sz w:val="24"/>
          <w:szCs w:val="24"/>
        </w:rPr>
        <w:t>, again forcing the audience to draw parallels and see</w:t>
      </w:r>
      <w:r w:rsidR="00D43EC5" w:rsidRPr="009A7D7E">
        <w:rPr>
          <w:sz w:val="24"/>
          <w:szCs w:val="24"/>
        </w:rPr>
        <w:t xml:space="preserve"> society in a different light</w:t>
      </w:r>
      <w:r w:rsidR="000F4758">
        <w:rPr>
          <w:sz w:val="24"/>
          <w:szCs w:val="24"/>
        </w:rPr>
        <w:t xml:space="preserve"> – the play’s </w:t>
      </w:r>
      <w:r w:rsidR="00A116EA">
        <w:rPr>
          <w:sz w:val="24"/>
          <w:szCs w:val="24"/>
        </w:rPr>
        <w:t>light.</w:t>
      </w:r>
    </w:p>
    <w:p w14:paraId="6BC140DB" w14:textId="6FB214A7" w:rsidR="0078211D" w:rsidRDefault="0078211D" w:rsidP="009A7D7E">
      <w:pPr>
        <w:spacing w:line="480" w:lineRule="auto"/>
        <w:ind w:firstLine="567"/>
        <w:rPr>
          <w:sz w:val="24"/>
          <w:szCs w:val="24"/>
        </w:rPr>
      </w:pPr>
      <w:r w:rsidRPr="009A7D7E">
        <w:rPr>
          <w:sz w:val="24"/>
          <w:szCs w:val="24"/>
        </w:rPr>
        <w:lastRenderedPageBreak/>
        <w:t xml:space="preserve">To conclude, </w:t>
      </w:r>
      <w:r w:rsidR="00D34207" w:rsidRPr="009A7D7E">
        <w:rPr>
          <w:sz w:val="24"/>
          <w:szCs w:val="24"/>
        </w:rPr>
        <w:t xml:space="preserve">one can </w:t>
      </w:r>
      <w:r w:rsidR="00D72447">
        <w:rPr>
          <w:sz w:val="24"/>
          <w:szCs w:val="24"/>
        </w:rPr>
        <w:t xml:space="preserve">certainly </w:t>
      </w:r>
      <w:bookmarkStart w:id="0" w:name="_GoBack"/>
      <w:bookmarkEnd w:id="0"/>
      <w:r w:rsidR="00D34207" w:rsidRPr="009A7D7E">
        <w:rPr>
          <w:sz w:val="24"/>
          <w:szCs w:val="24"/>
        </w:rPr>
        <w:t xml:space="preserve">refute </w:t>
      </w:r>
      <w:r w:rsidRPr="009A7D7E">
        <w:rPr>
          <w:sz w:val="24"/>
          <w:szCs w:val="24"/>
        </w:rPr>
        <w:t>Anthony Munday</w:t>
      </w:r>
      <w:r w:rsidR="00D34207" w:rsidRPr="009A7D7E">
        <w:rPr>
          <w:sz w:val="24"/>
          <w:szCs w:val="24"/>
        </w:rPr>
        <w:t xml:space="preserve">’s claim that </w:t>
      </w:r>
      <w:r w:rsidR="00C33584" w:rsidRPr="009A7D7E">
        <w:rPr>
          <w:sz w:val="24"/>
          <w:szCs w:val="24"/>
        </w:rPr>
        <w:t>early modern theatre encourage</w:t>
      </w:r>
      <w:r w:rsidR="00712E50" w:rsidRPr="009A7D7E">
        <w:rPr>
          <w:sz w:val="24"/>
          <w:szCs w:val="24"/>
        </w:rPr>
        <w:t>d</w:t>
      </w:r>
      <w:r w:rsidR="00C33584" w:rsidRPr="009A7D7E">
        <w:rPr>
          <w:sz w:val="24"/>
          <w:szCs w:val="24"/>
        </w:rPr>
        <w:t xml:space="preserve"> spectators to challenge the social hierarchy</w:t>
      </w:r>
      <w:r w:rsidR="00712E50" w:rsidRPr="009A7D7E">
        <w:rPr>
          <w:sz w:val="24"/>
          <w:szCs w:val="24"/>
        </w:rPr>
        <w:t xml:space="preserve"> by highlighting the fact that it was </w:t>
      </w:r>
      <w:r w:rsidR="00D21822" w:rsidRPr="009A7D7E">
        <w:rPr>
          <w:sz w:val="24"/>
          <w:szCs w:val="24"/>
        </w:rPr>
        <w:t xml:space="preserve">a state-approved </w:t>
      </w:r>
      <w:r w:rsidR="00EE0A05" w:rsidRPr="009A7D7E">
        <w:rPr>
          <w:sz w:val="24"/>
          <w:szCs w:val="24"/>
        </w:rPr>
        <w:t>medium/activity</w:t>
      </w:r>
      <w:r w:rsidR="00D21822" w:rsidRPr="009A7D7E">
        <w:rPr>
          <w:sz w:val="24"/>
          <w:szCs w:val="24"/>
        </w:rPr>
        <w:t xml:space="preserve"> which was significantly censored and sometimes</w:t>
      </w:r>
      <w:r w:rsidR="00EE0A05" w:rsidRPr="009A7D7E">
        <w:rPr>
          <w:sz w:val="24"/>
          <w:szCs w:val="24"/>
        </w:rPr>
        <w:t xml:space="preserve"> even used by the crown as a propaganda </w:t>
      </w:r>
      <w:r w:rsidR="009669F0" w:rsidRPr="009A7D7E">
        <w:rPr>
          <w:sz w:val="24"/>
          <w:szCs w:val="24"/>
        </w:rPr>
        <w:t>dissemination device. However, one can also argue</w:t>
      </w:r>
      <w:r w:rsidR="008A5454" w:rsidRPr="009A7D7E">
        <w:rPr>
          <w:sz w:val="24"/>
          <w:szCs w:val="24"/>
        </w:rPr>
        <w:t xml:space="preserve"> with</w:t>
      </w:r>
      <w:r w:rsidR="009669F0" w:rsidRPr="009A7D7E">
        <w:rPr>
          <w:sz w:val="24"/>
          <w:szCs w:val="24"/>
        </w:rPr>
        <w:t xml:space="preserve"> </w:t>
      </w:r>
      <w:r w:rsidR="008A5454" w:rsidRPr="009A7D7E">
        <w:rPr>
          <w:sz w:val="24"/>
          <w:szCs w:val="24"/>
        </w:rPr>
        <w:t xml:space="preserve">evidence </w:t>
      </w:r>
      <w:r w:rsidR="009669F0" w:rsidRPr="009A7D7E">
        <w:rPr>
          <w:sz w:val="24"/>
          <w:szCs w:val="24"/>
        </w:rPr>
        <w:t xml:space="preserve">that </w:t>
      </w:r>
      <w:r w:rsidR="008A5454" w:rsidRPr="009A7D7E">
        <w:rPr>
          <w:sz w:val="24"/>
          <w:szCs w:val="24"/>
        </w:rPr>
        <w:t xml:space="preserve">a large number of plays </w:t>
      </w:r>
      <w:r w:rsidR="00D239C0" w:rsidRPr="009A7D7E">
        <w:rPr>
          <w:sz w:val="24"/>
          <w:szCs w:val="24"/>
        </w:rPr>
        <w:t>avoided the rules of state theatre</w:t>
      </w:r>
      <w:r w:rsidR="006C4472" w:rsidRPr="009A7D7E">
        <w:rPr>
          <w:sz w:val="24"/>
          <w:szCs w:val="24"/>
        </w:rPr>
        <w:t xml:space="preserve"> and challenged societal views with allegorical messages </w:t>
      </w:r>
      <w:r w:rsidR="00302A61" w:rsidRPr="009A7D7E">
        <w:rPr>
          <w:sz w:val="24"/>
          <w:szCs w:val="24"/>
        </w:rPr>
        <w:t xml:space="preserve">hidden in </w:t>
      </w:r>
      <w:r w:rsidR="002A6BCE" w:rsidRPr="009A7D7E">
        <w:rPr>
          <w:sz w:val="24"/>
          <w:szCs w:val="24"/>
        </w:rPr>
        <w:t xml:space="preserve">the </w:t>
      </w:r>
      <w:r w:rsidR="00302A61" w:rsidRPr="009A7D7E">
        <w:rPr>
          <w:sz w:val="24"/>
          <w:szCs w:val="24"/>
        </w:rPr>
        <w:t>symbols, metaphors, wordplays, and rhetoric</w:t>
      </w:r>
      <w:r w:rsidR="002A6BCE" w:rsidRPr="009A7D7E">
        <w:rPr>
          <w:sz w:val="24"/>
          <w:szCs w:val="24"/>
        </w:rPr>
        <w:t xml:space="preserve"> performed</w:t>
      </w:r>
      <w:r w:rsidR="00302A61" w:rsidRPr="009A7D7E">
        <w:rPr>
          <w:sz w:val="24"/>
          <w:szCs w:val="24"/>
        </w:rPr>
        <w:t xml:space="preserve">. </w:t>
      </w:r>
      <w:r w:rsidR="008926C7" w:rsidRPr="009A7D7E">
        <w:rPr>
          <w:sz w:val="24"/>
          <w:szCs w:val="24"/>
        </w:rPr>
        <w:t xml:space="preserve">Christopher Marlowe and Ben Jonson, the second most popular </w:t>
      </w:r>
      <w:r w:rsidR="00657FEC" w:rsidRPr="009A7D7E">
        <w:rPr>
          <w:sz w:val="24"/>
          <w:szCs w:val="24"/>
        </w:rPr>
        <w:t xml:space="preserve">early modern </w:t>
      </w:r>
      <w:r w:rsidR="008926C7" w:rsidRPr="009A7D7E">
        <w:rPr>
          <w:sz w:val="24"/>
          <w:szCs w:val="24"/>
        </w:rPr>
        <w:t xml:space="preserve">playwrights after Shakespeare, </w:t>
      </w:r>
      <w:r w:rsidR="00A848A4" w:rsidRPr="009A7D7E">
        <w:rPr>
          <w:sz w:val="24"/>
          <w:szCs w:val="24"/>
        </w:rPr>
        <w:t>demonstrate</w:t>
      </w:r>
      <w:r w:rsidR="002A6BCE" w:rsidRPr="009A7D7E">
        <w:rPr>
          <w:sz w:val="24"/>
          <w:szCs w:val="24"/>
        </w:rPr>
        <w:t>d</w:t>
      </w:r>
      <w:r w:rsidR="00A848A4" w:rsidRPr="009A7D7E">
        <w:rPr>
          <w:sz w:val="24"/>
          <w:szCs w:val="24"/>
        </w:rPr>
        <w:t xml:space="preserve"> how even highly successful plays </w:t>
      </w:r>
      <w:r w:rsidR="002A6BCE" w:rsidRPr="009A7D7E">
        <w:rPr>
          <w:sz w:val="24"/>
          <w:szCs w:val="24"/>
        </w:rPr>
        <w:t>could</w:t>
      </w:r>
      <w:r w:rsidR="00A848A4" w:rsidRPr="009A7D7E">
        <w:rPr>
          <w:sz w:val="24"/>
          <w:szCs w:val="24"/>
        </w:rPr>
        <w:t xml:space="preserve"> hide </w:t>
      </w:r>
      <w:r w:rsidR="00630D20" w:rsidRPr="009A7D7E">
        <w:rPr>
          <w:sz w:val="24"/>
          <w:szCs w:val="24"/>
        </w:rPr>
        <w:t xml:space="preserve">messages of critical thinking about the church and the state, of freedom of sexuality and </w:t>
      </w:r>
      <w:r w:rsidR="00903C6E" w:rsidRPr="009A7D7E">
        <w:rPr>
          <w:sz w:val="24"/>
          <w:szCs w:val="24"/>
        </w:rPr>
        <w:t xml:space="preserve">romance, of </w:t>
      </w:r>
      <w:r w:rsidR="0061004E" w:rsidRPr="009A7D7E">
        <w:rPr>
          <w:sz w:val="24"/>
          <w:szCs w:val="24"/>
        </w:rPr>
        <w:t xml:space="preserve">individual and social freedom, and of </w:t>
      </w:r>
      <w:r w:rsidR="00163E53" w:rsidRPr="009A7D7E">
        <w:rPr>
          <w:sz w:val="24"/>
          <w:szCs w:val="24"/>
        </w:rPr>
        <w:t>societal roles</w:t>
      </w:r>
      <w:r w:rsidR="00FA04A1" w:rsidRPr="009A7D7E">
        <w:rPr>
          <w:sz w:val="24"/>
          <w:szCs w:val="24"/>
        </w:rPr>
        <w:t xml:space="preserve">, thereby inciting the audience to </w:t>
      </w:r>
      <w:r w:rsidR="0018437E" w:rsidRPr="009A7D7E">
        <w:rPr>
          <w:sz w:val="24"/>
          <w:szCs w:val="24"/>
        </w:rPr>
        <w:t xml:space="preserve">oppose social norms and old traditions. </w:t>
      </w:r>
      <w:r w:rsidR="00CC702F" w:rsidRPr="009A7D7E">
        <w:rPr>
          <w:sz w:val="24"/>
          <w:szCs w:val="24"/>
        </w:rPr>
        <w:t xml:space="preserve">Thus, </w:t>
      </w:r>
      <w:r w:rsidR="007E0DF4" w:rsidRPr="009A7D7E">
        <w:rPr>
          <w:sz w:val="24"/>
          <w:szCs w:val="24"/>
        </w:rPr>
        <w:t>one can</w:t>
      </w:r>
      <w:r w:rsidR="00CC702F" w:rsidRPr="009A7D7E">
        <w:rPr>
          <w:sz w:val="24"/>
          <w:szCs w:val="24"/>
        </w:rPr>
        <w:t xml:space="preserve"> argue that early </w:t>
      </w:r>
      <w:r w:rsidR="00D7797F" w:rsidRPr="009A7D7E">
        <w:rPr>
          <w:sz w:val="24"/>
          <w:szCs w:val="24"/>
        </w:rPr>
        <w:t>modern theatre</w:t>
      </w:r>
      <w:r w:rsidR="00546007" w:rsidRPr="009A7D7E">
        <w:rPr>
          <w:sz w:val="24"/>
          <w:szCs w:val="24"/>
        </w:rPr>
        <w:t xml:space="preserve"> was a significant </w:t>
      </w:r>
      <w:r w:rsidR="00A15AD1" w:rsidRPr="009A7D7E">
        <w:rPr>
          <w:sz w:val="24"/>
          <w:szCs w:val="24"/>
        </w:rPr>
        <w:t>enough challenge to Elizabethan and Jacobean England</w:t>
      </w:r>
      <w:r w:rsidR="00F31ED9" w:rsidRPr="009A7D7E">
        <w:rPr>
          <w:sz w:val="24"/>
          <w:szCs w:val="24"/>
        </w:rPr>
        <w:t xml:space="preserve"> to warrant the anti-theatricalists’ concerns about t</w:t>
      </w:r>
      <w:r w:rsidR="007C515C" w:rsidRPr="009A7D7E">
        <w:rPr>
          <w:sz w:val="24"/>
          <w:szCs w:val="24"/>
        </w:rPr>
        <w:t>heatre representing their idea of ‘sin’.</w:t>
      </w:r>
    </w:p>
    <w:p w14:paraId="46ED69AB" w14:textId="0C308046" w:rsidR="00584588" w:rsidRDefault="00584588">
      <w:pPr>
        <w:rPr>
          <w:sz w:val="24"/>
          <w:szCs w:val="24"/>
        </w:rPr>
      </w:pPr>
    </w:p>
    <w:sdt>
      <w:sdtPr>
        <w:id w:val="-1636250401"/>
        <w:docPartObj>
          <w:docPartGallery w:val="Bibliographies"/>
          <w:docPartUnique/>
        </w:docPartObj>
      </w:sdtPr>
      <w:sdtEndPr>
        <w:rPr>
          <w:rFonts w:asciiTheme="minorHAnsi" w:eastAsiaTheme="minorHAnsi" w:hAnsiTheme="minorHAnsi" w:cstheme="minorBidi"/>
          <w:color w:val="auto"/>
          <w:sz w:val="22"/>
          <w:szCs w:val="22"/>
        </w:rPr>
      </w:sdtEndPr>
      <w:sdtContent>
        <w:p w14:paraId="3037C28F" w14:textId="77777777" w:rsidR="003E2CFB" w:rsidRDefault="003E2CFB">
          <w:pPr>
            <w:pStyle w:val="Heading1"/>
            <w:sectPr w:rsidR="003E2CFB" w:rsidSect="0061127F">
              <w:footerReference w:type="default" r:id="rId8"/>
              <w:pgSz w:w="11906" w:h="16838"/>
              <w:pgMar w:top="2268" w:right="1440" w:bottom="1843" w:left="2268" w:header="709" w:footer="709" w:gutter="0"/>
              <w:pgNumType w:start="1"/>
              <w:cols w:space="708"/>
              <w:titlePg/>
              <w:docGrid w:linePitch="360"/>
            </w:sectPr>
          </w:pPr>
        </w:p>
        <w:p w14:paraId="26DB40EB" w14:textId="74D526A0" w:rsidR="00584588" w:rsidRDefault="00584588">
          <w:pPr>
            <w:pStyle w:val="Heading1"/>
          </w:pPr>
          <w:r>
            <w:lastRenderedPageBreak/>
            <w:t>Bibliography</w:t>
          </w:r>
        </w:p>
        <w:sdt>
          <w:sdtPr>
            <w:id w:val="111145805"/>
            <w:bibliography/>
          </w:sdtPr>
          <w:sdtContent>
            <w:p w14:paraId="0E6F7A4E" w14:textId="77777777" w:rsidR="00584588" w:rsidRPr="0061127F" w:rsidRDefault="00584588" w:rsidP="00584588">
              <w:pPr>
                <w:pStyle w:val="Bibliography"/>
                <w:rPr>
                  <w:sz w:val="24"/>
                  <w:szCs w:val="24"/>
                </w:rPr>
              </w:pPr>
              <w:r w:rsidRPr="0061127F">
                <w:rPr>
                  <w:noProof w:val="0"/>
                  <w:sz w:val="24"/>
                  <w:szCs w:val="24"/>
                </w:rPr>
                <w:fldChar w:fldCharType="begin"/>
              </w:r>
              <w:r w:rsidRPr="0061127F">
                <w:rPr>
                  <w:sz w:val="24"/>
                  <w:szCs w:val="24"/>
                </w:rPr>
                <w:instrText xml:space="preserve"> BIBLIOGRAPHY </w:instrText>
              </w:r>
              <w:r w:rsidRPr="0061127F">
                <w:rPr>
                  <w:noProof w:val="0"/>
                  <w:sz w:val="24"/>
                  <w:szCs w:val="24"/>
                </w:rPr>
                <w:fldChar w:fldCharType="separate"/>
              </w:r>
              <w:r w:rsidRPr="0061127F">
                <w:rPr>
                  <w:sz w:val="24"/>
                  <w:szCs w:val="24"/>
                </w:rPr>
                <w:t xml:space="preserve">Bond, R. B., 1987. </w:t>
              </w:r>
              <w:r w:rsidRPr="0061127F">
                <w:rPr>
                  <w:i/>
                  <w:iCs/>
                  <w:sz w:val="24"/>
                  <w:szCs w:val="24"/>
                </w:rPr>
                <w:t xml:space="preserve">Certain Sermons or Homilies (1547) and A Homily against Disobedience and Wilful Rebellion. </w:t>
              </w:r>
              <w:r w:rsidRPr="0061127F">
                <w:rPr>
                  <w:sz w:val="24"/>
                  <w:szCs w:val="24"/>
                </w:rPr>
                <w:t>Toronto: University of Toronto Press.</w:t>
              </w:r>
            </w:p>
            <w:p w14:paraId="65B3AA0C" w14:textId="77777777" w:rsidR="00584588" w:rsidRPr="0061127F" w:rsidRDefault="00584588" w:rsidP="00584588">
              <w:pPr>
                <w:pStyle w:val="Bibliography"/>
                <w:rPr>
                  <w:sz w:val="24"/>
                  <w:szCs w:val="24"/>
                </w:rPr>
              </w:pPr>
              <w:r w:rsidRPr="0061127F">
                <w:rPr>
                  <w:sz w:val="24"/>
                  <w:szCs w:val="24"/>
                </w:rPr>
                <w:t xml:space="preserve">Chambers, E. K., 1923. </w:t>
              </w:r>
              <w:r w:rsidRPr="0061127F">
                <w:rPr>
                  <w:i/>
                  <w:iCs/>
                  <w:sz w:val="24"/>
                  <w:szCs w:val="24"/>
                </w:rPr>
                <w:t xml:space="preserve">The Elizabethan Stage. </w:t>
              </w:r>
              <w:r w:rsidRPr="0061127F">
                <w:rPr>
                  <w:sz w:val="24"/>
                  <w:szCs w:val="24"/>
                </w:rPr>
                <w:t>United Kingdom: Oxford University Press.</w:t>
              </w:r>
            </w:p>
            <w:p w14:paraId="388F728A" w14:textId="77777777" w:rsidR="00584588" w:rsidRPr="0061127F" w:rsidRDefault="00584588" w:rsidP="00584588">
              <w:pPr>
                <w:pStyle w:val="Bibliography"/>
                <w:rPr>
                  <w:sz w:val="24"/>
                  <w:szCs w:val="24"/>
                </w:rPr>
              </w:pPr>
              <w:r w:rsidRPr="0061127F">
                <w:rPr>
                  <w:sz w:val="24"/>
                  <w:szCs w:val="24"/>
                </w:rPr>
                <w:t xml:space="preserve">Cummings, B., 2016. </w:t>
              </w:r>
              <w:r w:rsidRPr="0061127F">
                <w:rPr>
                  <w:i/>
                  <w:iCs/>
                  <w:sz w:val="24"/>
                  <w:szCs w:val="24"/>
                </w:rPr>
                <w:t xml:space="preserve">The Reformation in Shakespeare, </w:t>
              </w:r>
              <w:r w:rsidRPr="0061127F">
                <w:rPr>
                  <w:sz w:val="24"/>
                  <w:szCs w:val="24"/>
                </w:rPr>
                <w:t>s.l.: The British Library.</w:t>
              </w:r>
            </w:p>
            <w:p w14:paraId="7229EC59" w14:textId="77777777" w:rsidR="00584588" w:rsidRPr="0061127F" w:rsidRDefault="00584588" w:rsidP="00584588">
              <w:pPr>
                <w:pStyle w:val="Bibliography"/>
                <w:rPr>
                  <w:sz w:val="24"/>
                  <w:szCs w:val="24"/>
                </w:rPr>
              </w:pPr>
              <w:r w:rsidRPr="0061127F">
                <w:rPr>
                  <w:sz w:val="24"/>
                  <w:szCs w:val="24"/>
                </w:rPr>
                <w:t xml:space="preserve">Fitzpatrick, K., 1946. The Puritans and the Theatre. </w:t>
              </w:r>
              <w:r w:rsidRPr="0061127F">
                <w:rPr>
                  <w:i/>
                  <w:iCs/>
                  <w:sz w:val="24"/>
                  <w:szCs w:val="24"/>
                </w:rPr>
                <w:t xml:space="preserve">Australian Historical Studies, </w:t>
              </w:r>
              <w:r w:rsidRPr="0061127F">
                <w:rPr>
                  <w:sz w:val="24"/>
                  <w:szCs w:val="24"/>
                </w:rPr>
                <w:t>3(12), pp. 253-276.</w:t>
              </w:r>
            </w:p>
            <w:p w14:paraId="4D5D18D4" w14:textId="77777777" w:rsidR="00584588" w:rsidRPr="0061127F" w:rsidRDefault="00584588" w:rsidP="00584588">
              <w:pPr>
                <w:pStyle w:val="Bibliography"/>
                <w:rPr>
                  <w:sz w:val="24"/>
                  <w:szCs w:val="24"/>
                </w:rPr>
              </w:pPr>
              <w:r w:rsidRPr="0061127F">
                <w:rPr>
                  <w:sz w:val="24"/>
                  <w:szCs w:val="24"/>
                </w:rPr>
                <w:t xml:space="preserve">Flecknoe, R., 1664. A Short Discourse of the English Stage. In: </w:t>
              </w:r>
              <w:r w:rsidRPr="0061127F">
                <w:rPr>
                  <w:i/>
                  <w:iCs/>
                  <w:sz w:val="24"/>
                  <w:szCs w:val="24"/>
                </w:rPr>
                <w:t xml:space="preserve">Love's Kingdom. </w:t>
              </w:r>
              <w:r w:rsidRPr="0061127F">
                <w:rPr>
                  <w:sz w:val="24"/>
                  <w:szCs w:val="24"/>
                </w:rPr>
                <w:t>s.l.:s.n.</w:t>
              </w:r>
            </w:p>
            <w:p w14:paraId="078E58A8" w14:textId="77777777" w:rsidR="00584588" w:rsidRPr="0061127F" w:rsidRDefault="00584588" w:rsidP="00584588">
              <w:pPr>
                <w:pStyle w:val="Bibliography"/>
                <w:rPr>
                  <w:sz w:val="24"/>
                  <w:szCs w:val="24"/>
                </w:rPr>
              </w:pPr>
              <w:r w:rsidRPr="0061127F">
                <w:rPr>
                  <w:sz w:val="24"/>
                  <w:szCs w:val="24"/>
                </w:rPr>
                <w:t xml:space="preserve">G., I. [. J., 1615. </w:t>
              </w:r>
              <w:r w:rsidRPr="0061127F">
                <w:rPr>
                  <w:i/>
                  <w:iCs/>
                  <w:sz w:val="24"/>
                  <w:szCs w:val="24"/>
                </w:rPr>
                <w:t xml:space="preserve">A Refutation of the Apology for Actors. </w:t>
              </w:r>
              <w:r w:rsidRPr="0061127F">
                <w:rPr>
                  <w:sz w:val="24"/>
                  <w:szCs w:val="24"/>
                </w:rPr>
                <w:t>s.l.:s.n.</w:t>
              </w:r>
            </w:p>
            <w:p w14:paraId="7AEBDE20" w14:textId="77777777" w:rsidR="00584588" w:rsidRPr="0061127F" w:rsidRDefault="00584588" w:rsidP="00584588">
              <w:pPr>
                <w:pStyle w:val="Bibliography"/>
                <w:rPr>
                  <w:sz w:val="24"/>
                  <w:szCs w:val="24"/>
                </w:rPr>
              </w:pPr>
              <w:r w:rsidRPr="0061127F">
                <w:rPr>
                  <w:sz w:val="24"/>
                  <w:szCs w:val="24"/>
                </w:rPr>
                <w:t xml:space="preserve">Goldberg, J., 2010. </w:t>
              </w:r>
              <w:r w:rsidRPr="0061127F">
                <w:rPr>
                  <w:i/>
                  <w:iCs/>
                  <w:sz w:val="24"/>
                  <w:szCs w:val="24"/>
                </w:rPr>
                <w:t xml:space="preserve">Sodometries: Renaissance Texts, Modern Sexualities. </w:t>
              </w:r>
              <w:r w:rsidRPr="0061127F">
                <w:rPr>
                  <w:sz w:val="24"/>
                  <w:szCs w:val="24"/>
                </w:rPr>
                <w:t>New York: Fordham University Press.</w:t>
              </w:r>
            </w:p>
            <w:p w14:paraId="45B55B33" w14:textId="77777777" w:rsidR="00584588" w:rsidRPr="0061127F" w:rsidRDefault="00584588" w:rsidP="00584588">
              <w:pPr>
                <w:pStyle w:val="Bibliography"/>
                <w:rPr>
                  <w:sz w:val="24"/>
                  <w:szCs w:val="24"/>
                </w:rPr>
              </w:pPr>
              <w:r w:rsidRPr="0061127F">
                <w:rPr>
                  <w:sz w:val="24"/>
                  <w:szCs w:val="24"/>
                </w:rPr>
                <w:t xml:space="preserve">Heywood, T., 1612. </w:t>
              </w:r>
              <w:r w:rsidRPr="0061127F">
                <w:rPr>
                  <w:i/>
                  <w:iCs/>
                  <w:sz w:val="24"/>
                  <w:szCs w:val="24"/>
                </w:rPr>
                <w:t xml:space="preserve">An Apology for Actors. </w:t>
              </w:r>
              <w:r w:rsidRPr="0061127F">
                <w:rPr>
                  <w:sz w:val="24"/>
                  <w:szCs w:val="24"/>
                </w:rPr>
                <w:t>s.l.:s.n.</w:t>
              </w:r>
            </w:p>
            <w:p w14:paraId="59788AD1" w14:textId="77777777" w:rsidR="00584588" w:rsidRPr="0061127F" w:rsidRDefault="00584588" w:rsidP="00584588">
              <w:pPr>
                <w:pStyle w:val="Bibliography"/>
                <w:rPr>
                  <w:sz w:val="24"/>
                  <w:szCs w:val="24"/>
                </w:rPr>
              </w:pPr>
              <w:r w:rsidRPr="0061127F">
                <w:rPr>
                  <w:sz w:val="24"/>
                  <w:szCs w:val="24"/>
                </w:rPr>
                <w:t xml:space="preserve">Heywood, T., 1633. Prologue. In: </w:t>
              </w:r>
              <w:r w:rsidRPr="0061127F">
                <w:rPr>
                  <w:i/>
                  <w:iCs/>
                  <w:sz w:val="24"/>
                  <w:szCs w:val="24"/>
                </w:rPr>
                <w:t xml:space="preserve">The Jew of Malta. </w:t>
              </w:r>
              <w:r w:rsidRPr="0061127F">
                <w:rPr>
                  <w:sz w:val="24"/>
                  <w:szCs w:val="24"/>
                </w:rPr>
                <w:t>s.l.:Nicholas Vavasour.</w:t>
              </w:r>
            </w:p>
            <w:p w14:paraId="00726539" w14:textId="77777777" w:rsidR="00584588" w:rsidRPr="0061127F" w:rsidRDefault="00584588" w:rsidP="00584588">
              <w:pPr>
                <w:pStyle w:val="Bibliography"/>
                <w:rPr>
                  <w:sz w:val="24"/>
                  <w:szCs w:val="24"/>
                </w:rPr>
              </w:pPr>
              <w:r w:rsidRPr="0061127F">
                <w:rPr>
                  <w:sz w:val="24"/>
                  <w:szCs w:val="24"/>
                </w:rPr>
                <w:t xml:space="preserve">Holdsworth, R. V., 2008. Introduction. In: R. V. Holdsworth, ed. </w:t>
              </w:r>
              <w:r w:rsidRPr="0061127F">
                <w:rPr>
                  <w:i/>
                  <w:iCs/>
                  <w:sz w:val="24"/>
                  <w:szCs w:val="24"/>
                </w:rPr>
                <w:t xml:space="preserve">Epicoene, or The Silent Woman. </w:t>
              </w:r>
              <w:r w:rsidRPr="0061127F">
                <w:rPr>
                  <w:sz w:val="24"/>
                  <w:szCs w:val="24"/>
                </w:rPr>
                <w:t>s.l.:A &amp; C Black.</w:t>
              </w:r>
            </w:p>
            <w:p w14:paraId="3FA1E165" w14:textId="77777777" w:rsidR="00584588" w:rsidRPr="0061127F" w:rsidRDefault="00584588" w:rsidP="00584588">
              <w:pPr>
                <w:pStyle w:val="Bibliography"/>
                <w:rPr>
                  <w:sz w:val="24"/>
                  <w:szCs w:val="24"/>
                </w:rPr>
              </w:pPr>
              <w:r w:rsidRPr="0061127F">
                <w:rPr>
                  <w:sz w:val="24"/>
                  <w:szCs w:val="24"/>
                </w:rPr>
                <w:t xml:space="preserve">Hughes, P. L. &amp; Larkin, J. F., 1969. </w:t>
              </w:r>
              <w:r w:rsidRPr="0061127F">
                <w:rPr>
                  <w:i/>
                  <w:iCs/>
                  <w:sz w:val="24"/>
                  <w:szCs w:val="24"/>
                </w:rPr>
                <w:t xml:space="preserve">Tudor Royal Proclamations. </w:t>
              </w:r>
              <w:r w:rsidRPr="0061127F">
                <w:rPr>
                  <w:sz w:val="24"/>
                  <w:szCs w:val="24"/>
                </w:rPr>
                <w:t>New Haven: Yale University Press.</w:t>
              </w:r>
            </w:p>
            <w:p w14:paraId="4050C78B" w14:textId="77777777" w:rsidR="00584588" w:rsidRPr="0061127F" w:rsidRDefault="00584588" w:rsidP="00584588">
              <w:pPr>
                <w:pStyle w:val="Bibliography"/>
                <w:rPr>
                  <w:sz w:val="24"/>
                  <w:szCs w:val="24"/>
                </w:rPr>
              </w:pPr>
              <w:r w:rsidRPr="0061127F">
                <w:rPr>
                  <w:sz w:val="24"/>
                  <w:szCs w:val="24"/>
                </w:rPr>
                <w:t xml:space="preserve">Jonson, B., 2002. </w:t>
              </w:r>
              <w:r w:rsidRPr="0061127F">
                <w:rPr>
                  <w:i/>
                  <w:iCs/>
                  <w:sz w:val="24"/>
                  <w:szCs w:val="24"/>
                </w:rPr>
                <w:t xml:space="preserve">Epicoene, or The Silent Woman. </w:t>
              </w:r>
              <w:r w:rsidRPr="0061127F">
                <w:rPr>
                  <w:sz w:val="24"/>
                  <w:szCs w:val="24"/>
                </w:rPr>
                <w:t>London: Bloomsbury Publishing.</w:t>
              </w:r>
            </w:p>
            <w:p w14:paraId="7603FB5B" w14:textId="77777777" w:rsidR="00584588" w:rsidRPr="0061127F" w:rsidRDefault="00584588" w:rsidP="00584588">
              <w:pPr>
                <w:pStyle w:val="Bibliography"/>
                <w:rPr>
                  <w:sz w:val="24"/>
                  <w:szCs w:val="24"/>
                </w:rPr>
              </w:pPr>
              <w:r w:rsidRPr="0061127F">
                <w:rPr>
                  <w:sz w:val="24"/>
                  <w:szCs w:val="24"/>
                </w:rPr>
                <w:t xml:space="preserve">Marlowe, C., 2005. </w:t>
              </w:r>
              <w:r w:rsidRPr="0061127F">
                <w:rPr>
                  <w:i/>
                  <w:iCs/>
                  <w:sz w:val="24"/>
                  <w:szCs w:val="24"/>
                </w:rPr>
                <w:t xml:space="preserve">Edward II. </w:t>
              </w:r>
              <w:r w:rsidRPr="0061127F">
                <w:rPr>
                  <w:sz w:val="24"/>
                  <w:szCs w:val="24"/>
                </w:rPr>
                <w:t>London: Bloomsbury Publishing.</w:t>
              </w:r>
            </w:p>
            <w:p w14:paraId="11CEC66D" w14:textId="77777777" w:rsidR="00584588" w:rsidRPr="0061127F" w:rsidRDefault="00584588" w:rsidP="00584588">
              <w:pPr>
                <w:pStyle w:val="Bibliography"/>
                <w:rPr>
                  <w:sz w:val="24"/>
                  <w:szCs w:val="24"/>
                </w:rPr>
              </w:pPr>
              <w:r w:rsidRPr="0061127F">
                <w:rPr>
                  <w:sz w:val="24"/>
                  <w:szCs w:val="24"/>
                </w:rPr>
                <w:t xml:space="preserve">Melnikoff, K., 2020. Introduction. In: </w:t>
              </w:r>
              <w:r w:rsidRPr="0061127F">
                <w:rPr>
                  <w:i/>
                  <w:iCs/>
                  <w:sz w:val="24"/>
                  <w:szCs w:val="24"/>
                </w:rPr>
                <w:t xml:space="preserve">Edward II: A Critical Reader. </w:t>
              </w:r>
              <w:r w:rsidRPr="0061127F">
                <w:rPr>
                  <w:sz w:val="24"/>
                  <w:szCs w:val="24"/>
                </w:rPr>
                <w:t>London: Bloomsbury Publishing, pp. 1-20.</w:t>
              </w:r>
            </w:p>
            <w:p w14:paraId="449EFA85" w14:textId="77777777" w:rsidR="00584588" w:rsidRPr="0061127F" w:rsidRDefault="00584588" w:rsidP="00584588">
              <w:pPr>
                <w:pStyle w:val="Bibliography"/>
                <w:rPr>
                  <w:sz w:val="24"/>
                  <w:szCs w:val="24"/>
                </w:rPr>
              </w:pPr>
              <w:r w:rsidRPr="0061127F">
                <w:rPr>
                  <w:sz w:val="24"/>
                  <w:szCs w:val="24"/>
                </w:rPr>
                <w:t xml:space="preserve">Montrose, L., 1996. </w:t>
              </w:r>
              <w:r w:rsidRPr="0061127F">
                <w:rPr>
                  <w:i/>
                  <w:iCs/>
                  <w:sz w:val="24"/>
                  <w:szCs w:val="24"/>
                </w:rPr>
                <w:t xml:space="preserve">The Purpose of Playing: Shakespeare and the Cultural Politics of the Elizabethan Theatre. </w:t>
              </w:r>
              <w:r w:rsidRPr="0061127F">
                <w:rPr>
                  <w:sz w:val="24"/>
                  <w:szCs w:val="24"/>
                </w:rPr>
                <w:t>Chicago &amp; London: The University of Chicago Press.</w:t>
              </w:r>
            </w:p>
            <w:p w14:paraId="21FD9FA1" w14:textId="77777777" w:rsidR="00584588" w:rsidRPr="0061127F" w:rsidRDefault="00584588" w:rsidP="00584588">
              <w:pPr>
                <w:pStyle w:val="Bibliography"/>
                <w:rPr>
                  <w:sz w:val="24"/>
                  <w:szCs w:val="24"/>
                </w:rPr>
              </w:pPr>
              <w:r w:rsidRPr="0061127F">
                <w:rPr>
                  <w:sz w:val="24"/>
                  <w:szCs w:val="24"/>
                </w:rPr>
                <w:t xml:space="preserve">Mullaney, S., 1988. </w:t>
              </w:r>
              <w:r w:rsidRPr="0061127F">
                <w:rPr>
                  <w:i/>
                  <w:iCs/>
                  <w:sz w:val="24"/>
                  <w:szCs w:val="24"/>
                </w:rPr>
                <w:t xml:space="preserve">The Place of the Stage: License, Play, and Power in Renaissance England. </w:t>
              </w:r>
              <w:r w:rsidRPr="0061127F">
                <w:rPr>
                  <w:sz w:val="24"/>
                  <w:szCs w:val="24"/>
                </w:rPr>
                <w:t>Chicago: University of Chicago Press.</w:t>
              </w:r>
            </w:p>
            <w:p w14:paraId="19E198C4" w14:textId="77777777" w:rsidR="00584588" w:rsidRPr="0061127F" w:rsidRDefault="00584588" w:rsidP="00584588">
              <w:pPr>
                <w:pStyle w:val="Bibliography"/>
                <w:rPr>
                  <w:sz w:val="24"/>
                  <w:szCs w:val="24"/>
                </w:rPr>
              </w:pPr>
              <w:r w:rsidRPr="0061127F">
                <w:rPr>
                  <w:sz w:val="24"/>
                  <w:szCs w:val="24"/>
                </w:rPr>
                <w:t xml:space="preserve">Shakespeare, W., 1600. </w:t>
              </w:r>
              <w:r w:rsidRPr="0061127F">
                <w:rPr>
                  <w:i/>
                  <w:iCs/>
                  <w:sz w:val="24"/>
                  <w:szCs w:val="24"/>
                </w:rPr>
                <w:t xml:space="preserve">Hamlet. </w:t>
              </w:r>
              <w:r w:rsidRPr="0061127F">
                <w:rPr>
                  <w:sz w:val="24"/>
                  <w:szCs w:val="24"/>
                </w:rPr>
                <w:t>s.l.:s.n.</w:t>
              </w:r>
            </w:p>
            <w:p w14:paraId="7EAE504C" w14:textId="77777777" w:rsidR="00584588" w:rsidRPr="0061127F" w:rsidRDefault="00584588" w:rsidP="00584588">
              <w:pPr>
                <w:pStyle w:val="Bibliography"/>
                <w:rPr>
                  <w:sz w:val="24"/>
                  <w:szCs w:val="24"/>
                </w:rPr>
              </w:pPr>
              <w:r w:rsidRPr="0061127F">
                <w:rPr>
                  <w:sz w:val="24"/>
                  <w:szCs w:val="24"/>
                </w:rPr>
                <w:t xml:space="preserve">Wagner, J. A., 2000. </w:t>
              </w:r>
              <w:r w:rsidRPr="0061127F">
                <w:rPr>
                  <w:i/>
                  <w:iCs/>
                  <w:sz w:val="24"/>
                  <w:szCs w:val="24"/>
                </w:rPr>
                <w:t xml:space="preserve">Historical Dictionary of the Elizabethan World: Britain, Ireland, Europe, and America. </w:t>
              </w:r>
              <w:r w:rsidRPr="0061127F">
                <w:rPr>
                  <w:sz w:val="24"/>
                  <w:szCs w:val="24"/>
                </w:rPr>
                <w:t>Oxford &amp; New York: Routledge.</w:t>
              </w:r>
            </w:p>
            <w:p w14:paraId="004B5D30" w14:textId="77777777" w:rsidR="00584588" w:rsidRPr="0061127F" w:rsidRDefault="00584588" w:rsidP="00584588">
              <w:pPr>
                <w:pStyle w:val="Bibliography"/>
                <w:rPr>
                  <w:sz w:val="24"/>
                  <w:szCs w:val="24"/>
                </w:rPr>
              </w:pPr>
              <w:r w:rsidRPr="0061127F">
                <w:rPr>
                  <w:sz w:val="24"/>
                  <w:szCs w:val="24"/>
                </w:rPr>
                <w:t xml:space="preserve">White, P. W., 2004. Marlowe and the Politics of Religion. In: P. Cheney, ed. </w:t>
              </w:r>
              <w:r w:rsidRPr="0061127F">
                <w:rPr>
                  <w:i/>
                  <w:iCs/>
                  <w:sz w:val="24"/>
                  <w:szCs w:val="24"/>
                </w:rPr>
                <w:t xml:space="preserve">The Cambridge Companion to Christopher Marlowe. </w:t>
              </w:r>
              <w:r w:rsidRPr="0061127F">
                <w:rPr>
                  <w:sz w:val="24"/>
                  <w:szCs w:val="24"/>
                </w:rPr>
                <w:t>Cambridge: Cambridge University Press, pp. 79-86.</w:t>
              </w:r>
            </w:p>
            <w:p w14:paraId="099FEA23" w14:textId="479A7969" w:rsidR="0051772B" w:rsidRPr="003E2CFB" w:rsidRDefault="00584588" w:rsidP="00584588">
              <w:r w:rsidRPr="0061127F">
                <w:rPr>
                  <w:b/>
                  <w:bCs/>
                  <w:sz w:val="24"/>
                  <w:szCs w:val="24"/>
                </w:rPr>
                <w:fldChar w:fldCharType="end"/>
              </w:r>
            </w:p>
          </w:sdtContent>
        </w:sdt>
      </w:sdtContent>
    </w:sdt>
    <w:sectPr w:rsidR="0051772B" w:rsidRPr="003E2CFB" w:rsidSect="003E2CFB">
      <w:pgSz w:w="11906" w:h="16838"/>
      <w:pgMar w:top="1418" w:right="1440" w:bottom="1843"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85B3D" w14:textId="77777777" w:rsidR="00EB274E" w:rsidRDefault="00EB274E" w:rsidP="00D01655">
      <w:pPr>
        <w:spacing w:after="0" w:line="240" w:lineRule="auto"/>
      </w:pPr>
      <w:r>
        <w:separator/>
      </w:r>
    </w:p>
  </w:endnote>
  <w:endnote w:type="continuationSeparator" w:id="0">
    <w:p w14:paraId="3C446BD7" w14:textId="77777777" w:rsidR="00EB274E" w:rsidRDefault="00EB274E" w:rsidP="00D0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698076"/>
      <w:docPartObj>
        <w:docPartGallery w:val="Page Numbers (Bottom of Page)"/>
        <w:docPartUnique/>
      </w:docPartObj>
    </w:sdtPr>
    <w:sdtEndPr/>
    <w:sdtContent>
      <w:p w14:paraId="6E376140" w14:textId="167687AB" w:rsidR="008B2913" w:rsidRDefault="008B2913">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85832D2" w14:textId="77777777" w:rsidR="008B2913" w:rsidRDefault="008B2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06AFB" w14:textId="77777777" w:rsidR="00EB274E" w:rsidRDefault="00EB274E" w:rsidP="00D01655">
      <w:pPr>
        <w:spacing w:after="0" w:line="240" w:lineRule="auto"/>
      </w:pPr>
      <w:r>
        <w:separator/>
      </w:r>
    </w:p>
  </w:footnote>
  <w:footnote w:type="continuationSeparator" w:id="0">
    <w:p w14:paraId="48250878" w14:textId="77777777" w:rsidR="00EB274E" w:rsidRDefault="00EB274E" w:rsidP="00D01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02157"/>
    <w:multiLevelType w:val="hybridMultilevel"/>
    <w:tmpl w:val="6B7A905A"/>
    <w:lvl w:ilvl="0" w:tplc="1958CA46">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3B6189B"/>
    <w:multiLevelType w:val="hybridMultilevel"/>
    <w:tmpl w:val="1E6C900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52"/>
    <w:rsid w:val="00000EA4"/>
    <w:rsid w:val="000047AF"/>
    <w:rsid w:val="0000691E"/>
    <w:rsid w:val="0001214C"/>
    <w:rsid w:val="00014736"/>
    <w:rsid w:val="00017288"/>
    <w:rsid w:val="00025FA0"/>
    <w:rsid w:val="00045528"/>
    <w:rsid w:val="00045B6B"/>
    <w:rsid w:val="000477D1"/>
    <w:rsid w:val="000617CE"/>
    <w:rsid w:val="00062DE7"/>
    <w:rsid w:val="00067415"/>
    <w:rsid w:val="00071B41"/>
    <w:rsid w:val="00080E06"/>
    <w:rsid w:val="000815C7"/>
    <w:rsid w:val="000820E6"/>
    <w:rsid w:val="000871D8"/>
    <w:rsid w:val="000910C0"/>
    <w:rsid w:val="00092FCC"/>
    <w:rsid w:val="00095723"/>
    <w:rsid w:val="00096324"/>
    <w:rsid w:val="000B3F9C"/>
    <w:rsid w:val="000B5A41"/>
    <w:rsid w:val="000C25C5"/>
    <w:rsid w:val="000C2D6E"/>
    <w:rsid w:val="000D235A"/>
    <w:rsid w:val="000D32A0"/>
    <w:rsid w:val="000D5E12"/>
    <w:rsid w:val="000D771D"/>
    <w:rsid w:val="000E6098"/>
    <w:rsid w:val="000E6F02"/>
    <w:rsid w:val="000E7D98"/>
    <w:rsid w:val="000F2A4F"/>
    <w:rsid w:val="000F4179"/>
    <w:rsid w:val="000F4758"/>
    <w:rsid w:val="000F5FC5"/>
    <w:rsid w:val="000F626C"/>
    <w:rsid w:val="00100A2B"/>
    <w:rsid w:val="001044B4"/>
    <w:rsid w:val="00112814"/>
    <w:rsid w:val="00114143"/>
    <w:rsid w:val="00114313"/>
    <w:rsid w:val="00114ECC"/>
    <w:rsid w:val="00117084"/>
    <w:rsid w:val="00122AE9"/>
    <w:rsid w:val="00122BF7"/>
    <w:rsid w:val="00136EA2"/>
    <w:rsid w:val="00140CB0"/>
    <w:rsid w:val="00146276"/>
    <w:rsid w:val="00147C46"/>
    <w:rsid w:val="00155F0F"/>
    <w:rsid w:val="00157953"/>
    <w:rsid w:val="00162A1B"/>
    <w:rsid w:val="00163D02"/>
    <w:rsid w:val="00163E53"/>
    <w:rsid w:val="00183633"/>
    <w:rsid w:val="0018437E"/>
    <w:rsid w:val="00186A8C"/>
    <w:rsid w:val="001A20C8"/>
    <w:rsid w:val="001A3C16"/>
    <w:rsid w:val="001B38BB"/>
    <w:rsid w:val="001B6269"/>
    <w:rsid w:val="001C6039"/>
    <w:rsid w:val="001D0D16"/>
    <w:rsid w:val="001D39AF"/>
    <w:rsid w:val="001D3F23"/>
    <w:rsid w:val="001D52EE"/>
    <w:rsid w:val="001D748C"/>
    <w:rsid w:val="001D75EC"/>
    <w:rsid w:val="001E1A60"/>
    <w:rsid w:val="001E3653"/>
    <w:rsid w:val="001E7E14"/>
    <w:rsid w:val="001F0EF2"/>
    <w:rsid w:val="00207647"/>
    <w:rsid w:val="00212ACC"/>
    <w:rsid w:val="00214CA2"/>
    <w:rsid w:val="0021613D"/>
    <w:rsid w:val="00222491"/>
    <w:rsid w:val="00222EEF"/>
    <w:rsid w:val="002328B3"/>
    <w:rsid w:val="00244613"/>
    <w:rsid w:val="002449F0"/>
    <w:rsid w:val="0025266A"/>
    <w:rsid w:val="0025291F"/>
    <w:rsid w:val="002601C5"/>
    <w:rsid w:val="002771A7"/>
    <w:rsid w:val="002849F3"/>
    <w:rsid w:val="00284BBD"/>
    <w:rsid w:val="00285B1C"/>
    <w:rsid w:val="00287216"/>
    <w:rsid w:val="002A46B1"/>
    <w:rsid w:val="002A6BCE"/>
    <w:rsid w:val="002B31DB"/>
    <w:rsid w:val="002B54A2"/>
    <w:rsid w:val="002C46FC"/>
    <w:rsid w:val="002D180F"/>
    <w:rsid w:val="002D3EAB"/>
    <w:rsid w:val="002E1684"/>
    <w:rsid w:val="002F3B4F"/>
    <w:rsid w:val="00302A61"/>
    <w:rsid w:val="00302BBE"/>
    <w:rsid w:val="00304A7F"/>
    <w:rsid w:val="003074A1"/>
    <w:rsid w:val="00316FD4"/>
    <w:rsid w:val="00317CA4"/>
    <w:rsid w:val="00321C42"/>
    <w:rsid w:val="0032288A"/>
    <w:rsid w:val="00325952"/>
    <w:rsid w:val="00345A20"/>
    <w:rsid w:val="003468A6"/>
    <w:rsid w:val="00346B54"/>
    <w:rsid w:val="00351FAF"/>
    <w:rsid w:val="0035250B"/>
    <w:rsid w:val="00355507"/>
    <w:rsid w:val="0035559E"/>
    <w:rsid w:val="003555C4"/>
    <w:rsid w:val="00355CE1"/>
    <w:rsid w:val="00363D69"/>
    <w:rsid w:val="00376988"/>
    <w:rsid w:val="00380616"/>
    <w:rsid w:val="003963D1"/>
    <w:rsid w:val="003A0B83"/>
    <w:rsid w:val="003A5697"/>
    <w:rsid w:val="003B4E01"/>
    <w:rsid w:val="003B5EC6"/>
    <w:rsid w:val="003C06B6"/>
    <w:rsid w:val="003C1665"/>
    <w:rsid w:val="003C268A"/>
    <w:rsid w:val="003C30FE"/>
    <w:rsid w:val="003C35B8"/>
    <w:rsid w:val="003C6297"/>
    <w:rsid w:val="003D01C0"/>
    <w:rsid w:val="003E0895"/>
    <w:rsid w:val="003E2ADE"/>
    <w:rsid w:val="003E2CFB"/>
    <w:rsid w:val="003E352E"/>
    <w:rsid w:val="003E4392"/>
    <w:rsid w:val="003E4690"/>
    <w:rsid w:val="003F0513"/>
    <w:rsid w:val="004071C2"/>
    <w:rsid w:val="00410286"/>
    <w:rsid w:val="00430F69"/>
    <w:rsid w:val="00433AEB"/>
    <w:rsid w:val="00442924"/>
    <w:rsid w:val="00443E0E"/>
    <w:rsid w:val="00450C1D"/>
    <w:rsid w:val="004528B7"/>
    <w:rsid w:val="004760FB"/>
    <w:rsid w:val="0048163F"/>
    <w:rsid w:val="004820DD"/>
    <w:rsid w:val="004867D4"/>
    <w:rsid w:val="00493D8F"/>
    <w:rsid w:val="00497702"/>
    <w:rsid w:val="004A2BCA"/>
    <w:rsid w:val="004A3A08"/>
    <w:rsid w:val="004A3A61"/>
    <w:rsid w:val="004B17D0"/>
    <w:rsid w:val="004B1AA7"/>
    <w:rsid w:val="004B1FD0"/>
    <w:rsid w:val="004C7440"/>
    <w:rsid w:val="004D3397"/>
    <w:rsid w:val="004D4C21"/>
    <w:rsid w:val="004D6808"/>
    <w:rsid w:val="004E617C"/>
    <w:rsid w:val="004E6479"/>
    <w:rsid w:val="004F0F2E"/>
    <w:rsid w:val="004F6520"/>
    <w:rsid w:val="0050122B"/>
    <w:rsid w:val="00503360"/>
    <w:rsid w:val="0051187E"/>
    <w:rsid w:val="0051772B"/>
    <w:rsid w:val="00522951"/>
    <w:rsid w:val="00525A22"/>
    <w:rsid w:val="00535144"/>
    <w:rsid w:val="00540928"/>
    <w:rsid w:val="00540FD2"/>
    <w:rsid w:val="0054325A"/>
    <w:rsid w:val="00546007"/>
    <w:rsid w:val="00547554"/>
    <w:rsid w:val="00553AD6"/>
    <w:rsid w:val="00557885"/>
    <w:rsid w:val="00560AFC"/>
    <w:rsid w:val="00572086"/>
    <w:rsid w:val="005758A4"/>
    <w:rsid w:val="00584588"/>
    <w:rsid w:val="005908C7"/>
    <w:rsid w:val="00595E6F"/>
    <w:rsid w:val="005A460D"/>
    <w:rsid w:val="005A53A5"/>
    <w:rsid w:val="005A76D0"/>
    <w:rsid w:val="005B3BDF"/>
    <w:rsid w:val="005C0CD8"/>
    <w:rsid w:val="005C4B9E"/>
    <w:rsid w:val="005C56F5"/>
    <w:rsid w:val="005C7E15"/>
    <w:rsid w:val="005D51F6"/>
    <w:rsid w:val="005D73FC"/>
    <w:rsid w:val="005E2975"/>
    <w:rsid w:val="005E3835"/>
    <w:rsid w:val="005E6A77"/>
    <w:rsid w:val="005F0B0A"/>
    <w:rsid w:val="005F4302"/>
    <w:rsid w:val="00604BBA"/>
    <w:rsid w:val="0061004E"/>
    <w:rsid w:val="0061127F"/>
    <w:rsid w:val="0061260C"/>
    <w:rsid w:val="00613DB1"/>
    <w:rsid w:val="006239A6"/>
    <w:rsid w:val="00630D20"/>
    <w:rsid w:val="0063392B"/>
    <w:rsid w:val="00633B3F"/>
    <w:rsid w:val="006358C5"/>
    <w:rsid w:val="006501F3"/>
    <w:rsid w:val="00657FEC"/>
    <w:rsid w:val="00665883"/>
    <w:rsid w:val="00666EFC"/>
    <w:rsid w:val="006674BE"/>
    <w:rsid w:val="00667B4E"/>
    <w:rsid w:val="00671ECC"/>
    <w:rsid w:val="006826E7"/>
    <w:rsid w:val="00686899"/>
    <w:rsid w:val="0069034C"/>
    <w:rsid w:val="00692502"/>
    <w:rsid w:val="006963F5"/>
    <w:rsid w:val="006A1FF9"/>
    <w:rsid w:val="006C00A8"/>
    <w:rsid w:val="006C4472"/>
    <w:rsid w:val="006C519C"/>
    <w:rsid w:val="006C6E0C"/>
    <w:rsid w:val="006D0012"/>
    <w:rsid w:val="006D449D"/>
    <w:rsid w:val="006D44DB"/>
    <w:rsid w:val="006D5E88"/>
    <w:rsid w:val="006F7ABF"/>
    <w:rsid w:val="00704B0B"/>
    <w:rsid w:val="00704D1C"/>
    <w:rsid w:val="00712E50"/>
    <w:rsid w:val="00715E2E"/>
    <w:rsid w:val="00717006"/>
    <w:rsid w:val="0072364C"/>
    <w:rsid w:val="0072375A"/>
    <w:rsid w:val="007244B8"/>
    <w:rsid w:val="00727FDE"/>
    <w:rsid w:val="0073266D"/>
    <w:rsid w:val="0073586E"/>
    <w:rsid w:val="00741228"/>
    <w:rsid w:val="007420DC"/>
    <w:rsid w:val="00746296"/>
    <w:rsid w:val="0075020F"/>
    <w:rsid w:val="0075350A"/>
    <w:rsid w:val="00753A4E"/>
    <w:rsid w:val="00766F91"/>
    <w:rsid w:val="00772A02"/>
    <w:rsid w:val="007746B6"/>
    <w:rsid w:val="00774B9C"/>
    <w:rsid w:val="00775F41"/>
    <w:rsid w:val="0078211D"/>
    <w:rsid w:val="00782B1F"/>
    <w:rsid w:val="00782D38"/>
    <w:rsid w:val="007900EE"/>
    <w:rsid w:val="0079195F"/>
    <w:rsid w:val="007A2989"/>
    <w:rsid w:val="007A3829"/>
    <w:rsid w:val="007A55AB"/>
    <w:rsid w:val="007A55B6"/>
    <w:rsid w:val="007A7C91"/>
    <w:rsid w:val="007B3361"/>
    <w:rsid w:val="007C515C"/>
    <w:rsid w:val="007C6AF7"/>
    <w:rsid w:val="007C78F2"/>
    <w:rsid w:val="007D0213"/>
    <w:rsid w:val="007D096B"/>
    <w:rsid w:val="007D1AAD"/>
    <w:rsid w:val="007D2539"/>
    <w:rsid w:val="007D652E"/>
    <w:rsid w:val="007E0DF4"/>
    <w:rsid w:val="007E236F"/>
    <w:rsid w:val="007E7AB7"/>
    <w:rsid w:val="007F31F3"/>
    <w:rsid w:val="007F38E6"/>
    <w:rsid w:val="007F4483"/>
    <w:rsid w:val="007F5FE5"/>
    <w:rsid w:val="0080009D"/>
    <w:rsid w:val="00800786"/>
    <w:rsid w:val="00805664"/>
    <w:rsid w:val="00811144"/>
    <w:rsid w:val="00812E27"/>
    <w:rsid w:val="008147FE"/>
    <w:rsid w:val="008232A8"/>
    <w:rsid w:val="00833942"/>
    <w:rsid w:val="008414D4"/>
    <w:rsid w:val="008449AE"/>
    <w:rsid w:val="00846DAC"/>
    <w:rsid w:val="00857FA5"/>
    <w:rsid w:val="008721C3"/>
    <w:rsid w:val="00873F35"/>
    <w:rsid w:val="0087437C"/>
    <w:rsid w:val="00876D8F"/>
    <w:rsid w:val="008772A8"/>
    <w:rsid w:val="00881B68"/>
    <w:rsid w:val="00881FE2"/>
    <w:rsid w:val="008926C7"/>
    <w:rsid w:val="008A5454"/>
    <w:rsid w:val="008B2913"/>
    <w:rsid w:val="008B4F0B"/>
    <w:rsid w:val="008B7335"/>
    <w:rsid w:val="008D08A8"/>
    <w:rsid w:val="008D0CB8"/>
    <w:rsid w:val="008D47E2"/>
    <w:rsid w:val="008D775A"/>
    <w:rsid w:val="008E10BF"/>
    <w:rsid w:val="008F2C95"/>
    <w:rsid w:val="009012BA"/>
    <w:rsid w:val="009016E8"/>
    <w:rsid w:val="00903C6E"/>
    <w:rsid w:val="0091343A"/>
    <w:rsid w:val="0092372F"/>
    <w:rsid w:val="0093281F"/>
    <w:rsid w:val="009356C5"/>
    <w:rsid w:val="00943CF3"/>
    <w:rsid w:val="00952234"/>
    <w:rsid w:val="00954155"/>
    <w:rsid w:val="00956D4C"/>
    <w:rsid w:val="009570B3"/>
    <w:rsid w:val="009669F0"/>
    <w:rsid w:val="009670CA"/>
    <w:rsid w:val="00972BCD"/>
    <w:rsid w:val="009732CA"/>
    <w:rsid w:val="00977F3F"/>
    <w:rsid w:val="009813E8"/>
    <w:rsid w:val="009828B7"/>
    <w:rsid w:val="009855C5"/>
    <w:rsid w:val="00990F6C"/>
    <w:rsid w:val="009A4031"/>
    <w:rsid w:val="009A7D7E"/>
    <w:rsid w:val="009B583E"/>
    <w:rsid w:val="009C188C"/>
    <w:rsid w:val="009C2584"/>
    <w:rsid w:val="009C48E4"/>
    <w:rsid w:val="009D089B"/>
    <w:rsid w:val="009D0CC0"/>
    <w:rsid w:val="009D2300"/>
    <w:rsid w:val="009D77D4"/>
    <w:rsid w:val="009E052A"/>
    <w:rsid w:val="009E2787"/>
    <w:rsid w:val="00A01308"/>
    <w:rsid w:val="00A10025"/>
    <w:rsid w:val="00A109F6"/>
    <w:rsid w:val="00A116EA"/>
    <w:rsid w:val="00A12C76"/>
    <w:rsid w:val="00A14DA9"/>
    <w:rsid w:val="00A15252"/>
    <w:rsid w:val="00A15AD1"/>
    <w:rsid w:val="00A16FB1"/>
    <w:rsid w:val="00A266BA"/>
    <w:rsid w:val="00A339BD"/>
    <w:rsid w:val="00A42EDC"/>
    <w:rsid w:val="00A44F30"/>
    <w:rsid w:val="00A4700D"/>
    <w:rsid w:val="00A47E7D"/>
    <w:rsid w:val="00A50972"/>
    <w:rsid w:val="00A5210D"/>
    <w:rsid w:val="00A543D0"/>
    <w:rsid w:val="00A57AA6"/>
    <w:rsid w:val="00A653C2"/>
    <w:rsid w:val="00A77C00"/>
    <w:rsid w:val="00A83716"/>
    <w:rsid w:val="00A848A4"/>
    <w:rsid w:val="00A941AC"/>
    <w:rsid w:val="00AA3648"/>
    <w:rsid w:val="00AA6EF2"/>
    <w:rsid w:val="00AB0F9A"/>
    <w:rsid w:val="00AC0686"/>
    <w:rsid w:val="00AC3CD3"/>
    <w:rsid w:val="00AC549B"/>
    <w:rsid w:val="00AC63B0"/>
    <w:rsid w:val="00AD507F"/>
    <w:rsid w:val="00AF321F"/>
    <w:rsid w:val="00B02098"/>
    <w:rsid w:val="00B044BC"/>
    <w:rsid w:val="00B11BE0"/>
    <w:rsid w:val="00B13459"/>
    <w:rsid w:val="00B13752"/>
    <w:rsid w:val="00B165AF"/>
    <w:rsid w:val="00B16F2F"/>
    <w:rsid w:val="00B23CA0"/>
    <w:rsid w:val="00B27511"/>
    <w:rsid w:val="00B30E10"/>
    <w:rsid w:val="00B30FD9"/>
    <w:rsid w:val="00B37869"/>
    <w:rsid w:val="00B40D0C"/>
    <w:rsid w:val="00B42472"/>
    <w:rsid w:val="00B44F48"/>
    <w:rsid w:val="00B47BD0"/>
    <w:rsid w:val="00B52D93"/>
    <w:rsid w:val="00B5781F"/>
    <w:rsid w:val="00B63DB6"/>
    <w:rsid w:val="00B63FCE"/>
    <w:rsid w:val="00B7455D"/>
    <w:rsid w:val="00B77274"/>
    <w:rsid w:val="00B92300"/>
    <w:rsid w:val="00BA54B2"/>
    <w:rsid w:val="00BA59CC"/>
    <w:rsid w:val="00BC0691"/>
    <w:rsid w:val="00BC458F"/>
    <w:rsid w:val="00BC5412"/>
    <w:rsid w:val="00BD1274"/>
    <w:rsid w:val="00BD373B"/>
    <w:rsid w:val="00BE1602"/>
    <w:rsid w:val="00BF3258"/>
    <w:rsid w:val="00BF426B"/>
    <w:rsid w:val="00BF5D6D"/>
    <w:rsid w:val="00BF620C"/>
    <w:rsid w:val="00BF6C45"/>
    <w:rsid w:val="00C00C0D"/>
    <w:rsid w:val="00C01237"/>
    <w:rsid w:val="00C10B76"/>
    <w:rsid w:val="00C1352D"/>
    <w:rsid w:val="00C16B82"/>
    <w:rsid w:val="00C17D68"/>
    <w:rsid w:val="00C21F00"/>
    <w:rsid w:val="00C33584"/>
    <w:rsid w:val="00C347E2"/>
    <w:rsid w:val="00C41DF4"/>
    <w:rsid w:val="00C451CC"/>
    <w:rsid w:val="00C45ED3"/>
    <w:rsid w:val="00C50703"/>
    <w:rsid w:val="00C5195A"/>
    <w:rsid w:val="00C6448C"/>
    <w:rsid w:val="00C66B67"/>
    <w:rsid w:val="00C740A8"/>
    <w:rsid w:val="00C8149F"/>
    <w:rsid w:val="00C85B0A"/>
    <w:rsid w:val="00C86E1E"/>
    <w:rsid w:val="00C90645"/>
    <w:rsid w:val="00C96FB7"/>
    <w:rsid w:val="00CA1072"/>
    <w:rsid w:val="00CA1F46"/>
    <w:rsid w:val="00CA434C"/>
    <w:rsid w:val="00CA74ED"/>
    <w:rsid w:val="00CB1E24"/>
    <w:rsid w:val="00CB31D2"/>
    <w:rsid w:val="00CB5B35"/>
    <w:rsid w:val="00CC702F"/>
    <w:rsid w:val="00CD42ED"/>
    <w:rsid w:val="00CD6074"/>
    <w:rsid w:val="00CE0E43"/>
    <w:rsid w:val="00CE6DA4"/>
    <w:rsid w:val="00CF250D"/>
    <w:rsid w:val="00D01561"/>
    <w:rsid w:val="00D01655"/>
    <w:rsid w:val="00D03D22"/>
    <w:rsid w:val="00D0531B"/>
    <w:rsid w:val="00D100E7"/>
    <w:rsid w:val="00D10AD2"/>
    <w:rsid w:val="00D12626"/>
    <w:rsid w:val="00D21822"/>
    <w:rsid w:val="00D21E91"/>
    <w:rsid w:val="00D239C0"/>
    <w:rsid w:val="00D244D3"/>
    <w:rsid w:val="00D258F0"/>
    <w:rsid w:val="00D341B9"/>
    <w:rsid w:val="00D34207"/>
    <w:rsid w:val="00D40EF4"/>
    <w:rsid w:val="00D4226F"/>
    <w:rsid w:val="00D42D72"/>
    <w:rsid w:val="00D43EC5"/>
    <w:rsid w:val="00D557C0"/>
    <w:rsid w:val="00D57366"/>
    <w:rsid w:val="00D57953"/>
    <w:rsid w:val="00D64EA2"/>
    <w:rsid w:val="00D72447"/>
    <w:rsid w:val="00D746B7"/>
    <w:rsid w:val="00D7797F"/>
    <w:rsid w:val="00D80EEE"/>
    <w:rsid w:val="00D90EE0"/>
    <w:rsid w:val="00D91CC8"/>
    <w:rsid w:val="00D97304"/>
    <w:rsid w:val="00DA22AF"/>
    <w:rsid w:val="00DA61D6"/>
    <w:rsid w:val="00DB4BF6"/>
    <w:rsid w:val="00DB5B3B"/>
    <w:rsid w:val="00DC18D2"/>
    <w:rsid w:val="00DC6FBA"/>
    <w:rsid w:val="00DE6899"/>
    <w:rsid w:val="00DF0621"/>
    <w:rsid w:val="00DF1183"/>
    <w:rsid w:val="00DF18A2"/>
    <w:rsid w:val="00DF7B49"/>
    <w:rsid w:val="00E01EE9"/>
    <w:rsid w:val="00E10F25"/>
    <w:rsid w:val="00E20972"/>
    <w:rsid w:val="00E3593A"/>
    <w:rsid w:val="00E37983"/>
    <w:rsid w:val="00E44B08"/>
    <w:rsid w:val="00E5221F"/>
    <w:rsid w:val="00E63FFD"/>
    <w:rsid w:val="00E76CE4"/>
    <w:rsid w:val="00E859CB"/>
    <w:rsid w:val="00E87C7C"/>
    <w:rsid w:val="00E87F42"/>
    <w:rsid w:val="00E92248"/>
    <w:rsid w:val="00E96329"/>
    <w:rsid w:val="00E96D89"/>
    <w:rsid w:val="00EA2FE5"/>
    <w:rsid w:val="00EB274E"/>
    <w:rsid w:val="00EB5188"/>
    <w:rsid w:val="00EB55A5"/>
    <w:rsid w:val="00EC3992"/>
    <w:rsid w:val="00EC6EF7"/>
    <w:rsid w:val="00EC7363"/>
    <w:rsid w:val="00ED0185"/>
    <w:rsid w:val="00ED71A5"/>
    <w:rsid w:val="00EE0A05"/>
    <w:rsid w:val="00EE445D"/>
    <w:rsid w:val="00F03DEB"/>
    <w:rsid w:val="00F05DA9"/>
    <w:rsid w:val="00F064EC"/>
    <w:rsid w:val="00F076F6"/>
    <w:rsid w:val="00F15213"/>
    <w:rsid w:val="00F20227"/>
    <w:rsid w:val="00F21DDF"/>
    <w:rsid w:val="00F2327E"/>
    <w:rsid w:val="00F30D3F"/>
    <w:rsid w:val="00F31ED9"/>
    <w:rsid w:val="00F32224"/>
    <w:rsid w:val="00F3578B"/>
    <w:rsid w:val="00F420BA"/>
    <w:rsid w:val="00F42ECB"/>
    <w:rsid w:val="00F43098"/>
    <w:rsid w:val="00F438DD"/>
    <w:rsid w:val="00F44192"/>
    <w:rsid w:val="00F44458"/>
    <w:rsid w:val="00F52839"/>
    <w:rsid w:val="00F6484D"/>
    <w:rsid w:val="00F64F4D"/>
    <w:rsid w:val="00F71970"/>
    <w:rsid w:val="00F74463"/>
    <w:rsid w:val="00F74CC2"/>
    <w:rsid w:val="00F75AD2"/>
    <w:rsid w:val="00F80AA2"/>
    <w:rsid w:val="00F91BB8"/>
    <w:rsid w:val="00F92C18"/>
    <w:rsid w:val="00FA04A1"/>
    <w:rsid w:val="00FB13F0"/>
    <w:rsid w:val="00FB1929"/>
    <w:rsid w:val="00FB438B"/>
    <w:rsid w:val="00FB636C"/>
    <w:rsid w:val="00FC3E83"/>
    <w:rsid w:val="00FD48DD"/>
    <w:rsid w:val="00FD66D5"/>
    <w:rsid w:val="00FD6E49"/>
    <w:rsid w:val="00FE2A9B"/>
    <w:rsid w:val="00FE68FC"/>
    <w:rsid w:val="00FF1E2F"/>
    <w:rsid w:val="00FF28D4"/>
    <w:rsid w:val="00FF4B80"/>
    <w:rsid w:val="00FF58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A226"/>
  <w15:chartTrackingRefBased/>
  <w15:docId w15:val="{E51D61E5-67B3-4E2B-A5F1-A5A80228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493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5DA9"/>
    <w:pPr>
      <w:ind w:left="720"/>
      <w:contextualSpacing/>
    </w:pPr>
  </w:style>
  <w:style w:type="paragraph" w:styleId="Header">
    <w:name w:val="header"/>
    <w:basedOn w:val="Normal"/>
    <w:link w:val="HeaderChar"/>
    <w:uiPriority w:val="99"/>
    <w:unhideWhenUsed/>
    <w:rsid w:val="00D0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655"/>
  </w:style>
  <w:style w:type="paragraph" w:styleId="Footer">
    <w:name w:val="footer"/>
    <w:basedOn w:val="Normal"/>
    <w:link w:val="FooterChar"/>
    <w:uiPriority w:val="99"/>
    <w:unhideWhenUsed/>
    <w:rsid w:val="00D0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655"/>
  </w:style>
  <w:style w:type="paragraph" w:styleId="FootnoteText">
    <w:name w:val="footnote text"/>
    <w:basedOn w:val="Normal"/>
    <w:link w:val="FootnoteTextChar"/>
    <w:uiPriority w:val="99"/>
    <w:semiHidden/>
    <w:unhideWhenUsed/>
    <w:rsid w:val="004528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8B7"/>
    <w:rPr>
      <w:sz w:val="20"/>
      <w:szCs w:val="20"/>
    </w:rPr>
  </w:style>
  <w:style w:type="character" w:styleId="FootnoteReference">
    <w:name w:val="footnote reference"/>
    <w:basedOn w:val="DefaultParagraphFont"/>
    <w:uiPriority w:val="99"/>
    <w:semiHidden/>
    <w:unhideWhenUsed/>
    <w:rsid w:val="004528B7"/>
    <w:rPr>
      <w:vertAlign w:val="superscript"/>
    </w:rPr>
  </w:style>
  <w:style w:type="paragraph" w:styleId="Bibliography">
    <w:name w:val="Bibliography"/>
    <w:basedOn w:val="Normal"/>
    <w:next w:val="Normal"/>
    <w:uiPriority w:val="37"/>
    <w:unhideWhenUsed/>
    <w:rsid w:val="00B13752"/>
  </w:style>
  <w:style w:type="character" w:styleId="LineNumber">
    <w:name w:val="line number"/>
    <w:basedOn w:val="DefaultParagraphFont"/>
    <w:uiPriority w:val="99"/>
    <w:semiHidden/>
    <w:unhideWhenUsed/>
    <w:rsid w:val="008B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4680">
      <w:bodyDiv w:val="1"/>
      <w:marLeft w:val="0"/>
      <w:marRight w:val="0"/>
      <w:marTop w:val="0"/>
      <w:marBottom w:val="0"/>
      <w:divBdr>
        <w:top w:val="none" w:sz="0" w:space="0" w:color="auto"/>
        <w:left w:val="none" w:sz="0" w:space="0" w:color="auto"/>
        <w:bottom w:val="none" w:sz="0" w:space="0" w:color="auto"/>
        <w:right w:val="none" w:sz="0" w:space="0" w:color="auto"/>
      </w:divBdr>
    </w:div>
    <w:div w:id="24448506">
      <w:bodyDiv w:val="1"/>
      <w:marLeft w:val="0"/>
      <w:marRight w:val="0"/>
      <w:marTop w:val="0"/>
      <w:marBottom w:val="0"/>
      <w:divBdr>
        <w:top w:val="none" w:sz="0" w:space="0" w:color="auto"/>
        <w:left w:val="none" w:sz="0" w:space="0" w:color="auto"/>
        <w:bottom w:val="none" w:sz="0" w:space="0" w:color="auto"/>
        <w:right w:val="none" w:sz="0" w:space="0" w:color="auto"/>
      </w:divBdr>
    </w:div>
    <w:div w:id="52896126">
      <w:bodyDiv w:val="1"/>
      <w:marLeft w:val="0"/>
      <w:marRight w:val="0"/>
      <w:marTop w:val="0"/>
      <w:marBottom w:val="0"/>
      <w:divBdr>
        <w:top w:val="none" w:sz="0" w:space="0" w:color="auto"/>
        <w:left w:val="none" w:sz="0" w:space="0" w:color="auto"/>
        <w:bottom w:val="none" w:sz="0" w:space="0" w:color="auto"/>
        <w:right w:val="none" w:sz="0" w:space="0" w:color="auto"/>
      </w:divBdr>
    </w:div>
    <w:div w:id="55472467">
      <w:bodyDiv w:val="1"/>
      <w:marLeft w:val="0"/>
      <w:marRight w:val="0"/>
      <w:marTop w:val="0"/>
      <w:marBottom w:val="0"/>
      <w:divBdr>
        <w:top w:val="none" w:sz="0" w:space="0" w:color="auto"/>
        <w:left w:val="none" w:sz="0" w:space="0" w:color="auto"/>
        <w:bottom w:val="none" w:sz="0" w:space="0" w:color="auto"/>
        <w:right w:val="none" w:sz="0" w:space="0" w:color="auto"/>
      </w:divBdr>
    </w:div>
    <w:div w:id="60569473">
      <w:bodyDiv w:val="1"/>
      <w:marLeft w:val="0"/>
      <w:marRight w:val="0"/>
      <w:marTop w:val="0"/>
      <w:marBottom w:val="0"/>
      <w:divBdr>
        <w:top w:val="none" w:sz="0" w:space="0" w:color="auto"/>
        <w:left w:val="none" w:sz="0" w:space="0" w:color="auto"/>
        <w:bottom w:val="none" w:sz="0" w:space="0" w:color="auto"/>
        <w:right w:val="none" w:sz="0" w:space="0" w:color="auto"/>
      </w:divBdr>
    </w:div>
    <w:div w:id="79916399">
      <w:bodyDiv w:val="1"/>
      <w:marLeft w:val="0"/>
      <w:marRight w:val="0"/>
      <w:marTop w:val="0"/>
      <w:marBottom w:val="0"/>
      <w:divBdr>
        <w:top w:val="none" w:sz="0" w:space="0" w:color="auto"/>
        <w:left w:val="none" w:sz="0" w:space="0" w:color="auto"/>
        <w:bottom w:val="none" w:sz="0" w:space="0" w:color="auto"/>
        <w:right w:val="none" w:sz="0" w:space="0" w:color="auto"/>
      </w:divBdr>
    </w:div>
    <w:div w:id="83651072">
      <w:bodyDiv w:val="1"/>
      <w:marLeft w:val="0"/>
      <w:marRight w:val="0"/>
      <w:marTop w:val="0"/>
      <w:marBottom w:val="0"/>
      <w:divBdr>
        <w:top w:val="none" w:sz="0" w:space="0" w:color="auto"/>
        <w:left w:val="none" w:sz="0" w:space="0" w:color="auto"/>
        <w:bottom w:val="none" w:sz="0" w:space="0" w:color="auto"/>
        <w:right w:val="none" w:sz="0" w:space="0" w:color="auto"/>
      </w:divBdr>
    </w:div>
    <w:div w:id="87578072">
      <w:bodyDiv w:val="1"/>
      <w:marLeft w:val="0"/>
      <w:marRight w:val="0"/>
      <w:marTop w:val="0"/>
      <w:marBottom w:val="0"/>
      <w:divBdr>
        <w:top w:val="none" w:sz="0" w:space="0" w:color="auto"/>
        <w:left w:val="none" w:sz="0" w:space="0" w:color="auto"/>
        <w:bottom w:val="none" w:sz="0" w:space="0" w:color="auto"/>
        <w:right w:val="none" w:sz="0" w:space="0" w:color="auto"/>
      </w:divBdr>
    </w:div>
    <w:div w:id="91585693">
      <w:bodyDiv w:val="1"/>
      <w:marLeft w:val="0"/>
      <w:marRight w:val="0"/>
      <w:marTop w:val="0"/>
      <w:marBottom w:val="0"/>
      <w:divBdr>
        <w:top w:val="none" w:sz="0" w:space="0" w:color="auto"/>
        <w:left w:val="none" w:sz="0" w:space="0" w:color="auto"/>
        <w:bottom w:val="none" w:sz="0" w:space="0" w:color="auto"/>
        <w:right w:val="none" w:sz="0" w:space="0" w:color="auto"/>
      </w:divBdr>
    </w:div>
    <w:div w:id="104346135">
      <w:bodyDiv w:val="1"/>
      <w:marLeft w:val="0"/>
      <w:marRight w:val="0"/>
      <w:marTop w:val="0"/>
      <w:marBottom w:val="0"/>
      <w:divBdr>
        <w:top w:val="none" w:sz="0" w:space="0" w:color="auto"/>
        <w:left w:val="none" w:sz="0" w:space="0" w:color="auto"/>
        <w:bottom w:val="none" w:sz="0" w:space="0" w:color="auto"/>
        <w:right w:val="none" w:sz="0" w:space="0" w:color="auto"/>
      </w:divBdr>
    </w:div>
    <w:div w:id="138226858">
      <w:bodyDiv w:val="1"/>
      <w:marLeft w:val="0"/>
      <w:marRight w:val="0"/>
      <w:marTop w:val="0"/>
      <w:marBottom w:val="0"/>
      <w:divBdr>
        <w:top w:val="none" w:sz="0" w:space="0" w:color="auto"/>
        <w:left w:val="none" w:sz="0" w:space="0" w:color="auto"/>
        <w:bottom w:val="none" w:sz="0" w:space="0" w:color="auto"/>
        <w:right w:val="none" w:sz="0" w:space="0" w:color="auto"/>
      </w:divBdr>
    </w:div>
    <w:div w:id="156849293">
      <w:bodyDiv w:val="1"/>
      <w:marLeft w:val="0"/>
      <w:marRight w:val="0"/>
      <w:marTop w:val="0"/>
      <w:marBottom w:val="0"/>
      <w:divBdr>
        <w:top w:val="none" w:sz="0" w:space="0" w:color="auto"/>
        <w:left w:val="none" w:sz="0" w:space="0" w:color="auto"/>
        <w:bottom w:val="none" w:sz="0" w:space="0" w:color="auto"/>
        <w:right w:val="none" w:sz="0" w:space="0" w:color="auto"/>
      </w:divBdr>
    </w:div>
    <w:div w:id="196701008">
      <w:bodyDiv w:val="1"/>
      <w:marLeft w:val="0"/>
      <w:marRight w:val="0"/>
      <w:marTop w:val="0"/>
      <w:marBottom w:val="0"/>
      <w:divBdr>
        <w:top w:val="none" w:sz="0" w:space="0" w:color="auto"/>
        <w:left w:val="none" w:sz="0" w:space="0" w:color="auto"/>
        <w:bottom w:val="none" w:sz="0" w:space="0" w:color="auto"/>
        <w:right w:val="none" w:sz="0" w:space="0" w:color="auto"/>
      </w:divBdr>
    </w:div>
    <w:div w:id="214049276">
      <w:bodyDiv w:val="1"/>
      <w:marLeft w:val="0"/>
      <w:marRight w:val="0"/>
      <w:marTop w:val="0"/>
      <w:marBottom w:val="0"/>
      <w:divBdr>
        <w:top w:val="none" w:sz="0" w:space="0" w:color="auto"/>
        <w:left w:val="none" w:sz="0" w:space="0" w:color="auto"/>
        <w:bottom w:val="none" w:sz="0" w:space="0" w:color="auto"/>
        <w:right w:val="none" w:sz="0" w:space="0" w:color="auto"/>
      </w:divBdr>
    </w:div>
    <w:div w:id="221647014">
      <w:bodyDiv w:val="1"/>
      <w:marLeft w:val="0"/>
      <w:marRight w:val="0"/>
      <w:marTop w:val="0"/>
      <w:marBottom w:val="0"/>
      <w:divBdr>
        <w:top w:val="none" w:sz="0" w:space="0" w:color="auto"/>
        <w:left w:val="none" w:sz="0" w:space="0" w:color="auto"/>
        <w:bottom w:val="none" w:sz="0" w:space="0" w:color="auto"/>
        <w:right w:val="none" w:sz="0" w:space="0" w:color="auto"/>
      </w:divBdr>
    </w:div>
    <w:div w:id="231356526">
      <w:bodyDiv w:val="1"/>
      <w:marLeft w:val="0"/>
      <w:marRight w:val="0"/>
      <w:marTop w:val="0"/>
      <w:marBottom w:val="0"/>
      <w:divBdr>
        <w:top w:val="none" w:sz="0" w:space="0" w:color="auto"/>
        <w:left w:val="none" w:sz="0" w:space="0" w:color="auto"/>
        <w:bottom w:val="none" w:sz="0" w:space="0" w:color="auto"/>
        <w:right w:val="none" w:sz="0" w:space="0" w:color="auto"/>
      </w:divBdr>
    </w:div>
    <w:div w:id="238516742">
      <w:bodyDiv w:val="1"/>
      <w:marLeft w:val="0"/>
      <w:marRight w:val="0"/>
      <w:marTop w:val="0"/>
      <w:marBottom w:val="0"/>
      <w:divBdr>
        <w:top w:val="none" w:sz="0" w:space="0" w:color="auto"/>
        <w:left w:val="none" w:sz="0" w:space="0" w:color="auto"/>
        <w:bottom w:val="none" w:sz="0" w:space="0" w:color="auto"/>
        <w:right w:val="none" w:sz="0" w:space="0" w:color="auto"/>
      </w:divBdr>
    </w:div>
    <w:div w:id="266080622">
      <w:bodyDiv w:val="1"/>
      <w:marLeft w:val="0"/>
      <w:marRight w:val="0"/>
      <w:marTop w:val="0"/>
      <w:marBottom w:val="0"/>
      <w:divBdr>
        <w:top w:val="none" w:sz="0" w:space="0" w:color="auto"/>
        <w:left w:val="none" w:sz="0" w:space="0" w:color="auto"/>
        <w:bottom w:val="none" w:sz="0" w:space="0" w:color="auto"/>
        <w:right w:val="none" w:sz="0" w:space="0" w:color="auto"/>
      </w:divBdr>
    </w:div>
    <w:div w:id="285427335">
      <w:bodyDiv w:val="1"/>
      <w:marLeft w:val="0"/>
      <w:marRight w:val="0"/>
      <w:marTop w:val="0"/>
      <w:marBottom w:val="0"/>
      <w:divBdr>
        <w:top w:val="none" w:sz="0" w:space="0" w:color="auto"/>
        <w:left w:val="none" w:sz="0" w:space="0" w:color="auto"/>
        <w:bottom w:val="none" w:sz="0" w:space="0" w:color="auto"/>
        <w:right w:val="none" w:sz="0" w:space="0" w:color="auto"/>
      </w:divBdr>
    </w:div>
    <w:div w:id="325911428">
      <w:bodyDiv w:val="1"/>
      <w:marLeft w:val="0"/>
      <w:marRight w:val="0"/>
      <w:marTop w:val="0"/>
      <w:marBottom w:val="0"/>
      <w:divBdr>
        <w:top w:val="none" w:sz="0" w:space="0" w:color="auto"/>
        <w:left w:val="none" w:sz="0" w:space="0" w:color="auto"/>
        <w:bottom w:val="none" w:sz="0" w:space="0" w:color="auto"/>
        <w:right w:val="none" w:sz="0" w:space="0" w:color="auto"/>
      </w:divBdr>
    </w:div>
    <w:div w:id="329216713">
      <w:bodyDiv w:val="1"/>
      <w:marLeft w:val="0"/>
      <w:marRight w:val="0"/>
      <w:marTop w:val="0"/>
      <w:marBottom w:val="0"/>
      <w:divBdr>
        <w:top w:val="none" w:sz="0" w:space="0" w:color="auto"/>
        <w:left w:val="none" w:sz="0" w:space="0" w:color="auto"/>
        <w:bottom w:val="none" w:sz="0" w:space="0" w:color="auto"/>
        <w:right w:val="none" w:sz="0" w:space="0" w:color="auto"/>
      </w:divBdr>
    </w:div>
    <w:div w:id="362098780">
      <w:bodyDiv w:val="1"/>
      <w:marLeft w:val="0"/>
      <w:marRight w:val="0"/>
      <w:marTop w:val="0"/>
      <w:marBottom w:val="0"/>
      <w:divBdr>
        <w:top w:val="none" w:sz="0" w:space="0" w:color="auto"/>
        <w:left w:val="none" w:sz="0" w:space="0" w:color="auto"/>
        <w:bottom w:val="none" w:sz="0" w:space="0" w:color="auto"/>
        <w:right w:val="none" w:sz="0" w:space="0" w:color="auto"/>
      </w:divBdr>
    </w:div>
    <w:div w:id="401606328">
      <w:bodyDiv w:val="1"/>
      <w:marLeft w:val="0"/>
      <w:marRight w:val="0"/>
      <w:marTop w:val="0"/>
      <w:marBottom w:val="0"/>
      <w:divBdr>
        <w:top w:val="none" w:sz="0" w:space="0" w:color="auto"/>
        <w:left w:val="none" w:sz="0" w:space="0" w:color="auto"/>
        <w:bottom w:val="none" w:sz="0" w:space="0" w:color="auto"/>
        <w:right w:val="none" w:sz="0" w:space="0" w:color="auto"/>
      </w:divBdr>
    </w:div>
    <w:div w:id="483858548">
      <w:bodyDiv w:val="1"/>
      <w:marLeft w:val="0"/>
      <w:marRight w:val="0"/>
      <w:marTop w:val="0"/>
      <w:marBottom w:val="0"/>
      <w:divBdr>
        <w:top w:val="none" w:sz="0" w:space="0" w:color="auto"/>
        <w:left w:val="none" w:sz="0" w:space="0" w:color="auto"/>
        <w:bottom w:val="none" w:sz="0" w:space="0" w:color="auto"/>
        <w:right w:val="none" w:sz="0" w:space="0" w:color="auto"/>
      </w:divBdr>
    </w:div>
    <w:div w:id="561259083">
      <w:bodyDiv w:val="1"/>
      <w:marLeft w:val="0"/>
      <w:marRight w:val="0"/>
      <w:marTop w:val="0"/>
      <w:marBottom w:val="0"/>
      <w:divBdr>
        <w:top w:val="none" w:sz="0" w:space="0" w:color="auto"/>
        <w:left w:val="none" w:sz="0" w:space="0" w:color="auto"/>
        <w:bottom w:val="none" w:sz="0" w:space="0" w:color="auto"/>
        <w:right w:val="none" w:sz="0" w:space="0" w:color="auto"/>
      </w:divBdr>
    </w:div>
    <w:div w:id="604925680">
      <w:bodyDiv w:val="1"/>
      <w:marLeft w:val="0"/>
      <w:marRight w:val="0"/>
      <w:marTop w:val="0"/>
      <w:marBottom w:val="0"/>
      <w:divBdr>
        <w:top w:val="none" w:sz="0" w:space="0" w:color="auto"/>
        <w:left w:val="none" w:sz="0" w:space="0" w:color="auto"/>
        <w:bottom w:val="none" w:sz="0" w:space="0" w:color="auto"/>
        <w:right w:val="none" w:sz="0" w:space="0" w:color="auto"/>
      </w:divBdr>
    </w:div>
    <w:div w:id="613250025">
      <w:bodyDiv w:val="1"/>
      <w:marLeft w:val="0"/>
      <w:marRight w:val="0"/>
      <w:marTop w:val="0"/>
      <w:marBottom w:val="0"/>
      <w:divBdr>
        <w:top w:val="none" w:sz="0" w:space="0" w:color="auto"/>
        <w:left w:val="none" w:sz="0" w:space="0" w:color="auto"/>
        <w:bottom w:val="none" w:sz="0" w:space="0" w:color="auto"/>
        <w:right w:val="none" w:sz="0" w:space="0" w:color="auto"/>
      </w:divBdr>
    </w:div>
    <w:div w:id="637225164">
      <w:bodyDiv w:val="1"/>
      <w:marLeft w:val="0"/>
      <w:marRight w:val="0"/>
      <w:marTop w:val="0"/>
      <w:marBottom w:val="0"/>
      <w:divBdr>
        <w:top w:val="none" w:sz="0" w:space="0" w:color="auto"/>
        <w:left w:val="none" w:sz="0" w:space="0" w:color="auto"/>
        <w:bottom w:val="none" w:sz="0" w:space="0" w:color="auto"/>
        <w:right w:val="none" w:sz="0" w:space="0" w:color="auto"/>
      </w:divBdr>
    </w:div>
    <w:div w:id="667559765">
      <w:bodyDiv w:val="1"/>
      <w:marLeft w:val="0"/>
      <w:marRight w:val="0"/>
      <w:marTop w:val="0"/>
      <w:marBottom w:val="0"/>
      <w:divBdr>
        <w:top w:val="none" w:sz="0" w:space="0" w:color="auto"/>
        <w:left w:val="none" w:sz="0" w:space="0" w:color="auto"/>
        <w:bottom w:val="none" w:sz="0" w:space="0" w:color="auto"/>
        <w:right w:val="none" w:sz="0" w:space="0" w:color="auto"/>
      </w:divBdr>
    </w:div>
    <w:div w:id="674260530">
      <w:bodyDiv w:val="1"/>
      <w:marLeft w:val="0"/>
      <w:marRight w:val="0"/>
      <w:marTop w:val="0"/>
      <w:marBottom w:val="0"/>
      <w:divBdr>
        <w:top w:val="none" w:sz="0" w:space="0" w:color="auto"/>
        <w:left w:val="none" w:sz="0" w:space="0" w:color="auto"/>
        <w:bottom w:val="none" w:sz="0" w:space="0" w:color="auto"/>
        <w:right w:val="none" w:sz="0" w:space="0" w:color="auto"/>
      </w:divBdr>
    </w:div>
    <w:div w:id="725184390">
      <w:bodyDiv w:val="1"/>
      <w:marLeft w:val="0"/>
      <w:marRight w:val="0"/>
      <w:marTop w:val="0"/>
      <w:marBottom w:val="0"/>
      <w:divBdr>
        <w:top w:val="none" w:sz="0" w:space="0" w:color="auto"/>
        <w:left w:val="none" w:sz="0" w:space="0" w:color="auto"/>
        <w:bottom w:val="none" w:sz="0" w:space="0" w:color="auto"/>
        <w:right w:val="none" w:sz="0" w:space="0" w:color="auto"/>
      </w:divBdr>
    </w:div>
    <w:div w:id="745616486">
      <w:bodyDiv w:val="1"/>
      <w:marLeft w:val="0"/>
      <w:marRight w:val="0"/>
      <w:marTop w:val="0"/>
      <w:marBottom w:val="0"/>
      <w:divBdr>
        <w:top w:val="none" w:sz="0" w:space="0" w:color="auto"/>
        <w:left w:val="none" w:sz="0" w:space="0" w:color="auto"/>
        <w:bottom w:val="none" w:sz="0" w:space="0" w:color="auto"/>
        <w:right w:val="none" w:sz="0" w:space="0" w:color="auto"/>
      </w:divBdr>
    </w:div>
    <w:div w:id="763769059">
      <w:bodyDiv w:val="1"/>
      <w:marLeft w:val="0"/>
      <w:marRight w:val="0"/>
      <w:marTop w:val="0"/>
      <w:marBottom w:val="0"/>
      <w:divBdr>
        <w:top w:val="none" w:sz="0" w:space="0" w:color="auto"/>
        <w:left w:val="none" w:sz="0" w:space="0" w:color="auto"/>
        <w:bottom w:val="none" w:sz="0" w:space="0" w:color="auto"/>
        <w:right w:val="none" w:sz="0" w:space="0" w:color="auto"/>
      </w:divBdr>
    </w:div>
    <w:div w:id="818421987">
      <w:bodyDiv w:val="1"/>
      <w:marLeft w:val="0"/>
      <w:marRight w:val="0"/>
      <w:marTop w:val="0"/>
      <w:marBottom w:val="0"/>
      <w:divBdr>
        <w:top w:val="none" w:sz="0" w:space="0" w:color="auto"/>
        <w:left w:val="none" w:sz="0" w:space="0" w:color="auto"/>
        <w:bottom w:val="none" w:sz="0" w:space="0" w:color="auto"/>
        <w:right w:val="none" w:sz="0" w:space="0" w:color="auto"/>
      </w:divBdr>
    </w:div>
    <w:div w:id="819662942">
      <w:bodyDiv w:val="1"/>
      <w:marLeft w:val="0"/>
      <w:marRight w:val="0"/>
      <w:marTop w:val="0"/>
      <w:marBottom w:val="0"/>
      <w:divBdr>
        <w:top w:val="none" w:sz="0" w:space="0" w:color="auto"/>
        <w:left w:val="none" w:sz="0" w:space="0" w:color="auto"/>
        <w:bottom w:val="none" w:sz="0" w:space="0" w:color="auto"/>
        <w:right w:val="none" w:sz="0" w:space="0" w:color="auto"/>
      </w:divBdr>
    </w:div>
    <w:div w:id="843594728">
      <w:bodyDiv w:val="1"/>
      <w:marLeft w:val="0"/>
      <w:marRight w:val="0"/>
      <w:marTop w:val="0"/>
      <w:marBottom w:val="0"/>
      <w:divBdr>
        <w:top w:val="none" w:sz="0" w:space="0" w:color="auto"/>
        <w:left w:val="none" w:sz="0" w:space="0" w:color="auto"/>
        <w:bottom w:val="none" w:sz="0" w:space="0" w:color="auto"/>
        <w:right w:val="none" w:sz="0" w:space="0" w:color="auto"/>
      </w:divBdr>
    </w:div>
    <w:div w:id="850148003">
      <w:bodyDiv w:val="1"/>
      <w:marLeft w:val="0"/>
      <w:marRight w:val="0"/>
      <w:marTop w:val="0"/>
      <w:marBottom w:val="0"/>
      <w:divBdr>
        <w:top w:val="none" w:sz="0" w:space="0" w:color="auto"/>
        <w:left w:val="none" w:sz="0" w:space="0" w:color="auto"/>
        <w:bottom w:val="none" w:sz="0" w:space="0" w:color="auto"/>
        <w:right w:val="none" w:sz="0" w:space="0" w:color="auto"/>
      </w:divBdr>
    </w:div>
    <w:div w:id="885072013">
      <w:bodyDiv w:val="1"/>
      <w:marLeft w:val="0"/>
      <w:marRight w:val="0"/>
      <w:marTop w:val="0"/>
      <w:marBottom w:val="0"/>
      <w:divBdr>
        <w:top w:val="none" w:sz="0" w:space="0" w:color="auto"/>
        <w:left w:val="none" w:sz="0" w:space="0" w:color="auto"/>
        <w:bottom w:val="none" w:sz="0" w:space="0" w:color="auto"/>
        <w:right w:val="none" w:sz="0" w:space="0" w:color="auto"/>
      </w:divBdr>
    </w:div>
    <w:div w:id="895970074">
      <w:bodyDiv w:val="1"/>
      <w:marLeft w:val="0"/>
      <w:marRight w:val="0"/>
      <w:marTop w:val="0"/>
      <w:marBottom w:val="0"/>
      <w:divBdr>
        <w:top w:val="none" w:sz="0" w:space="0" w:color="auto"/>
        <w:left w:val="none" w:sz="0" w:space="0" w:color="auto"/>
        <w:bottom w:val="none" w:sz="0" w:space="0" w:color="auto"/>
        <w:right w:val="none" w:sz="0" w:space="0" w:color="auto"/>
      </w:divBdr>
    </w:div>
    <w:div w:id="925500757">
      <w:bodyDiv w:val="1"/>
      <w:marLeft w:val="0"/>
      <w:marRight w:val="0"/>
      <w:marTop w:val="0"/>
      <w:marBottom w:val="0"/>
      <w:divBdr>
        <w:top w:val="none" w:sz="0" w:space="0" w:color="auto"/>
        <w:left w:val="none" w:sz="0" w:space="0" w:color="auto"/>
        <w:bottom w:val="none" w:sz="0" w:space="0" w:color="auto"/>
        <w:right w:val="none" w:sz="0" w:space="0" w:color="auto"/>
      </w:divBdr>
    </w:div>
    <w:div w:id="946082964">
      <w:bodyDiv w:val="1"/>
      <w:marLeft w:val="0"/>
      <w:marRight w:val="0"/>
      <w:marTop w:val="0"/>
      <w:marBottom w:val="0"/>
      <w:divBdr>
        <w:top w:val="none" w:sz="0" w:space="0" w:color="auto"/>
        <w:left w:val="none" w:sz="0" w:space="0" w:color="auto"/>
        <w:bottom w:val="none" w:sz="0" w:space="0" w:color="auto"/>
        <w:right w:val="none" w:sz="0" w:space="0" w:color="auto"/>
      </w:divBdr>
    </w:div>
    <w:div w:id="967711391">
      <w:bodyDiv w:val="1"/>
      <w:marLeft w:val="0"/>
      <w:marRight w:val="0"/>
      <w:marTop w:val="0"/>
      <w:marBottom w:val="0"/>
      <w:divBdr>
        <w:top w:val="none" w:sz="0" w:space="0" w:color="auto"/>
        <w:left w:val="none" w:sz="0" w:space="0" w:color="auto"/>
        <w:bottom w:val="none" w:sz="0" w:space="0" w:color="auto"/>
        <w:right w:val="none" w:sz="0" w:space="0" w:color="auto"/>
      </w:divBdr>
    </w:div>
    <w:div w:id="974067862">
      <w:bodyDiv w:val="1"/>
      <w:marLeft w:val="0"/>
      <w:marRight w:val="0"/>
      <w:marTop w:val="0"/>
      <w:marBottom w:val="0"/>
      <w:divBdr>
        <w:top w:val="none" w:sz="0" w:space="0" w:color="auto"/>
        <w:left w:val="none" w:sz="0" w:space="0" w:color="auto"/>
        <w:bottom w:val="none" w:sz="0" w:space="0" w:color="auto"/>
        <w:right w:val="none" w:sz="0" w:space="0" w:color="auto"/>
      </w:divBdr>
    </w:div>
    <w:div w:id="996492226">
      <w:bodyDiv w:val="1"/>
      <w:marLeft w:val="0"/>
      <w:marRight w:val="0"/>
      <w:marTop w:val="0"/>
      <w:marBottom w:val="0"/>
      <w:divBdr>
        <w:top w:val="none" w:sz="0" w:space="0" w:color="auto"/>
        <w:left w:val="none" w:sz="0" w:space="0" w:color="auto"/>
        <w:bottom w:val="none" w:sz="0" w:space="0" w:color="auto"/>
        <w:right w:val="none" w:sz="0" w:space="0" w:color="auto"/>
      </w:divBdr>
    </w:div>
    <w:div w:id="999388323">
      <w:bodyDiv w:val="1"/>
      <w:marLeft w:val="0"/>
      <w:marRight w:val="0"/>
      <w:marTop w:val="0"/>
      <w:marBottom w:val="0"/>
      <w:divBdr>
        <w:top w:val="none" w:sz="0" w:space="0" w:color="auto"/>
        <w:left w:val="none" w:sz="0" w:space="0" w:color="auto"/>
        <w:bottom w:val="none" w:sz="0" w:space="0" w:color="auto"/>
        <w:right w:val="none" w:sz="0" w:space="0" w:color="auto"/>
      </w:divBdr>
    </w:div>
    <w:div w:id="1028868857">
      <w:bodyDiv w:val="1"/>
      <w:marLeft w:val="0"/>
      <w:marRight w:val="0"/>
      <w:marTop w:val="0"/>
      <w:marBottom w:val="0"/>
      <w:divBdr>
        <w:top w:val="none" w:sz="0" w:space="0" w:color="auto"/>
        <w:left w:val="none" w:sz="0" w:space="0" w:color="auto"/>
        <w:bottom w:val="none" w:sz="0" w:space="0" w:color="auto"/>
        <w:right w:val="none" w:sz="0" w:space="0" w:color="auto"/>
      </w:divBdr>
    </w:div>
    <w:div w:id="1042512737">
      <w:bodyDiv w:val="1"/>
      <w:marLeft w:val="0"/>
      <w:marRight w:val="0"/>
      <w:marTop w:val="0"/>
      <w:marBottom w:val="0"/>
      <w:divBdr>
        <w:top w:val="none" w:sz="0" w:space="0" w:color="auto"/>
        <w:left w:val="none" w:sz="0" w:space="0" w:color="auto"/>
        <w:bottom w:val="none" w:sz="0" w:space="0" w:color="auto"/>
        <w:right w:val="none" w:sz="0" w:space="0" w:color="auto"/>
      </w:divBdr>
    </w:div>
    <w:div w:id="1051728035">
      <w:bodyDiv w:val="1"/>
      <w:marLeft w:val="0"/>
      <w:marRight w:val="0"/>
      <w:marTop w:val="0"/>
      <w:marBottom w:val="0"/>
      <w:divBdr>
        <w:top w:val="none" w:sz="0" w:space="0" w:color="auto"/>
        <w:left w:val="none" w:sz="0" w:space="0" w:color="auto"/>
        <w:bottom w:val="none" w:sz="0" w:space="0" w:color="auto"/>
        <w:right w:val="none" w:sz="0" w:space="0" w:color="auto"/>
      </w:divBdr>
    </w:div>
    <w:div w:id="1061564944">
      <w:bodyDiv w:val="1"/>
      <w:marLeft w:val="0"/>
      <w:marRight w:val="0"/>
      <w:marTop w:val="0"/>
      <w:marBottom w:val="0"/>
      <w:divBdr>
        <w:top w:val="none" w:sz="0" w:space="0" w:color="auto"/>
        <w:left w:val="none" w:sz="0" w:space="0" w:color="auto"/>
        <w:bottom w:val="none" w:sz="0" w:space="0" w:color="auto"/>
        <w:right w:val="none" w:sz="0" w:space="0" w:color="auto"/>
      </w:divBdr>
    </w:div>
    <w:div w:id="1062676156">
      <w:bodyDiv w:val="1"/>
      <w:marLeft w:val="0"/>
      <w:marRight w:val="0"/>
      <w:marTop w:val="0"/>
      <w:marBottom w:val="0"/>
      <w:divBdr>
        <w:top w:val="none" w:sz="0" w:space="0" w:color="auto"/>
        <w:left w:val="none" w:sz="0" w:space="0" w:color="auto"/>
        <w:bottom w:val="none" w:sz="0" w:space="0" w:color="auto"/>
        <w:right w:val="none" w:sz="0" w:space="0" w:color="auto"/>
      </w:divBdr>
      <w:divsChild>
        <w:div w:id="2061511284">
          <w:marLeft w:val="0"/>
          <w:marRight w:val="0"/>
          <w:marTop w:val="0"/>
          <w:marBottom w:val="0"/>
          <w:divBdr>
            <w:top w:val="none" w:sz="0" w:space="0" w:color="auto"/>
            <w:left w:val="none" w:sz="0" w:space="0" w:color="auto"/>
            <w:bottom w:val="none" w:sz="0" w:space="0" w:color="auto"/>
            <w:right w:val="none" w:sz="0" w:space="0" w:color="auto"/>
          </w:divBdr>
        </w:div>
        <w:div w:id="803231434">
          <w:marLeft w:val="0"/>
          <w:marRight w:val="0"/>
          <w:marTop w:val="0"/>
          <w:marBottom w:val="0"/>
          <w:divBdr>
            <w:top w:val="none" w:sz="0" w:space="0" w:color="auto"/>
            <w:left w:val="none" w:sz="0" w:space="0" w:color="auto"/>
            <w:bottom w:val="none" w:sz="0" w:space="0" w:color="auto"/>
            <w:right w:val="none" w:sz="0" w:space="0" w:color="auto"/>
          </w:divBdr>
        </w:div>
        <w:div w:id="310646540">
          <w:marLeft w:val="0"/>
          <w:marRight w:val="0"/>
          <w:marTop w:val="0"/>
          <w:marBottom w:val="0"/>
          <w:divBdr>
            <w:top w:val="none" w:sz="0" w:space="0" w:color="auto"/>
            <w:left w:val="none" w:sz="0" w:space="0" w:color="auto"/>
            <w:bottom w:val="none" w:sz="0" w:space="0" w:color="auto"/>
            <w:right w:val="none" w:sz="0" w:space="0" w:color="auto"/>
          </w:divBdr>
        </w:div>
        <w:div w:id="1103258285">
          <w:marLeft w:val="0"/>
          <w:marRight w:val="0"/>
          <w:marTop w:val="0"/>
          <w:marBottom w:val="0"/>
          <w:divBdr>
            <w:top w:val="none" w:sz="0" w:space="0" w:color="auto"/>
            <w:left w:val="none" w:sz="0" w:space="0" w:color="auto"/>
            <w:bottom w:val="none" w:sz="0" w:space="0" w:color="auto"/>
            <w:right w:val="none" w:sz="0" w:space="0" w:color="auto"/>
          </w:divBdr>
        </w:div>
      </w:divsChild>
    </w:div>
    <w:div w:id="1085148653">
      <w:bodyDiv w:val="1"/>
      <w:marLeft w:val="0"/>
      <w:marRight w:val="0"/>
      <w:marTop w:val="0"/>
      <w:marBottom w:val="0"/>
      <w:divBdr>
        <w:top w:val="none" w:sz="0" w:space="0" w:color="auto"/>
        <w:left w:val="none" w:sz="0" w:space="0" w:color="auto"/>
        <w:bottom w:val="none" w:sz="0" w:space="0" w:color="auto"/>
        <w:right w:val="none" w:sz="0" w:space="0" w:color="auto"/>
      </w:divBdr>
    </w:div>
    <w:div w:id="1086267163">
      <w:bodyDiv w:val="1"/>
      <w:marLeft w:val="0"/>
      <w:marRight w:val="0"/>
      <w:marTop w:val="0"/>
      <w:marBottom w:val="0"/>
      <w:divBdr>
        <w:top w:val="none" w:sz="0" w:space="0" w:color="auto"/>
        <w:left w:val="none" w:sz="0" w:space="0" w:color="auto"/>
        <w:bottom w:val="none" w:sz="0" w:space="0" w:color="auto"/>
        <w:right w:val="none" w:sz="0" w:space="0" w:color="auto"/>
      </w:divBdr>
    </w:div>
    <w:div w:id="1118335153">
      <w:bodyDiv w:val="1"/>
      <w:marLeft w:val="0"/>
      <w:marRight w:val="0"/>
      <w:marTop w:val="0"/>
      <w:marBottom w:val="0"/>
      <w:divBdr>
        <w:top w:val="none" w:sz="0" w:space="0" w:color="auto"/>
        <w:left w:val="none" w:sz="0" w:space="0" w:color="auto"/>
        <w:bottom w:val="none" w:sz="0" w:space="0" w:color="auto"/>
        <w:right w:val="none" w:sz="0" w:space="0" w:color="auto"/>
      </w:divBdr>
    </w:div>
    <w:div w:id="1135953268">
      <w:bodyDiv w:val="1"/>
      <w:marLeft w:val="0"/>
      <w:marRight w:val="0"/>
      <w:marTop w:val="0"/>
      <w:marBottom w:val="0"/>
      <w:divBdr>
        <w:top w:val="none" w:sz="0" w:space="0" w:color="auto"/>
        <w:left w:val="none" w:sz="0" w:space="0" w:color="auto"/>
        <w:bottom w:val="none" w:sz="0" w:space="0" w:color="auto"/>
        <w:right w:val="none" w:sz="0" w:space="0" w:color="auto"/>
      </w:divBdr>
    </w:div>
    <w:div w:id="1141654198">
      <w:bodyDiv w:val="1"/>
      <w:marLeft w:val="0"/>
      <w:marRight w:val="0"/>
      <w:marTop w:val="0"/>
      <w:marBottom w:val="0"/>
      <w:divBdr>
        <w:top w:val="none" w:sz="0" w:space="0" w:color="auto"/>
        <w:left w:val="none" w:sz="0" w:space="0" w:color="auto"/>
        <w:bottom w:val="none" w:sz="0" w:space="0" w:color="auto"/>
        <w:right w:val="none" w:sz="0" w:space="0" w:color="auto"/>
      </w:divBdr>
    </w:div>
    <w:div w:id="1141964898">
      <w:bodyDiv w:val="1"/>
      <w:marLeft w:val="0"/>
      <w:marRight w:val="0"/>
      <w:marTop w:val="0"/>
      <w:marBottom w:val="0"/>
      <w:divBdr>
        <w:top w:val="none" w:sz="0" w:space="0" w:color="auto"/>
        <w:left w:val="none" w:sz="0" w:space="0" w:color="auto"/>
        <w:bottom w:val="none" w:sz="0" w:space="0" w:color="auto"/>
        <w:right w:val="none" w:sz="0" w:space="0" w:color="auto"/>
      </w:divBdr>
    </w:div>
    <w:div w:id="1202787979">
      <w:bodyDiv w:val="1"/>
      <w:marLeft w:val="0"/>
      <w:marRight w:val="0"/>
      <w:marTop w:val="0"/>
      <w:marBottom w:val="0"/>
      <w:divBdr>
        <w:top w:val="none" w:sz="0" w:space="0" w:color="auto"/>
        <w:left w:val="none" w:sz="0" w:space="0" w:color="auto"/>
        <w:bottom w:val="none" w:sz="0" w:space="0" w:color="auto"/>
        <w:right w:val="none" w:sz="0" w:space="0" w:color="auto"/>
      </w:divBdr>
    </w:div>
    <w:div w:id="1218974139">
      <w:bodyDiv w:val="1"/>
      <w:marLeft w:val="0"/>
      <w:marRight w:val="0"/>
      <w:marTop w:val="0"/>
      <w:marBottom w:val="0"/>
      <w:divBdr>
        <w:top w:val="none" w:sz="0" w:space="0" w:color="auto"/>
        <w:left w:val="none" w:sz="0" w:space="0" w:color="auto"/>
        <w:bottom w:val="none" w:sz="0" w:space="0" w:color="auto"/>
        <w:right w:val="none" w:sz="0" w:space="0" w:color="auto"/>
      </w:divBdr>
    </w:div>
    <w:div w:id="1229727887">
      <w:bodyDiv w:val="1"/>
      <w:marLeft w:val="0"/>
      <w:marRight w:val="0"/>
      <w:marTop w:val="0"/>
      <w:marBottom w:val="0"/>
      <w:divBdr>
        <w:top w:val="none" w:sz="0" w:space="0" w:color="auto"/>
        <w:left w:val="none" w:sz="0" w:space="0" w:color="auto"/>
        <w:bottom w:val="none" w:sz="0" w:space="0" w:color="auto"/>
        <w:right w:val="none" w:sz="0" w:space="0" w:color="auto"/>
      </w:divBdr>
    </w:div>
    <w:div w:id="1232079781">
      <w:bodyDiv w:val="1"/>
      <w:marLeft w:val="0"/>
      <w:marRight w:val="0"/>
      <w:marTop w:val="0"/>
      <w:marBottom w:val="0"/>
      <w:divBdr>
        <w:top w:val="none" w:sz="0" w:space="0" w:color="auto"/>
        <w:left w:val="none" w:sz="0" w:space="0" w:color="auto"/>
        <w:bottom w:val="none" w:sz="0" w:space="0" w:color="auto"/>
        <w:right w:val="none" w:sz="0" w:space="0" w:color="auto"/>
      </w:divBdr>
    </w:div>
    <w:div w:id="1232429033">
      <w:bodyDiv w:val="1"/>
      <w:marLeft w:val="0"/>
      <w:marRight w:val="0"/>
      <w:marTop w:val="0"/>
      <w:marBottom w:val="0"/>
      <w:divBdr>
        <w:top w:val="none" w:sz="0" w:space="0" w:color="auto"/>
        <w:left w:val="none" w:sz="0" w:space="0" w:color="auto"/>
        <w:bottom w:val="none" w:sz="0" w:space="0" w:color="auto"/>
        <w:right w:val="none" w:sz="0" w:space="0" w:color="auto"/>
      </w:divBdr>
    </w:div>
    <w:div w:id="1243832916">
      <w:bodyDiv w:val="1"/>
      <w:marLeft w:val="0"/>
      <w:marRight w:val="0"/>
      <w:marTop w:val="0"/>
      <w:marBottom w:val="0"/>
      <w:divBdr>
        <w:top w:val="none" w:sz="0" w:space="0" w:color="auto"/>
        <w:left w:val="none" w:sz="0" w:space="0" w:color="auto"/>
        <w:bottom w:val="none" w:sz="0" w:space="0" w:color="auto"/>
        <w:right w:val="none" w:sz="0" w:space="0" w:color="auto"/>
      </w:divBdr>
    </w:div>
    <w:div w:id="1300453968">
      <w:bodyDiv w:val="1"/>
      <w:marLeft w:val="0"/>
      <w:marRight w:val="0"/>
      <w:marTop w:val="0"/>
      <w:marBottom w:val="0"/>
      <w:divBdr>
        <w:top w:val="none" w:sz="0" w:space="0" w:color="auto"/>
        <w:left w:val="none" w:sz="0" w:space="0" w:color="auto"/>
        <w:bottom w:val="none" w:sz="0" w:space="0" w:color="auto"/>
        <w:right w:val="none" w:sz="0" w:space="0" w:color="auto"/>
      </w:divBdr>
    </w:div>
    <w:div w:id="1371303147">
      <w:bodyDiv w:val="1"/>
      <w:marLeft w:val="0"/>
      <w:marRight w:val="0"/>
      <w:marTop w:val="0"/>
      <w:marBottom w:val="0"/>
      <w:divBdr>
        <w:top w:val="none" w:sz="0" w:space="0" w:color="auto"/>
        <w:left w:val="none" w:sz="0" w:space="0" w:color="auto"/>
        <w:bottom w:val="none" w:sz="0" w:space="0" w:color="auto"/>
        <w:right w:val="none" w:sz="0" w:space="0" w:color="auto"/>
      </w:divBdr>
    </w:div>
    <w:div w:id="1373653612">
      <w:bodyDiv w:val="1"/>
      <w:marLeft w:val="0"/>
      <w:marRight w:val="0"/>
      <w:marTop w:val="0"/>
      <w:marBottom w:val="0"/>
      <w:divBdr>
        <w:top w:val="none" w:sz="0" w:space="0" w:color="auto"/>
        <w:left w:val="none" w:sz="0" w:space="0" w:color="auto"/>
        <w:bottom w:val="none" w:sz="0" w:space="0" w:color="auto"/>
        <w:right w:val="none" w:sz="0" w:space="0" w:color="auto"/>
      </w:divBdr>
    </w:div>
    <w:div w:id="1409814497">
      <w:bodyDiv w:val="1"/>
      <w:marLeft w:val="0"/>
      <w:marRight w:val="0"/>
      <w:marTop w:val="0"/>
      <w:marBottom w:val="0"/>
      <w:divBdr>
        <w:top w:val="none" w:sz="0" w:space="0" w:color="auto"/>
        <w:left w:val="none" w:sz="0" w:space="0" w:color="auto"/>
        <w:bottom w:val="none" w:sz="0" w:space="0" w:color="auto"/>
        <w:right w:val="none" w:sz="0" w:space="0" w:color="auto"/>
      </w:divBdr>
    </w:div>
    <w:div w:id="1442988001">
      <w:bodyDiv w:val="1"/>
      <w:marLeft w:val="0"/>
      <w:marRight w:val="0"/>
      <w:marTop w:val="0"/>
      <w:marBottom w:val="0"/>
      <w:divBdr>
        <w:top w:val="none" w:sz="0" w:space="0" w:color="auto"/>
        <w:left w:val="none" w:sz="0" w:space="0" w:color="auto"/>
        <w:bottom w:val="none" w:sz="0" w:space="0" w:color="auto"/>
        <w:right w:val="none" w:sz="0" w:space="0" w:color="auto"/>
      </w:divBdr>
    </w:div>
    <w:div w:id="1453743263">
      <w:bodyDiv w:val="1"/>
      <w:marLeft w:val="0"/>
      <w:marRight w:val="0"/>
      <w:marTop w:val="0"/>
      <w:marBottom w:val="0"/>
      <w:divBdr>
        <w:top w:val="none" w:sz="0" w:space="0" w:color="auto"/>
        <w:left w:val="none" w:sz="0" w:space="0" w:color="auto"/>
        <w:bottom w:val="none" w:sz="0" w:space="0" w:color="auto"/>
        <w:right w:val="none" w:sz="0" w:space="0" w:color="auto"/>
      </w:divBdr>
    </w:div>
    <w:div w:id="1460413501">
      <w:bodyDiv w:val="1"/>
      <w:marLeft w:val="0"/>
      <w:marRight w:val="0"/>
      <w:marTop w:val="0"/>
      <w:marBottom w:val="0"/>
      <w:divBdr>
        <w:top w:val="none" w:sz="0" w:space="0" w:color="auto"/>
        <w:left w:val="none" w:sz="0" w:space="0" w:color="auto"/>
        <w:bottom w:val="none" w:sz="0" w:space="0" w:color="auto"/>
        <w:right w:val="none" w:sz="0" w:space="0" w:color="auto"/>
      </w:divBdr>
    </w:div>
    <w:div w:id="1466237927">
      <w:bodyDiv w:val="1"/>
      <w:marLeft w:val="0"/>
      <w:marRight w:val="0"/>
      <w:marTop w:val="0"/>
      <w:marBottom w:val="0"/>
      <w:divBdr>
        <w:top w:val="none" w:sz="0" w:space="0" w:color="auto"/>
        <w:left w:val="none" w:sz="0" w:space="0" w:color="auto"/>
        <w:bottom w:val="none" w:sz="0" w:space="0" w:color="auto"/>
        <w:right w:val="none" w:sz="0" w:space="0" w:color="auto"/>
      </w:divBdr>
    </w:div>
    <w:div w:id="1477406762">
      <w:bodyDiv w:val="1"/>
      <w:marLeft w:val="0"/>
      <w:marRight w:val="0"/>
      <w:marTop w:val="0"/>
      <w:marBottom w:val="0"/>
      <w:divBdr>
        <w:top w:val="none" w:sz="0" w:space="0" w:color="auto"/>
        <w:left w:val="none" w:sz="0" w:space="0" w:color="auto"/>
        <w:bottom w:val="none" w:sz="0" w:space="0" w:color="auto"/>
        <w:right w:val="none" w:sz="0" w:space="0" w:color="auto"/>
      </w:divBdr>
    </w:div>
    <w:div w:id="1488009480">
      <w:bodyDiv w:val="1"/>
      <w:marLeft w:val="0"/>
      <w:marRight w:val="0"/>
      <w:marTop w:val="0"/>
      <w:marBottom w:val="0"/>
      <w:divBdr>
        <w:top w:val="none" w:sz="0" w:space="0" w:color="auto"/>
        <w:left w:val="none" w:sz="0" w:space="0" w:color="auto"/>
        <w:bottom w:val="none" w:sz="0" w:space="0" w:color="auto"/>
        <w:right w:val="none" w:sz="0" w:space="0" w:color="auto"/>
      </w:divBdr>
    </w:div>
    <w:div w:id="1525053159">
      <w:bodyDiv w:val="1"/>
      <w:marLeft w:val="0"/>
      <w:marRight w:val="0"/>
      <w:marTop w:val="0"/>
      <w:marBottom w:val="0"/>
      <w:divBdr>
        <w:top w:val="none" w:sz="0" w:space="0" w:color="auto"/>
        <w:left w:val="none" w:sz="0" w:space="0" w:color="auto"/>
        <w:bottom w:val="none" w:sz="0" w:space="0" w:color="auto"/>
        <w:right w:val="none" w:sz="0" w:space="0" w:color="auto"/>
      </w:divBdr>
    </w:div>
    <w:div w:id="1566840798">
      <w:bodyDiv w:val="1"/>
      <w:marLeft w:val="0"/>
      <w:marRight w:val="0"/>
      <w:marTop w:val="0"/>
      <w:marBottom w:val="0"/>
      <w:divBdr>
        <w:top w:val="none" w:sz="0" w:space="0" w:color="auto"/>
        <w:left w:val="none" w:sz="0" w:space="0" w:color="auto"/>
        <w:bottom w:val="none" w:sz="0" w:space="0" w:color="auto"/>
        <w:right w:val="none" w:sz="0" w:space="0" w:color="auto"/>
      </w:divBdr>
    </w:div>
    <w:div w:id="1626306282">
      <w:bodyDiv w:val="1"/>
      <w:marLeft w:val="0"/>
      <w:marRight w:val="0"/>
      <w:marTop w:val="0"/>
      <w:marBottom w:val="0"/>
      <w:divBdr>
        <w:top w:val="none" w:sz="0" w:space="0" w:color="auto"/>
        <w:left w:val="none" w:sz="0" w:space="0" w:color="auto"/>
        <w:bottom w:val="none" w:sz="0" w:space="0" w:color="auto"/>
        <w:right w:val="none" w:sz="0" w:space="0" w:color="auto"/>
      </w:divBdr>
    </w:div>
    <w:div w:id="1655453633">
      <w:bodyDiv w:val="1"/>
      <w:marLeft w:val="0"/>
      <w:marRight w:val="0"/>
      <w:marTop w:val="0"/>
      <w:marBottom w:val="0"/>
      <w:divBdr>
        <w:top w:val="none" w:sz="0" w:space="0" w:color="auto"/>
        <w:left w:val="none" w:sz="0" w:space="0" w:color="auto"/>
        <w:bottom w:val="none" w:sz="0" w:space="0" w:color="auto"/>
        <w:right w:val="none" w:sz="0" w:space="0" w:color="auto"/>
      </w:divBdr>
    </w:div>
    <w:div w:id="1674724847">
      <w:bodyDiv w:val="1"/>
      <w:marLeft w:val="0"/>
      <w:marRight w:val="0"/>
      <w:marTop w:val="0"/>
      <w:marBottom w:val="0"/>
      <w:divBdr>
        <w:top w:val="none" w:sz="0" w:space="0" w:color="auto"/>
        <w:left w:val="none" w:sz="0" w:space="0" w:color="auto"/>
        <w:bottom w:val="none" w:sz="0" w:space="0" w:color="auto"/>
        <w:right w:val="none" w:sz="0" w:space="0" w:color="auto"/>
      </w:divBdr>
    </w:div>
    <w:div w:id="1700669118">
      <w:bodyDiv w:val="1"/>
      <w:marLeft w:val="0"/>
      <w:marRight w:val="0"/>
      <w:marTop w:val="0"/>
      <w:marBottom w:val="0"/>
      <w:divBdr>
        <w:top w:val="none" w:sz="0" w:space="0" w:color="auto"/>
        <w:left w:val="none" w:sz="0" w:space="0" w:color="auto"/>
        <w:bottom w:val="none" w:sz="0" w:space="0" w:color="auto"/>
        <w:right w:val="none" w:sz="0" w:space="0" w:color="auto"/>
      </w:divBdr>
    </w:div>
    <w:div w:id="1774812976">
      <w:bodyDiv w:val="1"/>
      <w:marLeft w:val="0"/>
      <w:marRight w:val="0"/>
      <w:marTop w:val="0"/>
      <w:marBottom w:val="0"/>
      <w:divBdr>
        <w:top w:val="none" w:sz="0" w:space="0" w:color="auto"/>
        <w:left w:val="none" w:sz="0" w:space="0" w:color="auto"/>
        <w:bottom w:val="none" w:sz="0" w:space="0" w:color="auto"/>
        <w:right w:val="none" w:sz="0" w:space="0" w:color="auto"/>
      </w:divBdr>
    </w:div>
    <w:div w:id="1779325662">
      <w:bodyDiv w:val="1"/>
      <w:marLeft w:val="0"/>
      <w:marRight w:val="0"/>
      <w:marTop w:val="0"/>
      <w:marBottom w:val="0"/>
      <w:divBdr>
        <w:top w:val="none" w:sz="0" w:space="0" w:color="auto"/>
        <w:left w:val="none" w:sz="0" w:space="0" w:color="auto"/>
        <w:bottom w:val="none" w:sz="0" w:space="0" w:color="auto"/>
        <w:right w:val="none" w:sz="0" w:space="0" w:color="auto"/>
      </w:divBdr>
    </w:div>
    <w:div w:id="1779522763">
      <w:bodyDiv w:val="1"/>
      <w:marLeft w:val="0"/>
      <w:marRight w:val="0"/>
      <w:marTop w:val="0"/>
      <w:marBottom w:val="0"/>
      <w:divBdr>
        <w:top w:val="none" w:sz="0" w:space="0" w:color="auto"/>
        <w:left w:val="none" w:sz="0" w:space="0" w:color="auto"/>
        <w:bottom w:val="none" w:sz="0" w:space="0" w:color="auto"/>
        <w:right w:val="none" w:sz="0" w:space="0" w:color="auto"/>
      </w:divBdr>
    </w:div>
    <w:div w:id="1781103780">
      <w:bodyDiv w:val="1"/>
      <w:marLeft w:val="0"/>
      <w:marRight w:val="0"/>
      <w:marTop w:val="0"/>
      <w:marBottom w:val="0"/>
      <w:divBdr>
        <w:top w:val="none" w:sz="0" w:space="0" w:color="auto"/>
        <w:left w:val="none" w:sz="0" w:space="0" w:color="auto"/>
        <w:bottom w:val="none" w:sz="0" w:space="0" w:color="auto"/>
        <w:right w:val="none" w:sz="0" w:space="0" w:color="auto"/>
      </w:divBdr>
    </w:div>
    <w:div w:id="1785688255">
      <w:bodyDiv w:val="1"/>
      <w:marLeft w:val="0"/>
      <w:marRight w:val="0"/>
      <w:marTop w:val="0"/>
      <w:marBottom w:val="0"/>
      <w:divBdr>
        <w:top w:val="none" w:sz="0" w:space="0" w:color="auto"/>
        <w:left w:val="none" w:sz="0" w:space="0" w:color="auto"/>
        <w:bottom w:val="none" w:sz="0" w:space="0" w:color="auto"/>
        <w:right w:val="none" w:sz="0" w:space="0" w:color="auto"/>
      </w:divBdr>
    </w:div>
    <w:div w:id="1850678745">
      <w:bodyDiv w:val="1"/>
      <w:marLeft w:val="0"/>
      <w:marRight w:val="0"/>
      <w:marTop w:val="0"/>
      <w:marBottom w:val="0"/>
      <w:divBdr>
        <w:top w:val="none" w:sz="0" w:space="0" w:color="auto"/>
        <w:left w:val="none" w:sz="0" w:space="0" w:color="auto"/>
        <w:bottom w:val="none" w:sz="0" w:space="0" w:color="auto"/>
        <w:right w:val="none" w:sz="0" w:space="0" w:color="auto"/>
      </w:divBdr>
    </w:div>
    <w:div w:id="1878204401">
      <w:bodyDiv w:val="1"/>
      <w:marLeft w:val="0"/>
      <w:marRight w:val="0"/>
      <w:marTop w:val="0"/>
      <w:marBottom w:val="0"/>
      <w:divBdr>
        <w:top w:val="none" w:sz="0" w:space="0" w:color="auto"/>
        <w:left w:val="none" w:sz="0" w:space="0" w:color="auto"/>
        <w:bottom w:val="none" w:sz="0" w:space="0" w:color="auto"/>
        <w:right w:val="none" w:sz="0" w:space="0" w:color="auto"/>
      </w:divBdr>
    </w:div>
    <w:div w:id="1918634933">
      <w:bodyDiv w:val="1"/>
      <w:marLeft w:val="0"/>
      <w:marRight w:val="0"/>
      <w:marTop w:val="0"/>
      <w:marBottom w:val="0"/>
      <w:divBdr>
        <w:top w:val="none" w:sz="0" w:space="0" w:color="auto"/>
        <w:left w:val="none" w:sz="0" w:space="0" w:color="auto"/>
        <w:bottom w:val="none" w:sz="0" w:space="0" w:color="auto"/>
        <w:right w:val="none" w:sz="0" w:space="0" w:color="auto"/>
      </w:divBdr>
    </w:div>
    <w:div w:id="1966961280">
      <w:bodyDiv w:val="1"/>
      <w:marLeft w:val="0"/>
      <w:marRight w:val="0"/>
      <w:marTop w:val="0"/>
      <w:marBottom w:val="0"/>
      <w:divBdr>
        <w:top w:val="none" w:sz="0" w:space="0" w:color="auto"/>
        <w:left w:val="none" w:sz="0" w:space="0" w:color="auto"/>
        <w:bottom w:val="none" w:sz="0" w:space="0" w:color="auto"/>
        <w:right w:val="none" w:sz="0" w:space="0" w:color="auto"/>
      </w:divBdr>
    </w:div>
    <w:div w:id="1970553024">
      <w:bodyDiv w:val="1"/>
      <w:marLeft w:val="0"/>
      <w:marRight w:val="0"/>
      <w:marTop w:val="0"/>
      <w:marBottom w:val="0"/>
      <w:divBdr>
        <w:top w:val="none" w:sz="0" w:space="0" w:color="auto"/>
        <w:left w:val="none" w:sz="0" w:space="0" w:color="auto"/>
        <w:bottom w:val="none" w:sz="0" w:space="0" w:color="auto"/>
        <w:right w:val="none" w:sz="0" w:space="0" w:color="auto"/>
      </w:divBdr>
    </w:div>
    <w:div w:id="1973636500">
      <w:bodyDiv w:val="1"/>
      <w:marLeft w:val="0"/>
      <w:marRight w:val="0"/>
      <w:marTop w:val="0"/>
      <w:marBottom w:val="0"/>
      <w:divBdr>
        <w:top w:val="none" w:sz="0" w:space="0" w:color="auto"/>
        <w:left w:val="none" w:sz="0" w:space="0" w:color="auto"/>
        <w:bottom w:val="none" w:sz="0" w:space="0" w:color="auto"/>
        <w:right w:val="none" w:sz="0" w:space="0" w:color="auto"/>
      </w:divBdr>
    </w:div>
    <w:div w:id="1983072585">
      <w:bodyDiv w:val="1"/>
      <w:marLeft w:val="0"/>
      <w:marRight w:val="0"/>
      <w:marTop w:val="0"/>
      <w:marBottom w:val="0"/>
      <w:divBdr>
        <w:top w:val="none" w:sz="0" w:space="0" w:color="auto"/>
        <w:left w:val="none" w:sz="0" w:space="0" w:color="auto"/>
        <w:bottom w:val="none" w:sz="0" w:space="0" w:color="auto"/>
        <w:right w:val="none" w:sz="0" w:space="0" w:color="auto"/>
      </w:divBdr>
    </w:div>
    <w:div w:id="2028555035">
      <w:bodyDiv w:val="1"/>
      <w:marLeft w:val="0"/>
      <w:marRight w:val="0"/>
      <w:marTop w:val="0"/>
      <w:marBottom w:val="0"/>
      <w:divBdr>
        <w:top w:val="none" w:sz="0" w:space="0" w:color="auto"/>
        <w:left w:val="none" w:sz="0" w:space="0" w:color="auto"/>
        <w:bottom w:val="none" w:sz="0" w:space="0" w:color="auto"/>
        <w:right w:val="none" w:sz="0" w:space="0" w:color="auto"/>
      </w:divBdr>
    </w:div>
    <w:div w:id="2033065002">
      <w:bodyDiv w:val="1"/>
      <w:marLeft w:val="0"/>
      <w:marRight w:val="0"/>
      <w:marTop w:val="0"/>
      <w:marBottom w:val="0"/>
      <w:divBdr>
        <w:top w:val="none" w:sz="0" w:space="0" w:color="auto"/>
        <w:left w:val="none" w:sz="0" w:space="0" w:color="auto"/>
        <w:bottom w:val="none" w:sz="0" w:space="0" w:color="auto"/>
        <w:right w:val="none" w:sz="0" w:space="0" w:color="auto"/>
      </w:divBdr>
    </w:div>
    <w:div w:id="2055765805">
      <w:bodyDiv w:val="1"/>
      <w:marLeft w:val="0"/>
      <w:marRight w:val="0"/>
      <w:marTop w:val="0"/>
      <w:marBottom w:val="0"/>
      <w:divBdr>
        <w:top w:val="none" w:sz="0" w:space="0" w:color="auto"/>
        <w:left w:val="none" w:sz="0" w:space="0" w:color="auto"/>
        <w:bottom w:val="none" w:sz="0" w:space="0" w:color="auto"/>
        <w:right w:val="none" w:sz="0" w:space="0" w:color="auto"/>
      </w:divBdr>
    </w:div>
    <w:div w:id="2060275924">
      <w:bodyDiv w:val="1"/>
      <w:marLeft w:val="0"/>
      <w:marRight w:val="0"/>
      <w:marTop w:val="0"/>
      <w:marBottom w:val="0"/>
      <w:divBdr>
        <w:top w:val="none" w:sz="0" w:space="0" w:color="auto"/>
        <w:left w:val="none" w:sz="0" w:space="0" w:color="auto"/>
        <w:bottom w:val="none" w:sz="0" w:space="0" w:color="auto"/>
        <w:right w:val="none" w:sz="0" w:space="0" w:color="auto"/>
      </w:divBdr>
    </w:div>
    <w:div w:id="2061174322">
      <w:bodyDiv w:val="1"/>
      <w:marLeft w:val="0"/>
      <w:marRight w:val="0"/>
      <w:marTop w:val="0"/>
      <w:marBottom w:val="0"/>
      <w:divBdr>
        <w:top w:val="none" w:sz="0" w:space="0" w:color="auto"/>
        <w:left w:val="none" w:sz="0" w:space="0" w:color="auto"/>
        <w:bottom w:val="none" w:sz="0" w:space="0" w:color="auto"/>
        <w:right w:val="none" w:sz="0" w:space="0" w:color="auto"/>
      </w:divBdr>
    </w:div>
    <w:div w:id="2082410259">
      <w:bodyDiv w:val="1"/>
      <w:marLeft w:val="0"/>
      <w:marRight w:val="0"/>
      <w:marTop w:val="0"/>
      <w:marBottom w:val="0"/>
      <w:divBdr>
        <w:top w:val="none" w:sz="0" w:space="0" w:color="auto"/>
        <w:left w:val="none" w:sz="0" w:space="0" w:color="auto"/>
        <w:bottom w:val="none" w:sz="0" w:space="0" w:color="auto"/>
        <w:right w:val="none" w:sz="0" w:space="0" w:color="auto"/>
      </w:divBdr>
    </w:div>
    <w:div w:id="2087535656">
      <w:bodyDiv w:val="1"/>
      <w:marLeft w:val="0"/>
      <w:marRight w:val="0"/>
      <w:marTop w:val="0"/>
      <w:marBottom w:val="0"/>
      <w:divBdr>
        <w:top w:val="none" w:sz="0" w:space="0" w:color="auto"/>
        <w:left w:val="none" w:sz="0" w:space="0" w:color="auto"/>
        <w:bottom w:val="none" w:sz="0" w:space="0" w:color="auto"/>
        <w:right w:val="none" w:sz="0" w:space="0" w:color="auto"/>
      </w:divBdr>
    </w:div>
    <w:div w:id="2107992758">
      <w:bodyDiv w:val="1"/>
      <w:marLeft w:val="0"/>
      <w:marRight w:val="0"/>
      <w:marTop w:val="0"/>
      <w:marBottom w:val="0"/>
      <w:divBdr>
        <w:top w:val="none" w:sz="0" w:space="0" w:color="auto"/>
        <w:left w:val="none" w:sz="0" w:space="0" w:color="auto"/>
        <w:bottom w:val="none" w:sz="0" w:space="0" w:color="auto"/>
        <w:right w:val="none" w:sz="0" w:space="0" w:color="auto"/>
      </w:divBdr>
    </w:div>
    <w:div w:id="2131893293">
      <w:bodyDiv w:val="1"/>
      <w:marLeft w:val="0"/>
      <w:marRight w:val="0"/>
      <w:marTop w:val="0"/>
      <w:marBottom w:val="0"/>
      <w:divBdr>
        <w:top w:val="none" w:sz="0" w:space="0" w:color="auto"/>
        <w:left w:val="none" w:sz="0" w:space="0" w:color="auto"/>
        <w:bottom w:val="none" w:sz="0" w:space="0" w:color="auto"/>
        <w:right w:val="none" w:sz="0" w:space="0" w:color="auto"/>
      </w:divBdr>
    </w:div>
    <w:div w:id="213269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Cum16</b:Tag>
    <b:SourceType>ElectronicSource</b:SourceType>
    <b:Guid>{45E48B9C-493D-4AF3-B998-3D95897E1BB4}</b:Guid>
    <b:Title>The Reformation in Shakespeare</b:Title>
    <b:Year>2016</b:Year>
    <b:Author>
      <b:Author>
        <b:NameList>
          <b:Person>
            <b:Last>Cummings</b:Last>
            <b:First>Brian</b:First>
          </b:Person>
        </b:NameList>
      </b:Author>
    </b:Author>
    <b:Publisher>The British Library</b:Publisher>
    <b:URL>https://www.bl.uk/shakespeare/articles/the-reformation-in-shakespeare</b:URL>
    <b:RefOrder>1</b:RefOrder>
  </b:Source>
  <b:Source>
    <b:Tag>Mon96</b:Tag>
    <b:SourceType>Book</b:SourceType>
    <b:Guid>{ADA46961-4547-4FC2-8164-BCA8166D03E3}</b:Guid>
    <b:Title>The Purpose of Playing: Shakespeare and the Cultural Politics of the Elizabethan Theatre</b:Title>
    <b:City>Chicago &amp; London</b:City>
    <b:Publisher>The University of Chicago Press</b:Publisher>
    <b:Year>1996</b:Year>
    <b:Author>
      <b:Author>
        <b:NameList>
          <b:Person>
            <b:Last>Montrose</b:Last>
            <b:First>Louis</b:First>
          </b:Person>
        </b:NameList>
      </b:Author>
    </b:Author>
    <b:RefOrder>2</b:RefOrder>
  </b:Source>
  <b:Source>
    <b:Tag>Bon87</b:Tag>
    <b:SourceType>Book</b:SourceType>
    <b:Guid>{FB43E215-6EE9-4442-9333-2B6B3E91E76A}</b:Guid>
    <b:Author>
      <b:Author>
        <b:NameList>
          <b:Person>
            <b:Last>Bond</b:Last>
            <b:First>Ronald</b:First>
            <b:Middle>B.</b:Middle>
          </b:Person>
        </b:NameList>
      </b:Author>
    </b:Author>
    <b:Title>Certain Sermons or Homilies (1547) and A  Homily against Disobedience and Wilful Rebellion</b:Title>
    <b:Year>1987</b:Year>
    <b:City>Toronto</b:City>
    <b:Publisher>University of Toronto Press</b:Publisher>
    <b:RefOrder>16</b:RefOrder>
  </b:Source>
  <b:Source>
    <b:Tag>Cha23</b:Tag>
    <b:SourceType>Book</b:SourceType>
    <b:Guid>{4EDCFDE7-917B-40F2-A134-8D0A89C25CA7}</b:Guid>
    <b:Author>
      <b:Author>
        <b:NameList>
          <b:Person>
            <b:Last>Chambers</b:Last>
            <b:First>E.</b:First>
            <b:Middle>K.</b:Middle>
          </b:Person>
        </b:NameList>
      </b:Author>
    </b:Author>
    <b:Title>The Elizabethan Stage</b:Title>
    <b:Year>1923</b:Year>
    <b:City>United Kingdom</b:City>
    <b:Publisher>Oxford University Press</b:Publisher>
    <b:Volume>4</b:Volume>
    <b:Pages>269</b:Pages>
    <b:RefOrder>6</b:RefOrder>
  </b:Source>
  <b:Source>
    <b:Tag>Mul88</b:Tag>
    <b:SourceType>Book</b:SourceType>
    <b:Guid>{D6CF7253-42B0-47ED-B2E6-63AE0FCE81B9}</b:Guid>
    <b:Author>
      <b:Author>
        <b:NameList>
          <b:Person>
            <b:Last>Mullaney</b:Last>
            <b:First>Steven</b:First>
          </b:Person>
        </b:NameList>
      </b:Author>
    </b:Author>
    <b:Title>The Place of the Stage: License, Play, and Power in Renaissance England</b:Title>
    <b:Year>1988</b:Year>
    <b:City>Chicago</b:City>
    <b:Publisher>University of Chicago Press</b:Publisher>
    <b:RefOrder>8</b:RefOrder>
  </b:Source>
  <b:Source>
    <b:Tag>Hey33</b:Tag>
    <b:SourceType>BookSection</b:SourceType>
    <b:Guid>{7AF4613E-A6D0-4EEA-971B-F21F2AF2B746}</b:Guid>
    <b:Title>Prologue</b:Title>
    <b:Year>1633</b:Year>
    <b:Publisher>Nicholas Vavasour</b:Publisher>
    <b:Author>
      <b:Author>
        <b:NameList>
          <b:Person>
            <b:Last>Heywood</b:Last>
            <b:First>Thomas</b:First>
          </b:Person>
        </b:NameList>
      </b:Author>
    </b:Author>
    <b:BookTitle>The Jew of Malta</b:BookTitle>
    <b:RefOrder>13</b:RefOrder>
  </b:Source>
  <b:Source>
    <b:Tag>Fle64</b:Tag>
    <b:SourceType>BookSection</b:SourceType>
    <b:Guid>{B46FFBEF-91B4-4554-9697-E5561BA28075}</b:Guid>
    <b:Title>A Short Discourse of the English Stage</b:Title>
    <b:BookTitle>Love's Kingdom</b:BookTitle>
    <b:Year>1664</b:Year>
    <b:Author>
      <b:Author>
        <b:NameList>
          <b:Person>
            <b:Last>Flecknoe</b:Last>
            <b:First>Richard</b:First>
          </b:Person>
        </b:NameList>
      </b:Author>
    </b:Author>
    <b:RefOrder>14</b:RefOrder>
  </b:Source>
  <b:Source>
    <b:Tag>Sha00</b:Tag>
    <b:SourceType>Book</b:SourceType>
    <b:Guid>{33E7DA53-5817-45E2-84D5-3634D99FEE30}</b:Guid>
    <b:Title>Hamlet</b:Title>
    <b:Year>1600</b:Year>
    <b:Author>
      <b:Author>
        <b:NameList>
          <b:Person>
            <b:Last>Shakespeare</b:Last>
            <b:First>William</b:First>
          </b:Person>
        </b:NameList>
      </b:Author>
    </b:Author>
    <b:RefOrder>17</b:RefOrder>
  </b:Source>
  <b:Source>
    <b:Tag>Hey12</b:Tag>
    <b:SourceType>Book</b:SourceType>
    <b:Guid>{AF69D833-9B36-444C-8E0A-DAC3C17DB0FC}</b:Guid>
    <b:Author>
      <b:Author>
        <b:NameList>
          <b:Person>
            <b:Last>Heywood</b:Last>
            <b:First>Thomas</b:First>
          </b:Person>
        </b:NameList>
      </b:Author>
    </b:Author>
    <b:Title>An Apology for Actors</b:Title>
    <b:Year>1612</b:Year>
    <b:RefOrder>4</b:RefOrder>
  </b:Source>
  <b:Source>
    <b:Tag>GIG15</b:Tag>
    <b:SourceType>Book</b:SourceType>
    <b:Guid>{BF78FB09-266B-45DB-ABF8-DEE045C560DA}</b:Guid>
    <b:Author>
      <b:Author>
        <b:NameList>
          <b:Person>
            <b:Last>G.</b:Last>
            <b:First>I.</b:First>
            <b:Middle>[Greene, John]</b:Middle>
          </b:Person>
        </b:NameList>
      </b:Author>
    </b:Author>
    <b:Title>A Refutation of the Apology for Actors</b:Title>
    <b:Year>1615</b:Year>
    <b:RefOrder>3</b:RefOrder>
  </b:Source>
  <b:Source>
    <b:Tag>Whi04</b:Tag>
    <b:SourceType>BookSection</b:SourceType>
    <b:Guid>{D8996834-AE2C-4BFA-8DEE-650EB929E560}</b:Guid>
    <b:Title>Marlowe and the Politics of Religion</b:Title>
    <b:Year>2004</b:Year>
    <b:Publisher>Cambridge University Press</b:Publisher>
    <b:Author>
      <b:Author>
        <b:NameList>
          <b:Person>
            <b:Last>White</b:Last>
            <b:First>Paul</b:First>
            <b:Middle>Whitfield</b:Middle>
          </b:Person>
        </b:NameList>
      </b:Author>
      <b:Editor>
        <b:NameList>
          <b:Person>
            <b:Last>Cheney</b:Last>
            <b:First>Patrick</b:First>
          </b:Person>
        </b:NameList>
      </b:Editor>
    </b:Author>
    <b:Pages>79-86</b:Pages>
    <b:BookTitle>The Cambridge Companion to Christopher Marlowe</b:BookTitle>
    <b:City>Cambridge</b:City>
    <b:RefOrder>9</b:RefOrder>
  </b:Source>
  <b:Source>
    <b:Tag>Hug69</b:Tag>
    <b:SourceType>Book</b:SourceType>
    <b:Guid>{2994F544-3FE2-49F3-8594-1E658247D1E7}</b:Guid>
    <b:Title>Tudor Royal Proclamations</b:Title>
    <b:Year>1969</b:Year>
    <b:City>New Haven</b:City>
    <b:Publisher>Yale University Press</b:Publisher>
    <b:Author>
      <b:Author>
        <b:NameList>
          <b:Person>
            <b:Last>Hughes</b:Last>
            <b:First>Paul</b:First>
            <b:Middle>L</b:Middle>
          </b:Person>
          <b:Person>
            <b:Last>Larkin</b:Last>
            <b:First>James</b:First>
            <b:Middle>F.</b:Middle>
          </b:Person>
        </b:NameList>
      </b:Author>
    </b:Author>
    <b:Volume>2</b:Volume>
    <b:NumberVolumes>3</b:NumberVolumes>
    <b:RefOrder>5</b:RefOrder>
  </b:Source>
  <b:Source>
    <b:Tag>Fit46</b:Tag>
    <b:SourceType>JournalArticle</b:SourceType>
    <b:Guid>{78A01FEC-B67F-4BF7-A1F7-3A5C9E1A7BA4}</b:Guid>
    <b:Title>The Puritans and the Theatre</b:Title>
    <b:Year>1946</b:Year>
    <b:Author>
      <b:Author>
        <b:NameList>
          <b:Person>
            <b:Last>Fitzpatrick</b:Last>
            <b:First>Kathleen</b:First>
          </b:Person>
        </b:NameList>
      </b:Author>
    </b:Author>
    <b:JournalName>Australian Historical Studies</b:JournalName>
    <b:Pages>253-276</b:Pages>
    <b:Volume>3</b:Volume>
    <b:Issue>12</b:Issue>
    <b:RefOrder>7</b:RefOrder>
  </b:Source>
  <b:Source>
    <b:Tag>Mar05</b:Tag>
    <b:SourceType>Book</b:SourceType>
    <b:Guid>{759E3785-6B71-4ED8-BEC7-533E6C8C72C1}</b:Guid>
    <b:Title>Edward II</b:Title>
    <b:Year>2005</b:Year>
    <b:City>London</b:City>
    <b:Publisher>Bloomsbury Publishing</b:Publisher>
    <b:Author>
      <b:Author>
        <b:NameList>
          <b:Person>
            <b:Last>Marlowe</b:Last>
            <b:First>Christopher</b:First>
          </b:Person>
        </b:NameList>
      </b:Author>
      <b:Editor>
        <b:NameList>
          <b:Person>
            <b:Last>Wiggins</b:Last>
            <b:First>Martin</b:First>
          </b:Person>
          <b:Person>
            <b:Last>Lindsey</b:Last>
            <b:First>Robert</b:First>
          </b:Person>
        </b:NameList>
      </b:Editor>
    </b:Author>
    <b:RefOrder>18</b:RefOrder>
  </b:Source>
  <b:Source>
    <b:Tag>Wag00</b:Tag>
    <b:SourceType>Book</b:SourceType>
    <b:Guid>{291B1CFF-B097-454F-9EE0-52AC22380885}</b:Guid>
    <b:Author>
      <b:Author>
        <b:NameList>
          <b:Person>
            <b:Last>Wagner</b:Last>
            <b:First>John</b:First>
            <b:Middle>A.</b:Middle>
          </b:Person>
        </b:NameList>
      </b:Author>
    </b:Author>
    <b:Title>Historical Dictionary of the Elizabethan World: Britain, Ireland, Europe, and America</b:Title>
    <b:Year>2000</b:Year>
    <b:City>Oxford &amp; New York</b:City>
    <b:Publisher>Routledge</b:Publisher>
    <b:Pages>258</b:Pages>
    <b:RefOrder>10</b:RefOrder>
  </b:Source>
  <b:Source>
    <b:Tag>Mel20</b:Tag>
    <b:SourceType>BookSection</b:SourceType>
    <b:Guid>{4EA535D9-BC54-49AC-82FD-9F9D23EA1CCD}</b:Guid>
    <b:Author>
      <b:Author>
        <b:NameList>
          <b:Person>
            <b:Last>Melnikoff</b:Last>
            <b:First>Kirk</b:First>
          </b:Person>
        </b:NameList>
      </b:Author>
    </b:Author>
    <b:Title>Introduction</b:Title>
    <b:Year>2020</b:Year>
    <b:City>London</b:City>
    <b:Publisher>Bloomsbury Publishing</b:Publisher>
    <b:Pages>1-20</b:Pages>
    <b:BookTitle>Edward II: A Critical Reader</b:BookTitle>
    <b:RefOrder>11</b:RefOrder>
  </b:Source>
  <b:Source>
    <b:Tag>Gol10</b:Tag>
    <b:SourceType>Book</b:SourceType>
    <b:Guid>{C856E8E3-BAE5-403C-B370-88E6AE9B79B8}</b:Guid>
    <b:Title>Sodometries: Renaissance Texts, Modern Sexualities</b:Title>
    <b:Year>2010</b:Year>
    <b:City>New York</b:City>
    <b:Publisher>Fordham University Press</b:Publisher>
    <b:Author>
      <b:Author>
        <b:NameList>
          <b:Person>
            <b:Last>Goldberg</b:Last>
            <b:First>Jonathan</b:First>
          </b:Person>
        </b:NameList>
      </b:Author>
    </b:Author>
    <b:RefOrder>12</b:RefOrder>
  </b:Source>
  <b:Source>
    <b:Tag>Jon02</b:Tag>
    <b:SourceType>Book</b:SourceType>
    <b:Guid>{73A63976-3BB6-4D3D-9053-F2A566F6A3D9}</b:Guid>
    <b:Author>
      <b:Author>
        <b:NameList>
          <b:Person>
            <b:Last>Jonson</b:Last>
            <b:First>Ben</b:First>
          </b:Person>
        </b:NameList>
      </b:Author>
      <b:Editor>
        <b:NameList>
          <b:Person>
            <b:Last>Holdsworth</b:Last>
            <b:First>Roger</b:First>
            <b:Middle>Victor</b:Middle>
          </b:Person>
        </b:NameList>
      </b:Editor>
    </b:Author>
    <b:Title>Epicoene, or The Silent Woman</b:Title>
    <b:Year>2002</b:Year>
    <b:City>London</b:City>
    <b:Publisher>Bloomsbury Publishing</b:Publisher>
    <b:RefOrder>19</b:RefOrder>
  </b:Source>
  <b:Source>
    <b:Tag>Jon08</b:Tag>
    <b:SourceType>BookSection</b:SourceType>
    <b:Guid>{A56B3E4D-719A-4317-9271-E70BE0523C3F}</b:Guid>
    <b:Title>Introduction</b:Title>
    <b:Year>2008</b:Year>
    <b:Publisher>A &amp; C Black</b:Publisher>
    <b:Author>
      <b:Author>
        <b:NameList>
          <b:Person>
            <b:Last>Holdsworth</b:Last>
            <b:First>Roger</b:First>
            <b:Middle>Victor</b:Middle>
          </b:Person>
        </b:NameList>
      </b:Author>
      <b:Editor>
        <b:NameList>
          <b:Person>
            <b:Last>Holdsworth</b:Last>
            <b:First>Roger</b:First>
            <b:Middle>Victor</b:Middle>
          </b:Person>
        </b:NameList>
      </b:Editor>
    </b:Author>
    <b:BookTitle>Epicoene, or The Silent Woman</b:BookTitle>
    <b:RefOrder>15</b:RefOrder>
  </b:Source>
</b:Sources>
</file>

<file path=customXml/itemProps1.xml><?xml version="1.0" encoding="utf-8"?>
<ds:datastoreItem xmlns:ds="http://schemas.openxmlformats.org/officeDocument/2006/customXml" ds:itemID="{9172C4ED-9B3E-43FA-B807-1662475BA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7580</TotalTime>
  <Pages>10</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561</cp:revision>
  <dcterms:created xsi:type="dcterms:W3CDTF">2020-02-09T02:42:00Z</dcterms:created>
  <dcterms:modified xsi:type="dcterms:W3CDTF">2020-02-26T09:53:00Z</dcterms:modified>
</cp:coreProperties>
</file>