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公司主要从事机器人一体化关节模组及谐波减速机等核心零部件的研发、生产和销售，在机器人产业链中处于上游核心零部件制造环节。根据《国民经济行业分类》（GB/T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工业机器人行业规范条件（2024版）》将工业机器人关键零部件企业纳入适用范围，对研发创新、人才结构和质量保障提出要求，主营产品需取得中国机器人认证，行业的规范化程度随之提高。在技术方向方面，《人形机器人创新发展指导意见》将高力矩密度减速器、伺服驱动器等融合的高精度电驱动执行器列为重点攻关的部组件，《产业结构调整指导目录（2024年本）》将机器人用高精密减速器列入鼓励类，公司现有产品与上述方向一致。在评价依据方面，《人形机器人与具身智能标准体系（2026版）》提出到2028年完成100项以上重点标准，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1、所处行业的产业链情况</w:t>
      </w:r>
    </w:p>
    <w:p>
      <w:pPr>
        <w:spacing w:line="360" w:lineRule="auto" w:before="120"/>
        <w:ind w:firstLine="480"/>
        <w:jc w:val="both"/>
      </w:pPr>
      <w:r>
        <w:rPr>
          <w:rFonts w:ascii="Times New Roman" w:hAnsi="Times New Roman" w:eastAsia="宋体"/>
          <w:b w:val="0"/>
          <w:sz w:val="24"/>
        </w:rPr>
        <w:t>机器人产业链由上游基础材料与元器件、中游核心零部件与整机制造、下游应用场景构成。上游包括金属材料及工程材料、轴承和电子元器件；核心零部件环节涵盖减速机、电机、驱动器、编码器和力传感器，并由上述部件集成为一体化关节模组；整机环节包括人形机器人、协作机器人和工业机器人；下游应用覆盖工业制造、商业服务、医疗康复和科研教育等场景。</w:t>
      </w:r>
    </w:p>
    <w:p>
      <w:pPr>
        <w:spacing w:line="360" w:lineRule="auto" w:before="120"/>
        <w:ind w:firstLine="480"/>
        <w:jc w:val="both"/>
      </w:pPr>
      <w:r>
        <w:rPr>
          <w:rFonts w:ascii="Times New Roman" w:hAnsi="Times New Roman" w:eastAsia="宋体"/>
          <w:b w:val="0"/>
          <w:sz w:val="24"/>
        </w:rPr>
        <w:t>公司处于核心零部件环节，以一体化关节模组为主要产品形态。该环节向上对接材料与元器件供应，向下直接面向整机厂商，是连接基础制造能力与整机性能的中间环节。</w:t>
      </w:r>
    </w:p>
    <w:p>
      <w:pPr>
        <w:spacing w:line="360" w:lineRule="auto" w:before="120"/>
        <w:ind w:firstLine="482"/>
        <w:jc w:val="both"/>
      </w:pPr>
      <w:r>
        <w:rPr>
          <w:rFonts w:ascii="Times New Roman" w:hAnsi="Times New Roman" w:eastAsia="宋体"/>
          <w:b/>
          <w:sz w:val="24"/>
        </w:rPr>
        <w:t>2、一体化关节模组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图1  人形机器人硬件成本结构</w:t>
      </w:r>
    </w:p>
    <w:p>
      <w:pPr>
        <w:spacing w:before="120" w:after="60"/>
        <w:jc w:val="center"/>
        <w:keepNext/>
      </w:pPr>
      <w:r>
        <w:drawing>
          <wp:inline xmlns:a="http://schemas.openxmlformats.org/drawingml/2006/main" xmlns:pic="http://schemas.openxmlformats.org/drawingml/2006/picture">
            <wp:extent cx="5029200" cy="1978860"/>
            <wp:docPr id="1" name="Picture 1"/>
            <wp:cNvGraphicFramePr>
              <a:graphicFrameLocks noChangeAspect="1"/>
            </wp:cNvGraphicFramePr>
            <a:graphic>
              <a:graphicData uri="http://schemas.openxmlformats.org/drawingml/2006/picture">
                <pic:pic>
                  <pic:nvPicPr>
                    <pic:cNvPr id="0" name="fig2.png"/>
                    <pic:cNvPicPr/>
                  </pic:nvPicPr>
                  <pic:blipFill>
                    <a:blip r:embed="rId36"/>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成本方面，据觅途咨询测算，2025年特斯拉Optimus Gen2整机硬件成本约29万元，其中关节模组约15.8万元、占比约54%；该机型使用约28个关节模组，单个模组的平均成本约4,000元至6,500元。该机构同时判断，随着核心零部件国产化、结构集成化与装配自动化的推进，一体化关节模组的成本较当前水平仍有40%至60%的下降空间。</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图2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2" name="Picture 2"/>
            <wp:cNvGraphicFramePr>
              <a:graphicFrameLocks noChangeAspect="1"/>
            </wp:cNvGraphicFramePr>
            <a:graphic>
              <a:graphicData uri="http://schemas.openxmlformats.org/drawingml/2006/picture">
                <pic:pic>
                  <pic:nvPicPr>
                    <pic:cNvPr id="0" name="fig3.png"/>
                    <pic:cNvPicPr/>
                  </pic:nvPicPr>
                  <pic:blipFill>
                    <a:blip r:embed="rId37"/>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数据，2026年我国各类机器人用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技术方案上，旋转执行器按传动方式分为谐波减速机方案、行星减速机方案和准直驱方案等。谐波减速机方案属高减速比方案，结构紧凑、传动精度高，是肩、肘、腕、腰等上半身精密关节的主流方案。</w:t>
      </w:r>
    </w:p>
    <w:p>
      <w:pPr>
        <w:spacing w:line="360" w:lineRule="auto" w:before="120"/>
        <w:ind w:firstLine="482"/>
        <w:jc w:val="both"/>
      </w:pPr>
      <w:r>
        <w:rPr>
          <w:rFonts w:ascii="Times New Roman" w:hAnsi="Times New Roman" w:eastAsia="宋体"/>
          <w:b/>
          <w:sz w:val="24"/>
        </w:rPr>
        <w:t>3、谐波减速机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图3  全球谐波减速机产能</w:t>
      </w:r>
    </w:p>
    <w:p>
      <w:pPr>
        <w:spacing w:before="120" w:after="60"/>
        <w:jc w:val="center"/>
        <w:keepNext/>
      </w:pPr>
      <w:r>
        <w:drawing>
          <wp:inline xmlns:a="http://schemas.openxmlformats.org/drawingml/2006/main" xmlns:pic="http://schemas.openxmlformats.org/drawingml/2006/picture">
            <wp:extent cx="5029200" cy="2191225"/>
            <wp:docPr id="3" name="Picture 3"/>
            <wp:cNvGraphicFramePr>
              <a:graphicFrameLocks noChangeAspect="1"/>
            </wp:cNvGraphicFramePr>
            <a:graphic>
              <a:graphicData uri="http://schemas.openxmlformats.org/drawingml/2006/picture">
                <pic:pic>
                  <pic:nvPicPr>
                    <pic:cNvPr id="0" name="fig4.png"/>
                    <pic:cNvPicPr/>
                  </pic:nvPicPr>
                  <pic:blipFill>
                    <a:blip r:embed="rId38"/>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4、下游行业</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需求放量的前提是人形机器人相对于人工岗位具备经济替代性。随着执行器自研、关键零部件垂直整合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图4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4" name="Picture 4"/>
            <wp:cNvGraphicFramePr>
              <a:graphicFrameLocks noChangeAspect="1"/>
            </wp:cNvGraphicFramePr>
            <a:graphic>
              <a:graphicData uri="http://schemas.openxmlformats.org/drawingml/2006/picture">
                <pic:pic>
                  <pic:nvPicPr>
                    <pic:cNvPr id="0" name="fig5.png"/>
                    <pic:cNvPicPr/>
                  </pic:nvPicPr>
                  <pic:blipFill>
                    <a:blip r:embed="rId39"/>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从产业阶段看，觅途咨询将2025年界定为人形机器人小批量产元年、2026年为规模量产元年。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公司产品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w:t>
      </w:r>
    </w:p>
    <w:p>
      <w:pPr>
        <w:spacing w:line="360" w:lineRule="auto" w:before="120"/>
        <w:ind w:firstLine="480"/>
        <w:jc w:val="both"/>
      </w:pPr>
      <w:r>
        <w:rPr>
          <w:rFonts w:ascii="Times New Roman" w:hAnsi="Times New Roman" w:eastAsia="宋体"/>
          <w:b w:val="0"/>
          <w:sz w:val="24"/>
        </w:rPr>
        <w:t>上游原材料价格随大宗商品周期波动。据灼识咨询统计，钢材价格按上海期货交易所螺纹钢指数计，由2020年的约777.3升至2021年的约1,066.6，2024年回落至762.9；铝材价格按南华上海铝指数计，由2020年的约650.1升至2024年的约1,096.5；轴承价格按中国海关出口统计数据计，由2020年的约每吨5,800美元升至2021年的约每吨6,900美元，2024年回落至约每吨6,300美元。上述价格的周期性波动会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作为关节模组中价值量最高的部件，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根据麦肯锡的研究，人形机器人执行器领域尚不存在类似汽车发动机供应商的角色，行业处于前模块化阶段；整机厂商选择自研，主要原因是可选供应商有限、需要控制成本与性能、保护知识产权并加快迭代，而非长期的战略偏好。该研究同时指出，整机厂商目前难以提供供应商投入大规模研发与工装所需的长期采购量承诺，因此自研格局将持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觅途咨询将产业价值中心的迁移划分为三个阶段：2025年以前为技术验证阶段，价值中心在整机厂；2026年至2030年为规模量产阶段，整机厂与关节模组厂商共同主导；2030年以后进入产业成熟阶段，由关节模组一级供应商主导。这一转变的成立需要三个前提：下游出货量达到可预测的规模、关节模组的接口与规格形成一定程度的标准化、供应商具备稳定的批量交付与一致性保障能力。更可能的形态是自研与外购并行，整机厂商在差异化环节保留自研，在标准化程度较高的规格上转向外购。对公司而言，未来数年是进入头部整机厂商供应体系的窗口期。</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产业政策持续支持核心零部件攻关。《人形机器人创新发展指导意见》将高力矩密度减速器与伺服驱动器融合的高精度电驱动执行器列为重点攻关方向，《产业结构调整指导目录（2024年本）》将机器人用高精密减速器列入鼓励类，核心零部件环节获得持续的政策支持。</w:t>
      </w:r>
    </w:p>
    <w:p>
      <w:pPr>
        <w:spacing w:line="360" w:lineRule="auto" w:before="120"/>
        <w:ind w:firstLine="480"/>
        <w:jc w:val="both"/>
      </w:pPr>
      <w:r>
        <w:rPr>
          <w:rFonts w:ascii="Times New Roman" w:hAnsi="Times New Roman" w:eastAsia="宋体"/>
          <w:b w:val="0"/>
          <w:sz w:val="24"/>
        </w:rPr>
        <w:t>第二，下游进入规模化量产阶段带来增量需求。2026年全球头部整机厂商的产能规划合计突破10万台、实际交付预计达到4万至6万台，同年我国机器人关节模组出货量预计达到156万台，下游放量直接转化为本环节的订单增量。</w:t>
      </w:r>
    </w:p>
    <w:p>
      <w:pPr>
        <w:spacing w:line="360" w:lineRule="auto" w:before="120"/>
        <w:ind w:firstLine="480"/>
        <w:jc w:val="both"/>
      </w:pPr>
      <w:r>
        <w:rPr>
          <w:rFonts w:ascii="Times New Roman" w:hAnsi="Times New Roman" w:eastAsia="宋体"/>
          <w:b w:val="0"/>
          <w:sz w:val="24"/>
        </w:rPr>
        <w:t>第三，国产供应链配套成熟支撑成本下降。人形机器人核心零部件整体国产化率已提升至75%，国内在精密轴承、功率电子等上游环节具备规模化供应能力，为本环节企业的成本控制和交付效率提供了支撑。</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第一，下游商业化节奏存在不确定性。人形机器人处于产业化早期，各机构对出货量的统计口径和预测结果差异较大；地方政府及国资平台是当前的重要采购方，需求节奏与产业政策和财政安排相关。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准直驱方案已完成工程化验证，预计2027年至2028年将占据下肢关节30%以上的份额；肩、肘、腕等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从供货方式看，根据灼识咨询的研究，在人形机器人领域，关节模组主要由第三方供应商提供；在工业机器人领域，关节模组则多由整机厂商自行研发与集成。该环节目前整体规模有限，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表明本环节的竞争已转向规模与成本，对企业的供应链管理和量产成本控制能力提出了更高要求。</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2、行业内主要企业</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根据灼识咨询的研究，本行业的竞争壁垒与关键成功因素包括技术创新带来的成本优化、快速交付与定制化能力、产品性能的领先性、全产业链自研与垂直整合能力、提供全栈解决方案的能力以及核心客户资源的深度绑定。觅途咨询则将一体化关节模组的核心壁垒归纳为设计、工艺、标定和供应链四个方面。就新进入者而言，本行业的主要壁垒体现为以下五类。</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齿形设计、柔轮材料与热处理工艺以及精密加工工艺需要长期积累，相关工艺参数难以通过逆向方式获得。进入规模化量产阶段后，自动化装配能力和良品率水平直接决定产品一致性与成本，高精度加工设备、自动化装配产线和检测体系需要持续的资金投入。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占执行器成本的30%至50%，具备谐波减速机自研与量产能力的关节模组厂商在成本控制上具有起点优势；公司在谐波减速机之外进一步实现了驱动器、编码器和力传感器组件的自研，自研范围覆盖关节模组的主要构成部件。</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从收入构成看，2025年和2026年1-7月，公司一体化关节模组收入占当期营业收入的比重分别为47.80%和82.55%，谐波减速机及传动总成的比重分别为10.53%和5.47%，产品结构已由核心零部件与多品类模组并重转为以一体化关节模组为主。根据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