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公司主要从事机器人一体化关节模组及谐波减速机等核心零部件的研发、生产和销售，在机器人产业链中处于核心零部件环节。根据《国民经济行业分类》（GB/T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表2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表3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关键零部件企业已被纳入行业规范管理，研发投入、人才结构和质量保障均设有基准要求，主营产品需通过机器人认证，行业的规范化程度随之提高。在技术方向方面，高精度电驱动执行器与高精密减速器同时被列为重点攻关方向和鼓励类产业，公司现有产品与政策导向一致。在评价依据方面，人形机器人与具身智能的标准体系正在成体系推进，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旋转执行器按驱动与传动方案的不同，可进一步划分为直驱、准直驱、谐波减速机、RV减速机和行星减速机等类型。</w:t>
      </w:r>
    </w:p>
    <w:p>
      <w:pPr>
        <w:spacing w:before="120" w:after="60"/>
        <w:jc w:val="center"/>
        <w:keepNext/>
      </w:pPr>
      <w:r>
        <w:rPr>
          <w:rFonts w:ascii="Times New Roman" w:hAnsi="Times New Roman" w:eastAsia="宋体"/>
          <w:b/>
          <w:sz w:val="21"/>
        </w:rPr>
        <w:t>表4  一体化关节模组的主要类型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41"/>
        <w:gridCol w:w="2257"/>
        <w:gridCol w:w="3251"/>
        <w:gridCol w:w="2257"/>
      </w:tblGrid>
      <w:tr>
        <w:trPr>
          <w:cantSplit/>
          <w:trHeight w:val="397"/>
          <w:tblHeader/>
          <w:jc w:val="center"/>
        </w:trPr>
        <w:tc>
          <w:tcPr>
            <w:tcW w:w="541" w:type="dxa"/>
            <w:vAlign w:val="center"/>
          </w:tcPr>
          <w:p>
            <w:pPr>
              <w:spacing w:before="0" w:after="0"/>
              <w:jc w:val="center"/>
              <w:keepNext/>
            </w:pPr>
            <w:r>
              <w:rPr>
                <w:rFonts w:ascii="Times New Roman" w:hAnsi="Times New Roman" w:eastAsia="宋体"/>
                <w:b/>
                <w:sz w:val="21"/>
              </w:rPr>
              <w:t>序号</w:t>
            </w:r>
          </w:p>
        </w:tc>
        <w:tc>
          <w:tcPr>
            <w:tcW w:w="2257" w:type="dxa"/>
            <w:vAlign w:val="center"/>
          </w:tcPr>
          <w:p>
            <w:pPr>
              <w:spacing w:before="0" w:after="0"/>
              <w:jc w:val="center"/>
              <w:keepNext/>
            </w:pPr>
            <w:r>
              <w:rPr>
                <w:rFonts w:ascii="Times New Roman" w:hAnsi="Times New Roman" w:eastAsia="宋体"/>
                <w:b/>
                <w:sz w:val="21"/>
              </w:rPr>
              <w:t>类型</w:t>
            </w:r>
          </w:p>
        </w:tc>
        <w:tc>
          <w:tcPr>
            <w:tcW w:w="3251" w:type="dxa"/>
            <w:vAlign w:val="center"/>
          </w:tcPr>
          <w:p>
            <w:pPr>
              <w:spacing w:before="0" w:after="0"/>
              <w:jc w:val="center"/>
              <w:keepNext/>
            </w:pPr>
            <w:r>
              <w:rPr>
                <w:rFonts w:ascii="Times New Roman" w:hAnsi="Times New Roman" w:eastAsia="宋体"/>
                <w:b/>
                <w:sz w:val="21"/>
              </w:rPr>
              <w:t>核心特点</w:t>
            </w:r>
          </w:p>
        </w:tc>
        <w:tc>
          <w:tcPr>
            <w:tcW w:w="2257" w:type="dxa"/>
            <w:vAlign w:val="center"/>
          </w:tcPr>
          <w:p>
            <w:pPr>
              <w:spacing w:before="0" w:after="0"/>
              <w:jc w:val="center"/>
              <w:keepNext/>
            </w:pPr>
            <w:r>
              <w:rPr>
                <w:rFonts w:ascii="Times New Roman" w:hAnsi="Times New Roman" w:eastAsia="宋体"/>
                <w:b/>
                <w:sz w:val="21"/>
              </w:rPr>
              <w:t>主要适用场景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1</w:t>
            </w:r>
          </w:p>
        </w:tc>
        <w:tc>
          <w:tcPr>
            <w:tcW w:w="2257" w:type="dxa"/>
            <w:vAlign w:val="center"/>
          </w:tcPr>
          <w:p>
            <w:pPr>
              <w:spacing w:before="0" w:after="0"/>
            </w:pPr>
            <w:r>
              <w:rPr>
                <w:rFonts w:ascii="Times New Roman" w:hAnsi="Times New Roman" w:eastAsia="宋体"/>
                <w:b w:val="0"/>
                <w:sz w:val="21"/>
              </w:rPr>
              <w:t>旋转执行器·直驱</w:t>
            </w:r>
          </w:p>
        </w:tc>
        <w:tc>
          <w:tcPr>
            <w:tcW w:w="3251" w:type="dxa"/>
            <w:vAlign w:val="center"/>
          </w:tcPr>
          <w:p>
            <w:pPr>
              <w:spacing w:before="0" w:after="0"/>
            </w:pPr>
            <w:r>
              <w:rPr>
                <w:rFonts w:ascii="Times New Roman" w:hAnsi="Times New Roman" w:eastAsia="宋体"/>
                <w:b w:val="0"/>
                <w:sz w:val="21"/>
              </w:rPr>
              <w:t>无减速环节，零背隙、响应快</w:t>
            </w:r>
          </w:p>
        </w:tc>
        <w:tc>
          <w:tcPr>
            <w:tcW w:w="2257" w:type="dxa"/>
            <w:vAlign w:val="center"/>
          </w:tcPr>
          <w:p>
            <w:pPr>
              <w:spacing w:before="0" w:after="0"/>
            </w:pPr>
            <w:r>
              <w:rPr>
                <w:rFonts w:ascii="Times New Roman" w:hAnsi="Times New Roman" w:eastAsia="宋体"/>
                <w:b w:val="0"/>
                <w:sz w:val="21"/>
              </w:rPr>
              <w:t>精密力控、小负载</w:t>
            </w:r>
          </w:p>
        </w:tc>
      </w:tr>
      <w:tr>
        <w:trPr>
          <w:cantSplit/>
          <w:trHeight w:val="397"/>
          <w:jc w:val="center"/>
        </w:trPr>
        <w:tc>
          <w:tcPr>
            <w:tcW w:w="541" w:type="dxa"/>
            <w:vAlign w:val="center"/>
          </w:tcPr>
          <w:p>
            <w:pPr>
              <w:spacing w:before="0" w:after="0"/>
            </w:pPr>
            <w:r>
              <w:rPr>
                <w:rFonts w:ascii="Times New Roman" w:hAnsi="Times New Roman" w:eastAsia="宋体"/>
                <w:b w:val="0"/>
                <w:sz w:val="21"/>
              </w:rPr>
              <w:t>2</w:t>
            </w:r>
          </w:p>
        </w:tc>
        <w:tc>
          <w:tcPr>
            <w:tcW w:w="2257" w:type="dxa"/>
            <w:vAlign w:val="center"/>
          </w:tcPr>
          <w:p>
            <w:pPr>
              <w:spacing w:before="0" w:after="0"/>
            </w:pPr>
            <w:r>
              <w:rPr>
                <w:rFonts w:ascii="Times New Roman" w:hAnsi="Times New Roman" w:eastAsia="宋体"/>
                <w:b w:val="0"/>
                <w:sz w:val="21"/>
              </w:rPr>
              <w:t>旋转执行器·准直驱</w:t>
            </w:r>
          </w:p>
        </w:tc>
        <w:tc>
          <w:tcPr>
            <w:tcW w:w="3251" w:type="dxa"/>
            <w:vAlign w:val="center"/>
          </w:tcPr>
          <w:p>
            <w:pPr>
              <w:spacing w:before="0" w:after="0"/>
            </w:pPr>
            <w:r>
              <w:rPr>
                <w:rFonts w:ascii="Times New Roman" w:hAnsi="Times New Roman" w:eastAsia="宋体"/>
                <w:b w:val="0"/>
                <w:sz w:val="21"/>
              </w:rPr>
              <w:t>低减速比，效率高、力控性能好</w:t>
            </w:r>
          </w:p>
        </w:tc>
        <w:tc>
          <w:tcPr>
            <w:tcW w:w="2257" w:type="dxa"/>
            <w:vAlign w:val="center"/>
          </w:tcPr>
          <w:p>
            <w:pPr>
              <w:spacing w:before="0" w:after="0"/>
            </w:pPr>
            <w:r>
              <w:rPr>
                <w:rFonts w:ascii="Times New Roman" w:hAnsi="Times New Roman" w:eastAsia="宋体"/>
                <w:b w:val="0"/>
                <w:sz w:val="21"/>
              </w:rPr>
              <w:t>中等负载、人机交互</w:t>
            </w:r>
          </w:p>
        </w:tc>
      </w:tr>
      <w:tr>
        <w:trPr>
          <w:cantSplit/>
          <w:trHeight w:val="397"/>
          <w:jc w:val="center"/>
        </w:trPr>
        <w:tc>
          <w:tcPr>
            <w:tcW w:w="541" w:type="dxa"/>
            <w:vAlign w:val="center"/>
          </w:tcPr>
          <w:p>
            <w:pPr>
              <w:spacing w:before="0" w:after="0"/>
            </w:pPr>
            <w:r>
              <w:rPr>
                <w:rFonts w:ascii="Times New Roman" w:hAnsi="Times New Roman" w:eastAsia="宋体"/>
                <w:b w:val="0"/>
                <w:sz w:val="21"/>
              </w:rPr>
              <w:t>3</w:t>
            </w:r>
          </w:p>
        </w:tc>
        <w:tc>
          <w:tcPr>
            <w:tcW w:w="2257" w:type="dxa"/>
            <w:vAlign w:val="center"/>
          </w:tcPr>
          <w:p>
            <w:pPr>
              <w:spacing w:before="0" w:after="0"/>
            </w:pPr>
            <w:r>
              <w:rPr>
                <w:rFonts w:ascii="Times New Roman" w:hAnsi="Times New Roman" w:eastAsia="宋体"/>
                <w:b w:val="0"/>
                <w:sz w:val="21"/>
              </w:rPr>
              <w:t>旋转执行器·谐波减速机</w:t>
            </w:r>
          </w:p>
        </w:tc>
        <w:tc>
          <w:tcPr>
            <w:tcW w:w="3251" w:type="dxa"/>
            <w:vAlign w:val="center"/>
          </w:tcPr>
          <w:p>
            <w:pPr>
              <w:spacing w:before="0" w:after="0"/>
            </w:pPr>
            <w:r>
              <w:rPr>
                <w:rFonts w:ascii="Times New Roman" w:hAnsi="Times New Roman" w:eastAsia="宋体"/>
                <w:b w:val="0"/>
                <w:sz w:val="21"/>
              </w:rPr>
              <w:t>高减速比，结构紧凑、传动精度高</w:t>
            </w:r>
          </w:p>
        </w:tc>
        <w:tc>
          <w:tcPr>
            <w:tcW w:w="2257" w:type="dxa"/>
            <w:vAlign w:val="center"/>
          </w:tcPr>
          <w:p>
            <w:pPr>
              <w:spacing w:before="0" w:after="0"/>
            </w:pPr>
            <w:r>
              <w:rPr>
                <w:rFonts w:ascii="Times New Roman" w:hAnsi="Times New Roman" w:eastAsia="宋体"/>
                <w:b w:val="0"/>
                <w:sz w:val="21"/>
              </w:rPr>
              <w:t>上肢轻载精密关节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4</w:t>
            </w:r>
          </w:p>
        </w:tc>
        <w:tc>
          <w:tcPr>
            <w:tcW w:w="2257" w:type="dxa"/>
            <w:vAlign w:val="center"/>
          </w:tcPr>
          <w:p>
            <w:pPr>
              <w:spacing w:before="0" w:after="0"/>
            </w:pPr>
            <w:r>
              <w:rPr>
                <w:rFonts w:ascii="Times New Roman" w:hAnsi="Times New Roman" w:eastAsia="宋体"/>
                <w:b w:val="0"/>
                <w:sz w:val="21"/>
              </w:rPr>
              <w:t>旋转执行器·RV减速机</w:t>
            </w:r>
          </w:p>
        </w:tc>
        <w:tc>
          <w:tcPr>
            <w:tcW w:w="3251" w:type="dxa"/>
            <w:vAlign w:val="center"/>
          </w:tcPr>
          <w:p>
            <w:pPr>
              <w:spacing w:before="0" w:after="0"/>
            </w:pPr>
            <w:r>
              <w:rPr>
                <w:rFonts w:ascii="Times New Roman" w:hAnsi="Times New Roman" w:eastAsia="宋体"/>
                <w:b w:val="0"/>
                <w:sz w:val="21"/>
              </w:rPr>
              <w:t>高减速比，抗冲击、输出扭矩大</w:t>
            </w:r>
          </w:p>
        </w:tc>
        <w:tc>
          <w:tcPr>
            <w:tcW w:w="2257" w:type="dxa"/>
            <w:vAlign w:val="center"/>
          </w:tcPr>
          <w:p>
            <w:pPr>
              <w:spacing w:before="0" w:after="0"/>
            </w:pPr>
            <w:r>
              <w:rPr>
                <w:rFonts w:ascii="Times New Roman" w:hAnsi="Times New Roman" w:eastAsia="宋体"/>
                <w:b w:val="0"/>
                <w:sz w:val="21"/>
              </w:rPr>
              <w:t>下肢重载关节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5</w:t>
            </w:r>
          </w:p>
        </w:tc>
        <w:tc>
          <w:tcPr>
            <w:tcW w:w="2257" w:type="dxa"/>
            <w:vAlign w:val="center"/>
          </w:tcPr>
          <w:p>
            <w:pPr>
              <w:spacing w:before="0" w:after="0"/>
            </w:pPr>
            <w:r>
              <w:rPr>
                <w:rFonts w:ascii="Times New Roman" w:hAnsi="Times New Roman" w:eastAsia="宋体"/>
                <w:b w:val="0"/>
                <w:sz w:val="21"/>
              </w:rPr>
              <w:t>旋转执行器·行星减速机</w:t>
            </w:r>
          </w:p>
        </w:tc>
        <w:tc>
          <w:tcPr>
            <w:tcW w:w="3251" w:type="dxa"/>
            <w:vAlign w:val="center"/>
          </w:tcPr>
          <w:p>
            <w:pPr>
              <w:spacing w:before="0" w:after="0"/>
            </w:pPr>
            <w:r>
              <w:rPr>
                <w:rFonts w:ascii="Times New Roman" w:hAnsi="Times New Roman" w:eastAsia="宋体"/>
                <w:b w:val="0"/>
                <w:sz w:val="21"/>
              </w:rPr>
              <w:t>结构成熟、成本较低、通用性强</w:t>
            </w:r>
          </w:p>
        </w:tc>
        <w:tc>
          <w:tcPr>
            <w:tcW w:w="2257" w:type="dxa"/>
            <w:vAlign w:val="center"/>
          </w:tcPr>
          <w:p>
            <w:pPr>
              <w:spacing w:before="0" w:after="0"/>
            </w:pPr>
            <w:r>
              <w:rPr>
                <w:rFonts w:ascii="Times New Roman" w:hAnsi="Times New Roman" w:eastAsia="宋体"/>
                <w:b w:val="0"/>
                <w:sz w:val="21"/>
              </w:rPr>
              <w:t>成本敏感的通用场景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6</w:t>
            </w:r>
          </w:p>
        </w:tc>
        <w:tc>
          <w:tcPr>
            <w:tcW w:w="2257" w:type="dxa"/>
            <w:vAlign w:val="center"/>
          </w:tcPr>
          <w:p>
            <w:pPr>
              <w:spacing w:before="0" w:after="0"/>
            </w:pPr>
            <w:r>
              <w:rPr>
                <w:rFonts w:ascii="Times New Roman" w:hAnsi="Times New Roman" w:eastAsia="宋体"/>
                <w:b w:val="0"/>
                <w:sz w:val="21"/>
              </w:rPr>
              <w:t>线性执行器·丝杠传动</w:t>
            </w:r>
          </w:p>
        </w:tc>
        <w:tc>
          <w:tcPr>
            <w:tcW w:w="3251" w:type="dxa"/>
            <w:vAlign w:val="center"/>
          </w:tcPr>
          <w:p>
            <w:pPr>
              <w:spacing w:before="0" w:after="0"/>
            </w:pPr>
            <w:r>
              <w:rPr>
                <w:rFonts w:ascii="Times New Roman" w:hAnsi="Times New Roman" w:eastAsia="宋体"/>
                <w:b w:val="0"/>
                <w:sz w:val="21"/>
              </w:rPr>
              <w:t>直线推力大、刚性好</w:t>
            </w:r>
          </w:p>
        </w:tc>
        <w:tc>
          <w:tcPr>
            <w:tcW w:w="2257" w:type="dxa"/>
            <w:vAlign w:val="center"/>
          </w:tcPr>
          <w:p>
            <w:pPr>
              <w:spacing w:before="0" w:after="0"/>
            </w:pPr>
            <w:r>
              <w:rPr>
                <w:rFonts w:ascii="Times New Roman" w:hAnsi="Times New Roman" w:eastAsia="宋体"/>
                <w:b w:val="0"/>
                <w:sz w:val="21"/>
              </w:rPr>
              <w:t>膝、踝、髋等伸缩重载关节</w:t>
            </w:r>
          </w:p>
        </w:tc>
      </w:tr>
    </w:tbl>
    <w:p>
      <w:pPr>
        <w:spacing w:before="0" w:after="120"/>
        <w:jc w:val="both"/>
      </w:pPr>
      <w:r>
        <w:rPr>
          <w:rFonts w:ascii="Times New Roman" w:hAnsi="Times New Roman" w:eastAsia="宋体"/>
          <w:b w:val="0"/>
          <w:sz w:val="21"/>
        </w:rPr>
        <w:t>资料来源：觅途咨询</w:t>
      </w:r>
    </w:p>
    <w:p>
      <w:pPr>
        <w:spacing w:line="360" w:lineRule="auto" w:before="120"/>
        <w:ind w:firstLine="480"/>
        <w:jc w:val="both"/>
      </w:pPr>
      <w:r>
        <w:rPr>
          <w:rFonts w:ascii="Times New Roman" w:hAnsi="Times New Roman" w:eastAsia="宋体"/>
          <w:b w:val="0"/>
          <w:sz w:val="24"/>
        </w:rPr>
        <w:t>从整机的应用部位看，肩、肘、腕等上半身精密关节以谐波减速机方案为主，对传动精度和结构紧凑性的要求最高；髋、膝、踝等下半身关节承担支撑与动态平衡功能，准直驱方案已完成工程化验证并在头部机型上批量应用；腰部和髋部的大扭矩场景中，行星滚柱丝杠受成本限制，目前主要用于重载工业机器人；灵巧手和踝关节则有企业在探索直驱方案。</w:t>
      </w:r>
    </w:p>
    <w:p>
      <w:pPr>
        <w:spacing w:line="360" w:lineRule="auto" w:before="120"/>
        <w:ind w:firstLine="480"/>
        <w:jc w:val="both"/>
      </w:pPr>
      <w:r>
        <w:rPr>
          <w:rFonts w:ascii="Times New Roman" w:hAnsi="Times New Roman" w:eastAsia="宋体"/>
          <w:b w:val="0"/>
          <w:sz w:val="24"/>
        </w:rPr>
        <w:t>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图1  人形机器人硬件成本结构</w:t>
      </w:r>
    </w:p>
    <w:p>
      <w:pPr>
        <w:spacing w:before="120" w:after="60"/>
        <w:jc w:val="center"/>
        <w:keepNext/>
      </w:pPr>
      <w:r>
        <w:drawing>
          <wp:inline xmlns:a="http://schemas.openxmlformats.org/drawingml/2006/main" xmlns:pic="http://schemas.openxmlformats.org/drawingml/2006/picture">
            <wp:extent cx="5029200" cy="1978860"/>
            <wp:docPr id="1" name="Picture 1"/>
            <wp:cNvGraphicFramePr>
              <a:graphicFrameLocks noChangeAspect="1"/>
            </wp:cNvGraphicFramePr>
            <a:graphic>
              <a:graphicData uri="http://schemas.openxmlformats.org/drawingml/2006/picture">
                <pic:pic>
                  <pic:nvPicPr>
                    <pic:cNvPr id="0" name="fig2.png"/>
                    <pic:cNvPicPr/>
                  </pic:nvPicPr>
                  <pic:blipFill>
                    <a:blip r:embed="rId36"/>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成本方面，据觅途咨询测算，2025年特斯拉Optimus Gen2整机硬件成本约29万元，其中关节模组约15.8万元、占比约54%；该机型使用约28个关节模组，单个模组的平均成本约4,000元至6,500元。该机构同时判断，随着核心零部件国产化、结构集成化与装配自动化的推进，一体化关节模组的成本较当前水平仍有40%至60%的下降空间。</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图2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2" name="Picture 2"/>
            <wp:cNvGraphicFramePr>
              <a:graphicFrameLocks noChangeAspect="1"/>
            </wp:cNvGraphicFramePr>
            <a:graphic>
              <a:graphicData uri="http://schemas.openxmlformats.org/drawingml/2006/picture">
                <pic:pic>
                  <pic:nvPicPr>
                    <pic:cNvPr id="0" name="fig3.png"/>
                    <pic:cNvPicPr/>
                  </pic:nvPicPr>
                  <pic:blipFill>
                    <a:blip r:embed="rId37"/>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数据，2026年我国各类机器人用关节模组出货量预计达到156万台，对应市场规模约32亿元，2030年市场规模预计突破100亿元。</w:t>
      </w:r>
    </w:p>
    <w:p>
      <w:pPr>
        <w:spacing w:line="360" w:lineRule="auto" w:before="120"/>
        <w:ind w:firstLine="480"/>
        <w:jc w:val="both"/>
      </w:pPr>
      <w:r>
        <w:rPr>
          <w:rFonts w:ascii="Times New Roman" w:hAnsi="Times New Roman" w:eastAsia="宋体"/>
          <w:b w:val="0"/>
          <w:sz w:val="24"/>
        </w:rPr>
        <w:t>从产品形态看，本环节经历了四个演进阶段：早期以电机、减速机等单一零部件分别供货；随后进入机电一体化阶段，扭矩密度提升与轻量化设计成为重点；当前处于关节模组阶段，驱控一体、出厂标定、热管理协调和模块化接口成为标准配置；下一阶段将向标准化运动执行平台演进，平台化设计、自动化量产和全生命周期管理构成新的能力要求。</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图3  全球谐波减速机产能</w:t>
      </w:r>
    </w:p>
    <w:p>
      <w:pPr>
        <w:spacing w:before="120" w:after="60"/>
        <w:jc w:val="center"/>
        <w:keepNext/>
      </w:pPr>
      <w:r>
        <w:drawing>
          <wp:inline xmlns:a="http://schemas.openxmlformats.org/drawingml/2006/main" xmlns:pic="http://schemas.openxmlformats.org/drawingml/2006/picture">
            <wp:extent cx="5029200" cy="2191225"/>
            <wp:docPr id="3" name="Picture 3"/>
            <wp:cNvGraphicFramePr>
              <a:graphicFrameLocks noChangeAspect="1"/>
            </wp:cNvGraphicFramePr>
            <a:graphic>
              <a:graphicData uri="http://schemas.openxmlformats.org/drawingml/2006/picture">
                <pic:pic>
                  <pic:nvPicPr>
                    <pic:cNvPr id="0" name="fig4.png"/>
                    <pic:cNvPicPr/>
                  </pic:nvPicPr>
                  <pic:blipFill>
                    <a:blip r:embed="rId38"/>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提升至75%，谐波减速机的国产化进程在各核心零部件中处于领先位置。</w:t>
      </w:r>
    </w:p>
    <w:p>
      <w:pPr>
        <w:spacing w:line="360" w:lineRule="auto" w:before="120"/>
        <w:ind w:firstLine="482"/>
        <w:jc w:val="both"/>
      </w:pPr>
      <w:r>
        <w:rPr>
          <w:rFonts w:ascii="Times New Roman" w:hAnsi="Times New Roman" w:eastAsia="宋体"/>
          <w:b/>
          <w:sz w:val="24"/>
        </w:rPr>
        <w:t>3、所处行业的产业链情况</w:t>
      </w:r>
    </w:p>
    <w:p>
      <w:pPr>
        <w:spacing w:line="360" w:lineRule="auto" w:before="120"/>
        <w:ind w:firstLine="480"/>
        <w:jc w:val="both"/>
      </w:pPr>
      <w:r>
        <w:rPr>
          <w:rFonts w:ascii="Times New Roman" w:hAnsi="Times New Roman" w:eastAsia="宋体"/>
          <w:b w:val="0"/>
          <w:sz w:val="24"/>
        </w:rPr>
        <w:t>一体化关节模组的产业链由上游基础材料与通用零部件、中游核心零部件与关节模组、下游机器人整机及终端应用构成。上游包括金属材料及工程材料、轴承和电子元器件；中游涵盖电机、谐波减速机、驱动器、编码器和力传感器等核心零部件，并由上述部件集成为一体化关节模组；下游为人形机器人、协作机器人和工业机器人整机，最终应用于工业制造、商业服务、医疗康复和科研教育等场景。</w:t>
      </w:r>
    </w:p>
    <w:p>
      <w:pPr>
        <w:spacing w:before="120" w:after="60"/>
        <w:jc w:val="center"/>
        <w:keepNext/>
      </w:pPr>
      <w:r>
        <w:rPr>
          <w:rFonts w:ascii="Times New Roman" w:hAnsi="Times New Roman" w:eastAsia="宋体"/>
          <w:b/>
          <w:sz w:val="21"/>
        </w:rPr>
        <w:t>图4  一体化关节模组产业链结构与公司所处环节</w:t>
      </w:r>
    </w:p>
    <w:p>
      <w:pPr>
        <w:spacing w:before="120" w:after="60"/>
        <w:jc w:val="center"/>
        <w:keepNext/>
      </w:pPr>
      <w:r>
        <w:drawing>
          <wp:inline xmlns:a="http://schemas.openxmlformats.org/drawingml/2006/main" xmlns:pic="http://schemas.openxmlformats.org/drawingml/2006/picture">
            <wp:extent cx="5394960" cy="1832903"/>
            <wp:docPr id="4" name="Picture 4"/>
            <wp:cNvGraphicFramePr>
              <a:graphicFrameLocks noChangeAspect="1"/>
            </wp:cNvGraphicFramePr>
            <a:graphic>
              <a:graphicData uri="http://schemas.openxmlformats.org/drawingml/2006/picture">
                <pic:pic>
                  <pic:nvPicPr>
                    <pic:cNvPr id="0" name="fig0.png"/>
                    <pic:cNvPicPr/>
                  </pic:nvPicPr>
                  <pic:blipFill>
                    <a:blip r:embed="rId39"/>
                    <a:stretch>
                      <a:fillRect/>
                    </a:stretch>
                  </pic:blipFill>
                  <pic:spPr>
                    <a:xfrm>
                      <a:off x="0" y="0"/>
                      <a:ext cx="5394960" cy="1832903"/>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0"/>
        <w:jc w:val="both"/>
      </w:pPr>
      <w:r>
        <w:rPr>
          <w:rFonts w:ascii="Times New Roman" w:hAnsi="Times New Roman" w:eastAsia="宋体"/>
          <w:b w:val="0"/>
          <w:sz w:val="24"/>
        </w:rPr>
        <w:t>公司处于中游环节，以一体化关节模组为主要产品形态。</w:t>
      </w:r>
    </w:p>
    <w:p>
      <w:pPr>
        <w:spacing w:line="360" w:lineRule="auto" w:before="120"/>
        <w:ind w:firstLine="482"/>
        <w:jc w:val="both"/>
      </w:pPr>
      <w:r>
        <w:rPr>
          <w:rFonts w:ascii="Times New Roman" w:hAnsi="Times New Roman" w:eastAsia="宋体"/>
          <w:b/>
          <w:sz w:val="24"/>
        </w:rPr>
        <w:t>4、下游应用场景</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关节模组是人形机器人实现运动能力的执行基础，其扭矩密度、响应速度和力控精度直接决定整机的负载能力与动作水平。关节模组与整机的机械结构、控制系统和热管理方案高度耦合，规格路线一经确定，整机厂商的更换成本较高，该环节在整机供应链中具有较强的锁定效应。下游整机放量因而直接转化为本环节的需求增长，人形机器人的产业化进程构成本环节最主要的成长来源。</w:t>
      </w:r>
    </w:p>
    <w:p>
      <w:pPr>
        <w:spacing w:line="360" w:lineRule="auto" w:before="120"/>
        <w:ind w:firstLine="480"/>
        <w:jc w:val="both"/>
      </w:pPr>
      <w:r>
        <w:rPr>
          <w:rFonts w:ascii="Times New Roman" w:hAnsi="Times New Roman" w:eastAsia="宋体"/>
          <w:b w:val="0"/>
          <w:sz w:val="24"/>
        </w:rPr>
        <w:t>需求放量的前提是人形机器人相对于人工岗位具备经济替代性。随着执行器自研、关键零部件垂直整合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图5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两条曲线的交叉意味着，在连续作业的岗位上，购置一台人形机器人的一次性投入已低于雇佣一名工人一年的支出，机器替代人工开始具备经济性。成本的持续下行同时打开了此前因价格门槛而无法覆盖的场景，可经济性替代的岗位范围随之扩大，构成本行业长期增长的基础。</w:t>
      </w:r>
    </w:p>
    <w:p>
      <w:pPr>
        <w:spacing w:line="360" w:lineRule="auto" w:before="120"/>
        <w:ind w:firstLine="480"/>
        <w:jc w:val="both"/>
      </w:pPr>
      <w:r>
        <w:rPr>
          <w:rFonts w:ascii="Times New Roman" w:hAnsi="Times New Roman" w:eastAsia="宋体"/>
          <w:b w:val="0"/>
          <w:sz w:val="24"/>
        </w:rPr>
        <w:t>从产业阶段看，2025年人形机器人处于小批量产阶段，2026年进入规模量产阶段。据觅途咨询统计，2026年全球头部整机厂商的产能规划合计突破10万台，实际下线交付预计达到4万至6万台，人形机器人产业由小批量试制进入规模化量产阶段。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5、上游主要原材料及外购件</w:t>
      </w:r>
    </w:p>
    <w:p>
      <w:pPr>
        <w:spacing w:line="360" w:lineRule="auto" w:before="120"/>
        <w:ind w:firstLine="480"/>
        <w:jc w:val="both"/>
      </w:pPr>
      <w:r>
        <w:rPr>
          <w:rFonts w:ascii="Times New Roman" w:hAnsi="Times New Roman" w:eastAsia="宋体"/>
          <w:b w:val="0"/>
          <w:sz w:val="24"/>
        </w:rPr>
        <w:t>本环节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金属材料价格随大宗商品周期波动，并相应传导至本环节的生产成本。</w:t>
      </w:r>
    </w:p>
    <w:p>
      <w:pPr>
        <w:spacing w:line="360" w:lineRule="auto" w:before="120"/>
        <w:ind w:firstLine="482"/>
        <w:jc w:val="both"/>
      </w:pPr>
      <w:r>
        <w:rPr>
          <w:rFonts w:ascii="Times New Roman" w:hAnsi="Times New Roman" w:eastAsia="宋体"/>
          <w:b/>
          <w:sz w:val="24"/>
        </w:rPr>
        <w:t>6、行业技术水平及特点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7、行业发展趋势</w:t>
      </w:r>
    </w:p>
    <w:p>
      <w:pPr>
        <w:spacing w:line="360" w:lineRule="auto" w:before="120"/>
        <w:ind w:firstLine="480"/>
        <w:jc w:val="both"/>
      </w:pPr>
      <w:r>
        <w:rPr>
          <w:rFonts w:ascii="Times New Roman" w:hAnsi="Times New Roman" w:eastAsia="宋体"/>
          <w:b w:val="0"/>
          <w:sz w:val="24"/>
        </w:rPr>
        <w:t>（1）由整机厂商自研自供转向专业供应商联合开发与模块化采购</w:t>
      </w:r>
    </w:p>
    <w:p>
      <w:pPr>
        <w:spacing w:line="360" w:lineRule="auto" w:before="120"/>
        <w:ind w:firstLine="480"/>
        <w:jc w:val="both"/>
      </w:pPr>
      <w:r>
        <w:rPr>
          <w:rFonts w:ascii="Times New Roman" w:hAnsi="Times New Roman" w:eastAsia="宋体"/>
          <w:b w:val="0"/>
          <w:sz w:val="24"/>
        </w:rPr>
        <w:t>现阶段整机厂商普遍通过垂直整合或与少数伙伴联合开发的方式获得执行器。执行器领域尚未出现类似汽车发动机供应商的专业角色，行业仍处于前模块化阶段。整机厂商选择自研，主要是因为可选供应商有限、需要自行把控成本与性能、保护知识产权并加快迭代，并非长期的战略偏好。整机厂商目前也难以给出供应商投入大规模研发与工装所需的长期采购量承诺。自研格局因此会延续至出货量趋于可预测，届时由供应商主导的模块化才在规模上具备经济性。</w:t>
      </w:r>
    </w:p>
    <w:p>
      <w:pPr>
        <w:spacing w:line="360" w:lineRule="auto" w:before="120"/>
        <w:ind w:firstLine="480"/>
        <w:jc w:val="both"/>
      </w:pPr>
      <w:r>
        <w:rPr>
          <w:rFonts w:ascii="Times New Roman" w:hAnsi="Times New Roman" w:eastAsia="宋体"/>
          <w:b w:val="0"/>
          <w:sz w:val="24"/>
        </w:rPr>
        <w:t>产业价值中心的迁移可分为三个阶段：2025年以前为技术验证阶段，价值集中在整机厂；2026年至2030年为规模量产阶段，整机厂与关节模组厂商共同主导；2030年以后进入产业成熟阶段，由关节模组一级供应商主导。这一转变的成立需要三个前提：下游出货量达到可预测的规模、关节模组的接口与规格形成一定程度的标准化、供应商具备稳定的批量交付与一致性保障能力。更可能的形态是自研与外购并行，整机厂商在差异化环节保留自研，在标准化程度较高的规格上转向外购。对公司而言，未来数年是进入头部整机厂商供应体系的窗口期。</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8、行业面临的机遇与风险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政策支持具有持续性和指向性。减速器与电驱动执行器连续出现在国家层面的攻关方向和鼓励类目录中，支持对象已由机器人整机细化至具体部组件，本环节企业在研发立项、资质认定和应用推广方面持续受益。</w:t>
      </w:r>
    </w:p>
    <w:p>
      <w:pPr>
        <w:spacing w:line="360" w:lineRule="auto" w:before="120"/>
        <w:ind w:firstLine="480"/>
        <w:jc w:val="both"/>
      </w:pPr>
      <w:r>
        <w:rPr>
          <w:rFonts w:ascii="Times New Roman" w:hAnsi="Times New Roman" w:eastAsia="宋体"/>
          <w:b w:val="0"/>
          <w:sz w:val="24"/>
        </w:rPr>
        <w:t>第二，下游由小批量试制转入规模化量产，带来确定性的增量需求。单台整机使用的关节模组数量以十计，整机出货量的增长会成倍放大至本环节；批量采购同时取代样机阶段的零星采购，订单的连续性和可预测性随之改善。</w:t>
      </w:r>
    </w:p>
    <w:p>
      <w:pPr>
        <w:spacing w:line="360" w:lineRule="auto" w:before="120"/>
        <w:ind w:firstLine="480"/>
        <w:jc w:val="both"/>
      </w:pPr>
      <w:r>
        <w:rPr>
          <w:rFonts w:ascii="Times New Roman" w:hAnsi="Times New Roman" w:eastAsia="宋体"/>
          <w:b w:val="0"/>
          <w:sz w:val="24"/>
        </w:rPr>
        <w:t>第三，上游国产配套成熟，为本环节的成本与交付提供支撑。关键原材料和外购件的国内供应已具备规模，采购半径缩短带来更短的响应周期和更低的库存占用，本环节企业在成本控制上的自主空间随之扩大。</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第一，下游商业化节奏存在不确定性。各机构对人形机器人出货量的统计口径和预测结果差异较大；地方政府及国资平台是当前的重要采购方，需求节奏与产业政策和财政安排相关。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准直驱方案已完成工程化验证，预计2027年至2028年将占据下肢关节30%以上的份额；肩、肘、腕等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9、行业周期性特征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第二类的代表企业包括拓普集团和三花智控，两家均以汽车零部件业务为主体，近年切入人形机器人执行器与关节模组环节。公司属于第一类，以自研谐波减速机为基础向关节模组集成。</w:t>
      </w:r>
    </w:p>
    <w:p>
      <w:pPr>
        <w:spacing w:line="360" w:lineRule="auto" w:before="120"/>
        <w:ind w:firstLine="480"/>
        <w:jc w:val="both"/>
      </w:pPr>
      <w:r>
        <w:rPr>
          <w:rFonts w:ascii="Times New Roman" w:hAnsi="Times New Roman" w:eastAsia="宋体"/>
          <w:b w:val="0"/>
          <w:sz w:val="24"/>
        </w:rPr>
        <w:t>从供货方式看，人形机器人领域的关节模组主要由第三方供应商提供，工业机器人领域则多由整机厂商自行研发与集成。该环节目前整体规模有限，根据灼识咨询的研究，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反映出本环节在客户尚未锁定的窗口期以价格争夺早期份额的竞争特征。</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2、行业内主要竞争对手</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除部分芯片外，其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本行业属于技术密集与制造密集并重的产业。企业既需具备跨机械、电气与控制多个领域的系统设计能力，又需在批量生产条件下保持产品的一致性与可靠性。新进入者面临的壁垒主要体现在以下五个方面。</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齿形设计、柔轮材料与热处理工艺以及精密加工工艺需要长期积累，相关工艺参数难以通过逆向方式获得。进入规模化量产阶段后，自动化装配能力和良品率水平直接决定产品一致性与成本，高精度加工设备、自动化装配产线和检测体系需要持续的资金投入。谐波减速器是人形机器人供应链中瓶颈风险最高的环节之一，其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关节模组产品覆盖头颈、肩肘腕、腰部、髋部及腿部各关节部位，并设有面向工业场景的模组系列。减速器在执行器成本中占有较高比重，具备谐波减速机自研与量产能力的关节模组厂商在成本控制上具有起点优势；公司在谐波减速机之外进一步实现了驱动器、编码器和力传感器组件的自研，自研范围覆盖关节模组的主要构成部件。</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所在的无锡已形成覆盖轴承、线缆、模组、芯片和电机的产业集群，为本环节企业提供了近距离配套和联合开发的条件。</w:t>
      </w:r>
    </w:p>
    <w:p>
      <w:pPr>
        <w:spacing w:line="360" w:lineRule="auto" w:before="120"/>
        <w:ind w:firstLine="480"/>
        <w:jc w:val="both"/>
      </w:pPr>
      <w:r>
        <w:rPr>
          <w:rFonts w:ascii="Times New Roman" w:hAnsi="Times New Roman" w:eastAsia="宋体"/>
          <w:b w:val="0"/>
          <w:sz w:val="24"/>
        </w:rPr>
        <w:t>从收入构成看，2025年和2026年1-7月，公司一体化关节模组收入占当期营业收入的比重分别为47.80%和82.55%，谐波减速机及传动总成的比重分别为10.53%和5.47%，产品结构已由核心零部件与多品类模组并重转为以一体化关节模组为主。根据灼识咨询的研究，2025年独立关节模组供应商的年收入多在1亿元以下，规模最大者收入超过1亿元，公司同期收入处于该区间。2026年以来下游需求快速放量，本环节企业的收入规模普遍抬升，公司1-7月收入已超过2025年全年的两倍，增长节奏与同期人形机器人出货量的上升相互印证。</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