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向中游整机厂商供应谐波减速机、驱动器、编码器、力传感器组件以及一体化关节模组，其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此外，国家机器人检测与评定中心承担机器人及其关键零部件的第三方检测与认证，公司谐波减速机产品已通过该中心认定。</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上述三项国家标准分别对应公司的谐波减速机、一体化关节模组和减速器性能检测，是公司产品性能与检测方法的主要依据。</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技术方案上，旋转执行器按传动方式分为谐波减速机方案、行星减速机方案和准直驱方案等。谐波减速机方案的减速比通常为30至300比1，结构紧凑、传动精度高，是肩、肘、腕、腰等上半身精密关节的主流方案。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人形机器人单机通常搭载10至14台谐波减速机，用量为传统六轴工业机器人的两倍以上。</w:t>
      </w:r>
    </w:p>
    <w:p>
      <w:pPr>
        <w:spacing w:line="360" w:lineRule="auto" w:before="120"/>
        <w:ind w:firstLine="480"/>
        <w:jc w:val="both"/>
      </w:pPr>
      <w:r>
        <w:rPr>
          <w:rFonts w:ascii="Times New Roman" w:hAnsi="Times New Roman" w:eastAsia="宋体"/>
          <w:b w:val="0"/>
          <w:sz w:val="24"/>
        </w:rPr>
        <w:t>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超过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公司产品还应用于协作机器人、工业机器人、医疗康复、低空经济、精密制造和轨道交通等领域。协作机器人与人形机器人对关节模组的技术要求高度相近，均强调小型化、轻量化和力矩控制精度，公司的产品谱系可在不同应用领域之间复用，形成了人形机器人之外的需求基础。</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一体化关节模组的技术水平体现为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第三，国产供应链配套成熟支撑成本下降。人形机器人核心零部件整体国产化率已超过75%，国内在精密轴承、功率电子等上游环节具备规模化供应能力，为本环节企业的成本控制和交付效率提供了支撑。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按2025年出货量计算，其在中国机器人谐波减速器市场的占有率为21.4%。</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一体化关节模组则进一步要求企业具备机械结构、电磁设计、力控算法和热管理的系统集成能力，并能够在有限体积内完成多个部件的协同设计。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关节模组产品覆盖直径17毫米至120毫米、峰值扭矩0.8牛米至1,000牛米以上的六大系列。由于减速器在执行器成本中占比最高，具备谐波减速机自研与量产能力的关节模组厂商在成本控制上具有起点优势；公司在此基础上进一步实现了驱动器、编码器和力传感器组件的自研，自研覆盖面在国内同类企业中相对靠前。</w:t>
      </w:r>
    </w:p>
    <w:p>
      <w:pPr>
        <w:spacing w:line="360" w:lineRule="auto" w:before="120"/>
        <w:ind w:firstLine="480"/>
        <w:jc w:val="both"/>
      </w:pPr>
      <w:r>
        <w:rPr>
          <w:rFonts w:ascii="Times New Roman" w:hAnsi="Times New Roman" w:eastAsia="宋体"/>
          <w:b w:val="0"/>
          <w:sz w:val="24"/>
        </w:rPr>
        <w:t>与主要竞争对手相比，公司专注于核心零部件与关节模组环节，未向下游整机延伸，与整机客户不存在直接竞争。公司谐波减速机产品已通过国家机器人检测与评定中心认定，2021年获批无锡市高寿命高精度谐波减速机重点实验室，2022年获评高新技术企业，2025年获评江苏省专精特新中小企业，并获“LeadeRobot 2025年度人形机器人核心供应商”称号。根据公司公开披露，2025年上半年公司单次交付人形机器人专用关节模组1,320套，客户数量超过500家；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