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较高的导入壁垒对应较高的市场集中度。零部件行业整体集中度约 50%，细分品类普遍高于这一水平。本环节的机会因而在于单一品类的突破，而非规模上的全面比拼。公司所对应的三个品类，其竞争格局与国产化程度各不相同。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77%。公司所处的金属路线在全球市场中占比较小，却是国内企业切入较早的一类，富创精密、新莱应材、江丰电子、先锋精科、安徽博芯微等均已形成供货，先锋精科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表2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年半年度报告。注：该品类由日系企业主导，2024 年日本碍子约占全球 48%（QYResearch）。</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10%。国内厂商中，芯密科技进入较早，其刻蚀用密封圈 2022 年至 2024 年收入由 1,121.70 万元增至 9,109.84 万元，销量由 8,840 个增至 113,918 个。三年间收入增至约八倍，该品类已出现成规模供货的国内厂商。</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就氮化铝陶瓷加热盘而言，公司已实现量产，与同样已量产的同行处于同一阶段，快于仍在客户端验证的先锋精科。</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27%。境外供给收缩与国内需求上行同时发生，国产替代的驱动因素已不限于价格，还包括交期与供应连续性。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的环境中运行，为先进制程的首选；两类部件均需适配更大尺寸的晶圆，据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表3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公司在无锡、合肥与武汉设有生产基地，均位于国内主要存储晶圆制造厂商的配套半径之内。零部件属高频更换的耗材，交付响应时效直接影响客户的停机时间，就近配套因而是客户的现实偏好。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表4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配方类专利的技术含量高于结构类，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同时具备三类技术的企业，在同等规模的零部件厂商中并不多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