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widowControl/>
        <w:spacing w:before="156" w:after="156" w:line="360" w:lineRule="auto"/>
        <w:jc w:val="center"/>
      </w:pPr>
      <w:r>
        <w:rPr>
          <w:rFonts w:ascii="宋体" w:hAnsi="宋体" w:cs="宋体" w:eastAsia="宋体" w:hint="eastAsia"/>
          <w:b/>
          <w:sz w:val="36"/>
        </w:rPr>
        <w:t>《中国人形机器人产业链研究》大纲与数据来源memo</w:t>
      </w:r>
    </w:p>
    <w:p/>
    <w:p>
      <w:pPr>
        <w:pStyle w:val="2"/>
        <w:spacing w:before="156" w:after="156"/>
      </w:pPr>
      <w:bookmarkStart w:id="1000" w:name="_Toc900000"/>
      <w:r>
        <w:rPr>
          <w:rFonts w:hint="eastAsia"/>
          <w:b/>
        </w:rPr>
        <w:t>研究任务与篇幅取舍</w:t>
      </w:r>
      <w:bookmarkEnd w:id="1000"/>
    </w:p>
    <w:p>
      <w:pPr>
        <w:pStyle w:val="a0"/>
      </w:pPr>
      <w:r>
        <w:rPr>
          <w:rFonts w:hint="eastAsia"/>
        </w:rPr>
        <w:t>本次研究服务于对无锡巨蟹智能驱动科技有限公司（以下简称"无锡巨蟹"）的实地拜访。该公司主营谐波减速器、驱动器、编码器以及一体化动力关节模组，处于人形机器人产业链中价值量最高的核心传动与执行环节。研究要回答三个问题：标的所处环节的景气度与竞争强度如何；产业链公司的资本化路径与估值参照是什么；我司在这条产业链上已有哪些业务积累、还缺什么。</w:t>
      </w:r>
    </w:p>
    <w:p>
      <w:pPr>
        <w:pStyle w:val="a0"/>
      </w:pPr>
      <w:r>
        <w:rPr>
          <w:rFonts w:hint="eastAsia"/>
        </w:rPr>
        <w:t>人形机器人产业链覆盖面很广，本次没有平均用力，而是按与标的主营业务的相关度分配篇幅：与标的直接相关的三个上游环节和作为其直接客户的整机环节写深，其余环节压缩为概览。具体取舍如下：</w:t>
      </w:r>
    </w:p>
    <w:p>
      <w:pPr>
        <w:keepNext/>
        <w:jc w:val="center"/>
      </w:pPr>
      <w:r>
        <w:rPr>
          <w:rFonts w:hint="eastAsia"/>
          <w:b/>
          <w:sz w:val="21"/>
        </w:rPr>
        <w:t>表1  篇幅取舍</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769"/>
        <w:gridCol w:w="2769"/>
        <w:gridCol w:w="2769"/>
      </w:tblGrid>
      <w:tr>
        <w:trPr>
          <w:cantSplit/>
          <w:tblHeader/>
          <w:jc w:val="center"/>
        </w:trPr>
        <w:tc>
          <w:tcPr>
            <w:tcW w:w="439" w:type="pct"/>
            <w:tcBorders>
              <w:top w:val="single" w:sz="12" w:space="0" w:color="010000"/>
              <w:bottom w:val="single" w:sz="4" w:space="0" w:color="010000"/>
            </w:tcBorders>
            <w:vAlign w:val="center"/>
          </w:tcPr>
          <w:p>
            <w:pPr>
              <w:keepNext/>
              <w:jc w:val="center"/>
            </w:pPr>
            <w:r/>
            <w:r>
              <w:rPr>
                <w:rFonts w:hint="eastAsia"/>
                <w:b/>
                <w:color w:val="000000"/>
                <w:sz w:val="21"/>
              </w:rPr>
              <w:t>篇幅</w:t>
            </w:r>
          </w:p>
        </w:tc>
        <w:tc>
          <w:tcPr>
            <w:tcW w:w="2281" w:type="pct"/>
            <w:tcBorders>
              <w:top w:val="single" w:sz="12" w:space="0" w:color="010000"/>
              <w:bottom w:val="single" w:sz="4" w:space="0" w:color="010000"/>
            </w:tcBorders>
            <w:vAlign w:val="center"/>
          </w:tcPr>
          <w:p>
            <w:pPr>
              <w:keepNext/>
              <w:jc w:val="center"/>
            </w:pPr>
            <w:r/>
            <w:r>
              <w:rPr>
                <w:rFonts w:hint="eastAsia"/>
                <w:b/>
                <w:color w:val="000000"/>
                <w:sz w:val="21"/>
              </w:rPr>
              <w:t>产业链环节</w:t>
            </w:r>
          </w:p>
        </w:tc>
        <w:tc>
          <w:tcPr>
            <w:tcW w:w="2281" w:type="pct"/>
            <w:tcBorders>
              <w:top w:val="single" w:sz="12" w:space="0" w:color="010000"/>
              <w:bottom w:val="single" w:sz="4" w:space="0" w:color="010000"/>
            </w:tcBorders>
            <w:vAlign w:val="center"/>
          </w:tcPr>
          <w:p>
            <w:pPr>
              <w:keepNext/>
              <w:jc w:val="center"/>
            </w:pPr>
            <w:r/>
            <w:r>
              <w:rPr>
                <w:rFonts w:hint="eastAsia"/>
                <w:b/>
                <w:color w:val="000000"/>
                <w:sz w:val="21"/>
              </w:rPr>
              <w:t>取舍理由</w:t>
            </w:r>
          </w:p>
        </w:tc>
      </w:tr>
      <w:tr>
        <w:trPr>
          <w:cantSplit/>
          <w:jc w:val="center"/>
        </w:trPr>
        <w:tc>
          <w:tcPr>
            <w:tcW w:w="439" w:type="pct"/>
            <w:tcBorders>
              <w:top w:val="single" w:sz="4" w:space="0" w:color="010000"/>
            </w:tcBorders>
            <w:vAlign w:val="center"/>
          </w:tcPr>
          <w:p>
            <w:pPr>
              <w:jc w:val="left"/>
            </w:pPr>
            <w:r/>
            <w:r>
              <w:rPr>
                <w:rFonts w:hint="eastAsia"/>
                <w:color w:val="000000"/>
                <w:sz w:val="21"/>
              </w:rPr>
              <w:t>重点</w:t>
            </w:r>
          </w:p>
        </w:tc>
        <w:tc>
          <w:tcPr>
            <w:tcW w:w="2281" w:type="pct"/>
            <w:tcBorders>
              <w:top w:val="single" w:sz="4" w:space="0" w:color="010000"/>
            </w:tcBorders>
            <w:vAlign w:val="center"/>
          </w:tcPr>
          <w:p>
            <w:pPr>
              <w:jc w:val="left"/>
            </w:pPr>
            <w:r/>
            <w:r>
              <w:rPr>
                <w:rFonts w:hint="eastAsia"/>
                <w:color w:val="000000"/>
                <w:sz w:val="21"/>
              </w:rPr>
              <w:t>谐波减速器；电机、驱动器与编码器；一体化动力关节模组</w:t>
            </w:r>
          </w:p>
        </w:tc>
        <w:tc>
          <w:tcPr>
            <w:tcW w:w="2281" w:type="pct"/>
            <w:tcBorders>
              <w:top w:val="single" w:sz="4" w:space="0" w:color="010000"/>
            </w:tcBorders>
            <w:vAlign w:val="center"/>
          </w:tcPr>
          <w:p>
            <w:pPr>
              <w:jc w:val="left"/>
            </w:pPr>
            <w:r/>
            <w:r>
              <w:rPr>
                <w:rFonts w:hint="eastAsia"/>
                <w:color w:val="000000"/>
                <w:sz w:val="21"/>
              </w:rPr>
              <w:t>标的主营业务所在环节，直接决定其竞争位置与盈利能力</w:t>
            </w:r>
          </w:p>
        </w:tc>
      </w:tr>
      <w:tr>
        <w:trPr>
          <w:cantSplit/>
          <w:jc w:val="center"/>
        </w:trPr>
        <w:tc>
          <w:tcPr>
            <w:tcW w:w="439" w:type="pct"/>
            <w:tcBorders>
              <w:top w:val="single" w:sz="4" w:space="0" w:color="010000"/>
            </w:tcBorders>
            <w:vAlign w:val="center"/>
          </w:tcPr>
          <w:p>
            <w:pPr>
              <w:jc w:val="left"/>
            </w:pPr>
            <w:r/>
            <w:r>
              <w:rPr>
                <w:rFonts w:hint="eastAsia"/>
                <w:color w:val="000000"/>
                <w:sz w:val="21"/>
              </w:rPr>
              <w:t>重点</w:t>
            </w:r>
          </w:p>
        </w:tc>
        <w:tc>
          <w:tcPr>
            <w:tcW w:w="2281" w:type="pct"/>
            <w:tcBorders>
              <w:top w:val="single" w:sz="4" w:space="0" w:color="010000"/>
            </w:tcBorders>
            <w:vAlign w:val="center"/>
          </w:tcPr>
          <w:p>
            <w:pPr>
              <w:jc w:val="left"/>
            </w:pPr>
            <w:r/>
            <w:r>
              <w:rPr>
                <w:rFonts w:hint="eastAsia"/>
                <w:color w:val="000000"/>
                <w:sz w:val="21"/>
              </w:rPr>
              <w:t>整机制造（含代表性企业的产品条线、出货量、商业化现状）</w:t>
            </w:r>
          </w:p>
        </w:tc>
        <w:tc>
          <w:tcPr>
            <w:tcW w:w="2281" w:type="pct"/>
            <w:tcBorders>
              <w:top w:val="single" w:sz="4" w:space="0" w:color="010000"/>
            </w:tcBorders>
            <w:vAlign w:val="center"/>
          </w:tcPr>
          <w:p>
            <w:pPr>
              <w:jc w:val="left"/>
            </w:pPr>
            <w:r/>
            <w:r>
              <w:rPr>
                <w:rFonts w:hint="eastAsia"/>
                <w:color w:val="000000"/>
                <w:sz w:val="21"/>
              </w:rPr>
              <w:t>标的的直接客户，头部客户导入与否基本决定其出货量级</w:t>
            </w:r>
          </w:p>
        </w:tc>
      </w:tr>
      <w:tr>
        <w:trPr>
          <w:cantSplit/>
          <w:jc w:val="center"/>
        </w:trPr>
        <w:tc>
          <w:tcPr>
            <w:tcW w:w="439" w:type="pct"/>
            <w:tcBorders>
              <w:top w:val="single" w:sz="4" w:space="0" w:color="010000"/>
            </w:tcBorders>
            <w:vAlign w:val="center"/>
          </w:tcPr>
          <w:p>
            <w:pPr>
              <w:jc w:val="left"/>
            </w:pPr>
            <w:r/>
            <w:r>
              <w:rPr>
                <w:rFonts w:hint="eastAsia"/>
                <w:color w:val="000000"/>
                <w:sz w:val="21"/>
              </w:rPr>
              <w:t>重点</w:t>
            </w:r>
          </w:p>
        </w:tc>
        <w:tc>
          <w:tcPr>
            <w:tcW w:w="2281" w:type="pct"/>
            <w:tcBorders>
              <w:top w:val="single" w:sz="4" w:space="0" w:color="010000"/>
            </w:tcBorders>
            <w:vAlign w:val="center"/>
          </w:tcPr>
          <w:p>
            <w:pPr>
              <w:jc w:val="left"/>
            </w:pPr>
            <w:r/>
            <w:r>
              <w:rPr>
                <w:rFonts w:hint="eastAsia"/>
                <w:color w:val="000000"/>
                <w:sz w:val="21"/>
              </w:rPr>
              <w:t>产业链公司资本化进度；与国泰海通相关的公司</w:t>
            </w:r>
          </w:p>
        </w:tc>
        <w:tc>
          <w:tcPr>
            <w:tcW w:w="2281" w:type="pct"/>
            <w:tcBorders>
              <w:top w:val="single" w:sz="4" w:space="0" w:color="010000"/>
            </w:tcBorders>
            <w:vAlign w:val="center"/>
          </w:tcPr>
          <w:p>
            <w:pPr>
              <w:jc w:val="left"/>
            </w:pPr>
            <w:r/>
            <w:r>
              <w:rPr>
                <w:rFonts w:hint="eastAsia"/>
                <w:color w:val="000000"/>
                <w:sz w:val="21"/>
              </w:rPr>
              <w:t>直接对应我司投行与投资业务的判断需要</w:t>
            </w:r>
          </w:p>
        </w:tc>
      </w:tr>
      <w:tr>
        <w:trPr>
          <w:cantSplit/>
          <w:jc w:val="center"/>
        </w:trPr>
        <w:tc>
          <w:tcPr>
            <w:tcW w:w="439" w:type="pct"/>
            <w:tcBorders>
              <w:top w:val="single" w:sz="4" w:space="0" w:color="010000"/>
            </w:tcBorders>
            <w:vAlign w:val="center"/>
          </w:tcPr>
          <w:p>
            <w:pPr>
              <w:jc w:val="left"/>
            </w:pPr>
            <w:r/>
            <w:r>
              <w:rPr>
                <w:rFonts w:hint="eastAsia"/>
                <w:color w:val="000000"/>
                <w:sz w:val="21"/>
              </w:rPr>
              <w:t>从简</w:t>
            </w:r>
          </w:p>
        </w:tc>
        <w:tc>
          <w:tcPr>
            <w:tcW w:w="2281" w:type="pct"/>
            <w:tcBorders>
              <w:top w:val="single" w:sz="4" w:space="0" w:color="010000"/>
            </w:tcBorders>
            <w:vAlign w:val="center"/>
          </w:tcPr>
          <w:p>
            <w:pPr>
              <w:jc w:val="left"/>
            </w:pPr>
            <w:r/>
            <w:r>
              <w:rPr>
                <w:rFonts w:hint="eastAsia"/>
                <w:color w:val="000000"/>
                <w:sz w:val="21"/>
              </w:rPr>
              <w:t>行星滚柱丝杠、精密轴承、灵巧手、力与触觉传感器、主控与算力芯片</w:t>
            </w:r>
          </w:p>
        </w:tc>
        <w:tc>
          <w:tcPr>
            <w:tcW w:w="2281" w:type="pct"/>
            <w:tcBorders>
              <w:top w:val="single" w:sz="4" w:space="0" w:color="010000"/>
            </w:tcBorders>
            <w:vAlign w:val="center"/>
          </w:tcPr>
          <w:p>
            <w:pPr>
              <w:jc w:val="left"/>
            </w:pPr>
            <w:r/>
            <w:r>
              <w:rPr>
                <w:rFonts w:hint="eastAsia"/>
                <w:color w:val="000000"/>
                <w:sz w:val="21"/>
              </w:rPr>
              <w:t>与标的业务重合度低，仅需保持产业链完整性</w:t>
            </w:r>
          </w:p>
        </w:tc>
      </w:tr>
      <w:tr>
        <w:trPr>
          <w:cantSplit/>
          <w:jc w:val="center"/>
        </w:trPr>
        <w:tc>
          <w:tcPr>
            <w:tcW w:w="439" w:type="pct"/>
            <w:tcBorders>
              <w:top w:val="single" w:sz="4" w:space="0" w:color="010000"/>
            </w:tcBorders>
            <w:vAlign w:val="center"/>
          </w:tcPr>
          <w:p>
            <w:pPr>
              <w:jc w:val="left"/>
            </w:pPr>
            <w:r/>
            <w:r>
              <w:rPr>
                <w:rFonts w:hint="eastAsia"/>
                <w:color w:val="000000"/>
                <w:sz w:val="21"/>
              </w:rPr>
              <w:t>从简</w:t>
            </w:r>
          </w:p>
        </w:tc>
        <w:tc>
          <w:tcPr>
            <w:tcW w:w="2281" w:type="pct"/>
            <w:tcBorders>
              <w:top w:val="single" w:sz="4" w:space="0" w:color="010000"/>
            </w:tcBorders>
            <w:vAlign w:val="center"/>
          </w:tcPr>
          <w:p>
            <w:pPr>
              <w:jc w:val="left"/>
            </w:pPr>
            <w:r/>
            <w:r>
              <w:rPr>
                <w:rFonts w:hint="eastAsia"/>
                <w:color w:val="000000"/>
                <w:sz w:val="21"/>
              </w:rPr>
              <w:t>下游应用场景与集成服务</w:t>
            </w:r>
          </w:p>
        </w:tc>
        <w:tc>
          <w:tcPr>
            <w:tcW w:w="2281" w:type="pct"/>
            <w:tcBorders>
              <w:top w:val="single" w:sz="4" w:space="0" w:color="010000"/>
            </w:tcBorders>
            <w:vAlign w:val="center"/>
          </w:tcPr>
          <w:p>
            <w:pPr>
              <w:jc w:val="left"/>
            </w:pPr>
            <w:r/>
            <w:r>
              <w:rPr>
                <w:rFonts w:hint="eastAsia"/>
                <w:color w:val="000000"/>
                <w:sz w:val="21"/>
              </w:rPr>
              <w:t>影响需求节奏但不直接影响对标的的判断</w:t>
            </w:r>
          </w:p>
        </w:tc>
      </w:tr>
    </w:tbl>
    <w:p>
      <w:pPr>
        <w:pStyle w:val="a6"/>
      </w:pPr>
      <w:r>
        <w:rPr>
          <w:rFonts w:hint="eastAsia"/>
        </w:rPr>
        <w:t>资料来源：本memo整理。</w:t>
      </w:r>
    </w:p>
    <w:p>
      <w:pPr>
        <w:pStyle w:val="2"/>
        <w:spacing w:before="156" w:after="156"/>
      </w:pPr>
      <w:bookmarkStart w:id="1001" w:name="_Toc900001"/>
      <w:r>
        <w:rPr>
          <w:rFonts w:hint="eastAsia"/>
          <w:b/>
        </w:rPr>
        <w:t>报告大纲</w:t>
      </w:r>
      <w:bookmarkEnd w:id="1001"/>
    </w:p>
    <w:p>
      <w:pPr>
        <w:pStyle w:val="a0"/>
      </w:pPr>
      <w:r>
        <w:rPr>
          <w:rFonts w:hint="eastAsia"/>
        </w:rPr>
        <w:t>报告正文共八章加一节数据来源说明，含图6幅、表15张，约2.9万字。章节结构如下：</w:t>
      </w:r>
    </w:p>
    <w:p>
      <w:pPr>
        <w:keepNext/>
        <w:jc w:val="center"/>
      </w:pPr>
      <w:r>
        <w:rPr>
          <w:rFonts w:hint="eastAsia"/>
          <w:b/>
          <w:sz w:val="21"/>
        </w:rPr>
        <w:t>表2  报告章节结构</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769"/>
        <w:gridCol w:w="2769"/>
        <w:gridCol w:w="2769"/>
      </w:tblGrid>
      <w:tr>
        <w:trPr>
          <w:cantSplit/>
          <w:tblHeader/>
          <w:jc w:val="center"/>
        </w:trPr>
        <w:tc>
          <w:tcPr>
            <w:tcW w:w="263" w:type="pct"/>
            <w:tcBorders>
              <w:top w:val="single" w:sz="12" w:space="0" w:color="010000"/>
              <w:bottom w:val="single" w:sz="4" w:space="0" w:color="010000"/>
            </w:tcBorders>
            <w:vAlign w:val="center"/>
          </w:tcPr>
          <w:p>
            <w:pPr>
              <w:keepNext/>
              <w:jc w:val="center"/>
            </w:pPr>
            <w:r/>
            <w:r>
              <w:rPr>
                <w:rFonts w:hint="eastAsia"/>
                <w:b/>
                <w:color w:val="000000"/>
                <w:sz w:val="21"/>
              </w:rPr>
              <w:t>章</w:t>
            </w:r>
          </w:p>
        </w:tc>
        <w:tc>
          <w:tcPr>
            <w:tcW w:w="1754" w:type="pct"/>
            <w:tcBorders>
              <w:top w:val="single" w:sz="12" w:space="0" w:color="010000"/>
              <w:bottom w:val="single" w:sz="4" w:space="0" w:color="010000"/>
            </w:tcBorders>
            <w:vAlign w:val="center"/>
          </w:tcPr>
          <w:p>
            <w:pPr>
              <w:keepNext/>
              <w:jc w:val="center"/>
            </w:pPr>
            <w:r/>
            <w:r>
              <w:rPr>
                <w:rFonts w:hint="eastAsia"/>
                <w:b/>
                <w:color w:val="000000"/>
                <w:sz w:val="21"/>
              </w:rPr>
              <w:t>章节标题</w:t>
            </w:r>
          </w:p>
        </w:tc>
        <w:tc>
          <w:tcPr>
            <w:tcW w:w="2982" w:type="pct"/>
            <w:tcBorders>
              <w:top w:val="single" w:sz="12" w:space="0" w:color="010000"/>
              <w:bottom w:val="single" w:sz="4" w:space="0" w:color="010000"/>
            </w:tcBorders>
            <w:vAlign w:val="center"/>
          </w:tcPr>
          <w:p>
            <w:pPr>
              <w:keepNext/>
              <w:jc w:val="center"/>
            </w:pPr>
            <w:r/>
            <w:r>
              <w:rPr>
                <w:rFonts w:hint="eastAsia"/>
                <w:b/>
                <w:color w:val="000000"/>
                <w:sz w:val="21"/>
              </w:rPr>
              <w:t>主要小节</w:t>
            </w:r>
          </w:p>
        </w:tc>
      </w:tr>
      <w:tr>
        <w:trPr>
          <w:cantSplit/>
          <w:jc w:val="center"/>
        </w:trPr>
        <w:tc>
          <w:tcPr>
            <w:tcW w:w="263" w:type="pct"/>
            <w:tcBorders>
              <w:top w:val="single" w:sz="4" w:space="0" w:color="010000"/>
            </w:tcBorders>
            <w:vAlign w:val="center"/>
          </w:tcPr>
          <w:p>
            <w:pPr>
              <w:jc w:val="left"/>
            </w:pPr>
            <w:r/>
            <w:r>
              <w:rPr>
                <w:rFonts w:hint="eastAsia"/>
                <w:color w:val="000000"/>
                <w:sz w:val="21"/>
              </w:rPr>
              <w:t>一</w:t>
            </w:r>
          </w:p>
        </w:tc>
        <w:tc>
          <w:tcPr>
            <w:tcW w:w="1754" w:type="pct"/>
            <w:tcBorders>
              <w:top w:val="single" w:sz="4" w:space="0" w:color="010000"/>
            </w:tcBorders>
            <w:vAlign w:val="center"/>
          </w:tcPr>
          <w:p>
            <w:pPr>
              <w:jc w:val="left"/>
            </w:pPr>
            <w:r/>
            <w:r>
              <w:rPr>
                <w:rFonts w:hint="eastAsia"/>
                <w:color w:val="000000"/>
                <w:sz w:val="21"/>
              </w:rPr>
              <w:t>人形机器人产业概述</w:t>
            </w:r>
          </w:p>
        </w:tc>
        <w:tc>
          <w:tcPr>
            <w:tcW w:w="2982" w:type="pct"/>
            <w:tcBorders>
              <w:top w:val="single" w:sz="4" w:space="0" w:color="010000"/>
            </w:tcBorders>
            <w:vAlign w:val="center"/>
          </w:tcPr>
          <w:p>
            <w:pPr>
              <w:jc w:val="left"/>
            </w:pPr>
            <w:r/>
            <w:r>
              <w:rPr>
                <w:rFonts w:hint="eastAsia"/>
                <w:color w:val="000000"/>
                <w:sz w:val="21"/>
              </w:rPr>
              <w:t>行业简介；主要产品形态与技术路线；基本构成（旋转关节与一体化关节模组）；行业基本指标</w:t>
            </w:r>
          </w:p>
        </w:tc>
      </w:tr>
      <w:tr>
        <w:trPr>
          <w:cantSplit/>
          <w:jc w:val="center"/>
        </w:trPr>
        <w:tc>
          <w:tcPr>
            <w:tcW w:w="263" w:type="pct"/>
            <w:tcBorders>
              <w:top w:val="single" w:sz="4" w:space="0" w:color="010000"/>
            </w:tcBorders>
            <w:vAlign w:val="center"/>
          </w:tcPr>
          <w:p>
            <w:pPr>
              <w:jc w:val="left"/>
            </w:pPr>
            <w:r/>
            <w:r>
              <w:rPr>
                <w:rFonts w:hint="eastAsia"/>
                <w:color w:val="000000"/>
                <w:sz w:val="21"/>
              </w:rPr>
              <w:t>二</w:t>
            </w:r>
          </w:p>
        </w:tc>
        <w:tc>
          <w:tcPr>
            <w:tcW w:w="1754" w:type="pct"/>
            <w:tcBorders>
              <w:top w:val="single" w:sz="4" w:space="0" w:color="010000"/>
            </w:tcBorders>
            <w:vAlign w:val="center"/>
          </w:tcPr>
          <w:p>
            <w:pPr>
              <w:jc w:val="left"/>
            </w:pPr>
            <w:r/>
            <w:r>
              <w:rPr>
                <w:rFonts w:hint="eastAsia"/>
                <w:color w:val="000000"/>
                <w:sz w:val="21"/>
              </w:rPr>
              <w:t>人形机器人产业链结构及各环节比较</w:t>
            </w:r>
          </w:p>
        </w:tc>
        <w:tc>
          <w:tcPr>
            <w:tcW w:w="2982" w:type="pct"/>
            <w:tcBorders>
              <w:top w:val="single" w:sz="4" w:space="0" w:color="010000"/>
            </w:tcBorders>
            <w:vAlign w:val="center"/>
          </w:tcPr>
          <w:p>
            <w:pPr>
              <w:jc w:val="left"/>
            </w:pPr>
            <w:r/>
            <w:r>
              <w:rPr>
                <w:rFonts w:hint="eastAsia"/>
                <w:color w:val="000000"/>
                <w:sz w:val="21"/>
              </w:rPr>
              <w:t>产业链整体结构与价值传导；谐波减速器；电机、驱动器与编码器；一体化关节模组；其他上游环节；中游整机制造；下游应用与服务</w:t>
            </w:r>
          </w:p>
        </w:tc>
      </w:tr>
      <w:tr>
        <w:trPr>
          <w:cantSplit/>
          <w:jc w:val="center"/>
        </w:trPr>
        <w:tc>
          <w:tcPr>
            <w:tcW w:w="263" w:type="pct"/>
            <w:tcBorders>
              <w:top w:val="single" w:sz="4" w:space="0" w:color="010000"/>
            </w:tcBorders>
            <w:vAlign w:val="center"/>
          </w:tcPr>
          <w:p>
            <w:pPr>
              <w:jc w:val="left"/>
            </w:pPr>
            <w:r/>
            <w:r>
              <w:rPr>
                <w:rFonts w:hint="eastAsia"/>
                <w:color w:val="000000"/>
                <w:sz w:val="21"/>
              </w:rPr>
              <w:t>三</w:t>
            </w:r>
          </w:p>
        </w:tc>
        <w:tc>
          <w:tcPr>
            <w:tcW w:w="1754" w:type="pct"/>
            <w:tcBorders>
              <w:top w:val="single" w:sz="4" w:space="0" w:color="010000"/>
            </w:tcBorders>
            <w:vAlign w:val="center"/>
          </w:tcPr>
          <w:p>
            <w:pPr>
              <w:jc w:val="left"/>
            </w:pPr>
            <w:r/>
            <w:r>
              <w:rPr>
                <w:rFonts w:hint="eastAsia"/>
                <w:color w:val="000000"/>
                <w:sz w:val="21"/>
              </w:rPr>
              <w:t>国内人形机器人市场发展现状及产业规模</w:t>
            </w:r>
          </w:p>
        </w:tc>
        <w:tc>
          <w:tcPr>
            <w:tcW w:w="2982" w:type="pct"/>
            <w:tcBorders>
              <w:top w:val="single" w:sz="4" w:space="0" w:color="010000"/>
            </w:tcBorders>
            <w:vAlign w:val="center"/>
          </w:tcPr>
          <w:p>
            <w:pPr>
              <w:jc w:val="left"/>
            </w:pPr>
            <w:r/>
            <w:r>
              <w:rPr>
                <w:rFonts w:hint="eastAsia"/>
                <w:color w:val="000000"/>
                <w:sz w:val="21"/>
              </w:rPr>
              <w:t>出货量与市场规模；应用结构；招投标与订单；成本曲线与降价趋势；相关政策；区域产业集群与无锡</w:t>
            </w:r>
          </w:p>
        </w:tc>
      </w:tr>
      <w:tr>
        <w:trPr>
          <w:cantSplit/>
          <w:jc w:val="center"/>
        </w:trPr>
        <w:tc>
          <w:tcPr>
            <w:tcW w:w="263" w:type="pct"/>
            <w:tcBorders>
              <w:top w:val="single" w:sz="4" w:space="0" w:color="010000"/>
            </w:tcBorders>
            <w:vAlign w:val="center"/>
          </w:tcPr>
          <w:p>
            <w:pPr>
              <w:jc w:val="left"/>
            </w:pPr>
            <w:r/>
            <w:r>
              <w:rPr>
                <w:rFonts w:hint="eastAsia"/>
                <w:color w:val="000000"/>
                <w:sz w:val="21"/>
              </w:rPr>
              <w:t>四</w:t>
            </w:r>
          </w:p>
        </w:tc>
        <w:tc>
          <w:tcPr>
            <w:tcW w:w="1754" w:type="pct"/>
            <w:tcBorders>
              <w:top w:val="single" w:sz="4" w:space="0" w:color="010000"/>
            </w:tcBorders>
            <w:vAlign w:val="center"/>
          </w:tcPr>
          <w:p>
            <w:pPr>
              <w:jc w:val="left"/>
            </w:pPr>
            <w:r/>
            <w:r>
              <w:rPr>
                <w:rFonts w:hint="eastAsia"/>
                <w:color w:val="000000"/>
                <w:sz w:val="21"/>
              </w:rPr>
              <w:t>行业格局、发展趋势及产业机会</w:t>
            </w:r>
          </w:p>
        </w:tc>
        <w:tc>
          <w:tcPr>
            <w:tcW w:w="2982" w:type="pct"/>
            <w:tcBorders>
              <w:top w:val="single" w:sz="4" w:space="0" w:color="010000"/>
            </w:tcBorders>
            <w:vAlign w:val="center"/>
          </w:tcPr>
          <w:p>
            <w:pPr>
              <w:jc w:val="left"/>
            </w:pPr>
            <w:r/>
            <w:r>
              <w:rPr>
                <w:rFonts w:hint="eastAsia"/>
                <w:color w:val="000000"/>
                <w:sz w:val="21"/>
              </w:rPr>
              <w:t>整机环节竞争格局；核心传动与执行环节竞争格局；产业链价值迁移与业务机会</w:t>
            </w:r>
          </w:p>
        </w:tc>
      </w:tr>
      <w:tr>
        <w:trPr>
          <w:cantSplit/>
          <w:jc w:val="center"/>
        </w:trPr>
        <w:tc>
          <w:tcPr>
            <w:tcW w:w="263" w:type="pct"/>
            <w:tcBorders>
              <w:top w:val="single" w:sz="4" w:space="0" w:color="010000"/>
            </w:tcBorders>
            <w:vAlign w:val="center"/>
          </w:tcPr>
          <w:p>
            <w:pPr>
              <w:jc w:val="left"/>
            </w:pPr>
            <w:r/>
            <w:r>
              <w:rPr>
                <w:rFonts w:hint="eastAsia"/>
                <w:color w:val="000000"/>
                <w:sz w:val="21"/>
              </w:rPr>
              <w:t>五</w:t>
            </w:r>
          </w:p>
        </w:tc>
        <w:tc>
          <w:tcPr>
            <w:tcW w:w="1754" w:type="pct"/>
            <w:tcBorders>
              <w:top w:val="single" w:sz="4" w:space="0" w:color="010000"/>
            </w:tcBorders>
            <w:vAlign w:val="center"/>
          </w:tcPr>
          <w:p>
            <w:pPr>
              <w:jc w:val="left"/>
            </w:pPr>
            <w:r/>
            <w:r>
              <w:rPr>
                <w:rFonts w:hint="eastAsia"/>
                <w:color w:val="000000"/>
                <w:sz w:val="21"/>
              </w:rPr>
              <w:t>整机制造环节代表性企业</w:t>
            </w:r>
          </w:p>
        </w:tc>
        <w:tc>
          <w:tcPr>
            <w:tcW w:w="2982" w:type="pct"/>
            <w:tcBorders>
              <w:top w:val="single" w:sz="4" w:space="0" w:color="010000"/>
            </w:tcBorders>
            <w:vAlign w:val="center"/>
          </w:tcPr>
          <w:p>
            <w:pPr>
              <w:jc w:val="left"/>
            </w:pPr>
            <w:r/>
            <w:r>
              <w:rPr>
                <w:rFonts w:hint="eastAsia"/>
                <w:color w:val="000000"/>
                <w:sz w:val="21"/>
              </w:rPr>
              <w:t>宇树科技；智元机器人；优必选；第二梯队与新兴整机企业；海外对照（特斯拉Optimus）</w:t>
            </w:r>
          </w:p>
        </w:tc>
      </w:tr>
      <w:tr>
        <w:trPr>
          <w:cantSplit/>
          <w:jc w:val="center"/>
        </w:trPr>
        <w:tc>
          <w:tcPr>
            <w:tcW w:w="263" w:type="pct"/>
            <w:tcBorders>
              <w:top w:val="single" w:sz="4" w:space="0" w:color="010000"/>
            </w:tcBorders>
            <w:vAlign w:val="center"/>
          </w:tcPr>
          <w:p>
            <w:pPr>
              <w:jc w:val="left"/>
            </w:pPr>
            <w:r/>
            <w:r>
              <w:rPr>
                <w:rFonts w:hint="eastAsia"/>
                <w:color w:val="000000"/>
                <w:sz w:val="21"/>
              </w:rPr>
              <w:t>六</w:t>
            </w:r>
          </w:p>
        </w:tc>
        <w:tc>
          <w:tcPr>
            <w:tcW w:w="1754" w:type="pct"/>
            <w:tcBorders>
              <w:top w:val="single" w:sz="4" w:space="0" w:color="010000"/>
            </w:tcBorders>
            <w:vAlign w:val="center"/>
          </w:tcPr>
          <w:p>
            <w:pPr>
              <w:jc w:val="left"/>
            </w:pPr>
            <w:r/>
            <w:r>
              <w:rPr>
                <w:rFonts w:hint="eastAsia"/>
                <w:color w:val="000000"/>
                <w:sz w:val="21"/>
              </w:rPr>
              <w:t>人形机器人产业链企业资本化进度</w:t>
            </w:r>
          </w:p>
        </w:tc>
        <w:tc>
          <w:tcPr>
            <w:tcW w:w="2982" w:type="pct"/>
            <w:tcBorders>
              <w:top w:val="single" w:sz="4" w:space="0" w:color="010000"/>
            </w:tcBorders>
            <w:vAlign w:val="center"/>
          </w:tcPr>
          <w:p>
            <w:pPr>
              <w:jc w:val="left"/>
            </w:pPr>
            <w:r/>
            <w:r>
              <w:rPr>
                <w:rFonts w:hint="eastAsia"/>
                <w:color w:val="000000"/>
                <w:sz w:val="21"/>
              </w:rPr>
              <w:t>已上市或已完成发行；在审、已问询或已递表；辅导备案或已完成股改；通过上市公司平台资本化；资本化特征小结</w:t>
            </w:r>
          </w:p>
        </w:tc>
      </w:tr>
      <w:tr>
        <w:trPr>
          <w:cantSplit/>
          <w:jc w:val="center"/>
        </w:trPr>
        <w:tc>
          <w:tcPr>
            <w:tcW w:w="263" w:type="pct"/>
            <w:tcBorders>
              <w:top w:val="single" w:sz="4" w:space="0" w:color="010000"/>
            </w:tcBorders>
            <w:vAlign w:val="center"/>
          </w:tcPr>
          <w:p>
            <w:pPr>
              <w:jc w:val="left"/>
            </w:pPr>
            <w:r/>
            <w:r>
              <w:rPr>
                <w:rFonts w:hint="eastAsia"/>
                <w:color w:val="000000"/>
                <w:sz w:val="21"/>
              </w:rPr>
              <w:t>七</w:t>
            </w:r>
          </w:p>
        </w:tc>
        <w:tc>
          <w:tcPr>
            <w:tcW w:w="1754" w:type="pct"/>
            <w:tcBorders>
              <w:top w:val="single" w:sz="4" w:space="0" w:color="010000"/>
            </w:tcBorders>
            <w:vAlign w:val="center"/>
          </w:tcPr>
          <w:p>
            <w:pPr>
              <w:jc w:val="left"/>
            </w:pPr>
            <w:r/>
            <w:r>
              <w:rPr>
                <w:rFonts w:hint="eastAsia"/>
                <w:color w:val="000000"/>
                <w:sz w:val="21"/>
              </w:rPr>
              <w:t>与国泰海通相关的产业链公司</w:t>
            </w:r>
          </w:p>
        </w:tc>
        <w:tc>
          <w:tcPr>
            <w:tcW w:w="2982" w:type="pct"/>
            <w:tcBorders>
              <w:top w:val="single" w:sz="4" w:space="0" w:color="010000"/>
            </w:tcBorders>
            <w:vAlign w:val="center"/>
          </w:tcPr>
          <w:p>
            <w:pPr>
              <w:jc w:val="left"/>
            </w:pPr>
            <w:r/>
            <w:r>
              <w:rPr>
                <w:rFonts w:hint="eastAsia"/>
                <w:color w:val="000000"/>
                <w:sz w:val="21"/>
              </w:rPr>
              <w:t>整体投行业务位置；保荐与承销业务；上市辅导业务；股权投资业务；小结</w:t>
            </w:r>
          </w:p>
        </w:tc>
      </w:tr>
      <w:tr>
        <w:trPr>
          <w:cantSplit/>
          <w:jc w:val="center"/>
        </w:trPr>
        <w:tc>
          <w:tcPr>
            <w:tcW w:w="263" w:type="pct"/>
            <w:tcBorders>
              <w:top w:val="single" w:sz="4" w:space="0" w:color="010000"/>
            </w:tcBorders>
            <w:vAlign w:val="center"/>
          </w:tcPr>
          <w:p>
            <w:pPr>
              <w:jc w:val="left"/>
            </w:pPr>
            <w:r/>
            <w:r>
              <w:rPr>
                <w:rFonts w:hint="eastAsia"/>
                <w:color w:val="000000"/>
                <w:sz w:val="21"/>
              </w:rPr>
              <w:t>八</w:t>
            </w:r>
          </w:p>
        </w:tc>
        <w:tc>
          <w:tcPr>
            <w:tcW w:w="1754" w:type="pct"/>
            <w:tcBorders>
              <w:top w:val="single" w:sz="4" w:space="0" w:color="010000"/>
            </w:tcBorders>
            <w:vAlign w:val="center"/>
          </w:tcPr>
          <w:p>
            <w:pPr>
              <w:jc w:val="left"/>
            </w:pPr>
            <w:r/>
            <w:r>
              <w:rPr>
                <w:rFonts w:hint="eastAsia"/>
                <w:color w:val="000000"/>
                <w:sz w:val="21"/>
              </w:rPr>
              <w:t>无锡巨蟹的产业链定位与拜访关注要点</w:t>
            </w:r>
          </w:p>
        </w:tc>
        <w:tc>
          <w:tcPr>
            <w:tcW w:w="2982" w:type="pct"/>
            <w:tcBorders>
              <w:top w:val="single" w:sz="4" w:space="0" w:color="010000"/>
            </w:tcBorders>
            <w:vAlign w:val="center"/>
          </w:tcPr>
          <w:p>
            <w:pPr>
              <w:jc w:val="left"/>
            </w:pPr>
            <w:r/>
            <w:r>
              <w:rPr>
                <w:rFonts w:hint="eastAsia"/>
                <w:color w:val="000000"/>
                <w:sz w:val="21"/>
              </w:rPr>
              <w:t>公司概况与产品体系；产业链定位与可比公司；拜访关注要点（十个维度的问题清单）；初步判断</w:t>
            </w:r>
          </w:p>
        </w:tc>
      </w:tr>
      <w:tr>
        <w:trPr>
          <w:cantSplit/>
          <w:jc w:val="center"/>
        </w:trPr>
        <w:tc>
          <w:tcPr>
            <w:tcW w:w="263" w:type="pct"/>
            <w:tcBorders>
              <w:top w:val="single" w:sz="4" w:space="0" w:color="010000"/>
            </w:tcBorders>
            <w:vAlign w:val="center"/>
          </w:tcPr>
          <w:p>
            <w:pPr>
              <w:jc w:val="left"/>
            </w:pPr>
            <w:r/>
            <w:r>
              <w:rPr>
                <w:rFonts w:hint="eastAsia"/>
                <w:color w:val="000000"/>
                <w:sz w:val="21"/>
              </w:rPr>
              <w:t>附</w:t>
            </w:r>
          </w:p>
        </w:tc>
        <w:tc>
          <w:tcPr>
            <w:tcW w:w="1754" w:type="pct"/>
            <w:tcBorders>
              <w:top w:val="single" w:sz="4" w:space="0" w:color="010000"/>
            </w:tcBorders>
            <w:vAlign w:val="center"/>
          </w:tcPr>
          <w:p>
            <w:pPr>
              <w:jc w:val="left"/>
            </w:pPr>
            <w:r/>
            <w:r>
              <w:rPr>
                <w:rFonts w:hint="eastAsia"/>
                <w:color w:val="000000"/>
                <w:sz w:val="21"/>
              </w:rPr>
              <w:t>主要数据来源与口径说明</w:t>
            </w:r>
          </w:p>
        </w:tc>
        <w:tc>
          <w:tcPr>
            <w:tcW w:w="2982" w:type="pct"/>
            <w:tcBorders>
              <w:top w:val="single" w:sz="4" w:space="0" w:color="010000"/>
            </w:tcBorders>
            <w:vAlign w:val="center"/>
          </w:tcPr>
          <w:p>
            <w:pPr>
              <w:jc w:val="left"/>
            </w:pPr>
            <w:r/>
            <w:r>
              <w:rPr>
                <w:rFonts w:hint="eastAsia"/>
                <w:color w:val="000000"/>
                <w:sz w:val="21"/>
              </w:rPr>
              <w:t>五类数据来源；三项口径提示；时效性说明</w:t>
            </w:r>
          </w:p>
        </w:tc>
      </w:tr>
    </w:tbl>
    <w:p>
      <w:pPr>
        <w:pStyle w:val="a6"/>
      </w:pPr>
      <w:r>
        <w:rPr>
          <w:rFonts w:hint="eastAsia"/>
        </w:rPr>
        <w:t>资料来源：本memo整理。</w:t>
      </w:r>
    </w:p>
    <w:p>
      <w:pPr>
        <w:pStyle w:val="2"/>
        <w:spacing w:before="156" w:after="156"/>
      </w:pPr>
      <w:bookmarkStart w:id="1002" w:name="_Toc900002"/>
      <w:r>
        <w:rPr>
          <w:rFonts w:hint="eastAsia"/>
          <w:b/>
        </w:rPr>
        <w:t>研究方法</w:t>
      </w:r>
      <w:bookmarkEnd w:id="1002"/>
    </w:p>
    <w:p>
      <w:pPr>
        <w:pStyle w:val="a0"/>
      </w:pPr>
      <w:r>
        <w:rPr>
          <w:rFonts w:hint="eastAsia"/>
        </w:rPr>
        <w:t>本次研究采用"公开信息为基础、多源交叉验证、口径逐项标注"的方法，具体遵循四条原则：</w:t>
      </w:r>
    </w:p>
    <w:p>
      <w:pPr>
        <w:pStyle w:val="a0"/>
      </w:pPr>
      <w:r>
        <w:rPr>
          <w:rFonts w:hint="eastAsia"/>
        </w:rPr>
        <w:t>第一，来源分优先级。交易所与监管机构的公开披露文件、上市公司定期报告优先于第三方统计，第三方统计优先于媒体报道和企业自主宣传。同一事实存在多个来源时以优先级高者为准。</w:t>
      </w:r>
    </w:p>
    <w:p>
      <w:pPr>
        <w:pStyle w:val="a0"/>
      </w:pPr>
      <w:r>
        <w:rPr>
          <w:rFonts w:hint="eastAsia"/>
        </w:rPr>
        <w:t>第二，口径逐项标注。人形机器人行业尚无统一统计口径，报告在引用每一项关键数据时均标注来源机构与统计口径，对同一指标的不同来源数值不作合并或平均，而是并列呈现并说明差异原因。</w:t>
      </w:r>
    </w:p>
    <w:p>
      <w:pPr>
        <w:pStyle w:val="a0"/>
      </w:pPr>
      <w:r>
        <w:rPr>
          <w:rFonts w:hint="eastAsia"/>
        </w:rPr>
        <w:t>第三，分歧显性化。对行业内存在分歧的判断不强行给出单一结论，而是并列呈现不同来源并提示不确定性；轧差、倒算得到的数据在图表附注中逐项说明计算过程。</w:t>
      </w:r>
    </w:p>
    <w:p>
      <w:pPr>
        <w:pStyle w:val="a0"/>
      </w:pPr>
      <w:r>
        <w:rPr>
          <w:rFonts w:hint="eastAsia"/>
        </w:rPr>
        <w:t>第四，结论指向决策。每一环节的分析都落到"对标的意味着什么"，第八章将全部行业判断转化为十个维度的拜访问题清单，便于现场直接使用。</w:t>
      </w:r>
    </w:p>
    <w:p>
      <w:pPr>
        <w:pStyle w:val="2"/>
        <w:spacing w:before="156" w:after="156"/>
      </w:pPr>
      <w:bookmarkStart w:id="1003" w:name="_Toc900003"/>
      <w:r>
        <w:rPr>
          <w:rFonts w:hint="eastAsia"/>
          <w:b/>
        </w:rPr>
        <w:t>数据来源</w:t>
      </w:r>
      <w:bookmarkEnd w:id="1003"/>
    </w:p>
    <w:p>
      <w:pPr>
        <w:keepNext/>
        <w:jc w:val="center"/>
      </w:pPr>
      <w:r>
        <w:rPr>
          <w:rFonts w:hint="eastAsia"/>
          <w:b/>
          <w:sz w:val="21"/>
        </w:rPr>
        <w:t>表3  数据来源分类与优先级</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076"/>
        <w:gridCol w:w="2076"/>
        <w:gridCol w:w="2076"/>
        <w:gridCol w:w="2076"/>
      </w:tblGrid>
      <w:tr>
        <w:trPr>
          <w:cantSplit/>
          <w:tblHeader/>
          <w:jc w:val="center"/>
        </w:trPr>
        <w:tc>
          <w:tcPr>
            <w:tcW w:w="391" w:type="pct"/>
            <w:tcBorders>
              <w:top w:val="single" w:sz="12" w:space="0" w:color="010000"/>
              <w:bottom w:val="single" w:sz="4" w:space="0" w:color="010000"/>
            </w:tcBorders>
            <w:vAlign w:val="center"/>
          </w:tcPr>
          <w:p>
            <w:pPr>
              <w:keepNext/>
              <w:jc w:val="center"/>
            </w:pPr>
            <w:r/>
            <w:r>
              <w:rPr>
                <w:rFonts w:hint="eastAsia"/>
                <w:b/>
                <w:color w:val="000000"/>
                <w:sz w:val="21"/>
              </w:rPr>
              <w:t>优先级</w:t>
            </w:r>
          </w:p>
        </w:tc>
        <w:tc>
          <w:tcPr>
            <w:tcW w:w="1016" w:type="pct"/>
            <w:tcBorders>
              <w:top w:val="single" w:sz="12" w:space="0" w:color="010000"/>
              <w:bottom w:val="single" w:sz="4" w:space="0" w:color="010000"/>
            </w:tcBorders>
            <w:vAlign w:val="center"/>
          </w:tcPr>
          <w:p>
            <w:pPr>
              <w:keepNext/>
              <w:jc w:val="center"/>
            </w:pPr>
            <w:r/>
            <w:r>
              <w:rPr>
                <w:rFonts w:hint="eastAsia"/>
                <w:b/>
                <w:color w:val="000000"/>
                <w:sz w:val="21"/>
              </w:rPr>
              <w:t>来源类别</w:t>
            </w:r>
          </w:p>
        </w:tc>
        <w:tc>
          <w:tcPr>
            <w:tcW w:w="2344" w:type="pct"/>
            <w:tcBorders>
              <w:top w:val="single" w:sz="12" w:space="0" w:color="010000"/>
              <w:bottom w:val="single" w:sz="4" w:space="0" w:color="010000"/>
            </w:tcBorders>
            <w:vAlign w:val="center"/>
          </w:tcPr>
          <w:p>
            <w:pPr>
              <w:keepNext/>
              <w:jc w:val="center"/>
            </w:pPr>
            <w:r/>
            <w:r>
              <w:rPr>
                <w:rFonts w:hint="eastAsia"/>
                <w:b/>
                <w:color w:val="000000"/>
                <w:sz w:val="21"/>
              </w:rPr>
              <w:t>主要来源</w:t>
            </w:r>
          </w:p>
        </w:tc>
        <w:tc>
          <w:tcPr>
            <w:tcW w:w="1250" w:type="pct"/>
            <w:tcBorders>
              <w:top w:val="single" w:sz="12" w:space="0" w:color="010000"/>
              <w:bottom w:val="single" w:sz="4" w:space="0" w:color="010000"/>
            </w:tcBorders>
            <w:vAlign w:val="center"/>
          </w:tcPr>
          <w:p>
            <w:pPr>
              <w:keepNext/>
              <w:jc w:val="center"/>
            </w:pPr>
            <w:r/>
            <w:r>
              <w:rPr>
                <w:rFonts w:hint="eastAsia"/>
                <w:b/>
                <w:color w:val="000000"/>
                <w:sz w:val="21"/>
              </w:rPr>
              <w:t>用途</w:t>
            </w:r>
          </w:p>
        </w:tc>
      </w:tr>
      <w:tr>
        <w:trPr>
          <w:cantSplit/>
          <w:jc w:val="center"/>
        </w:trPr>
        <w:tc>
          <w:tcPr>
            <w:tcW w:w="391" w:type="pct"/>
            <w:tcBorders>
              <w:top w:val="single" w:sz="4" w:space="0" w:color="010000"/>
            </w:tcBorders>
            <w:vAlign w:val="center"/>
          </w:tcPr>
          <w:p>
            <w:pPr>
              <w:jc w:val="left"/>
            </w:pPr>
            <w:r/>
            <w:r>
              <w:rPr>
                <w:rFonts w:hint="eastAsia"/>
                <w:color w:val="000000"/>
                <w:sz w:val="21"/>
              </w:rPr>
              <w:t>一</w:t>
            </w:r>
          </w:p>
        </w:tc>
        <w:tc>
          <w:tcPr>
            <w:tcW w:w="1016" w:type="pct"/>
            <w:tcBorders>
              <w:top w:val="single" w:sz="4" w:space="0" w:color="010000"/>
            </w:tcBorders>
            <w:vAlign w:val="center"/>
          </w:tcPr>
          <w:p>
            <w:pPr>
              <w:jc w:val="left"/>
            </w:pPr>
            <w:r/>
            <w:r>
              <w:rPr>
                <w:rFonts w:hint="eastAsia"/>
                <w:color w:val="000000"/>
                <w:sz w:val="21"/>
              </w:rPr>
              <w:t>交易所与监管机构公开披露</w:t>
            </w:r>
          </w:p>
        </w:tc>
        <w:tc>
          <w:tcPr>
            <w:tcW w:w="2344" w:type="pct"/>
            <w:tcBorders>
              <w:top w:val="single" w:sz="4" w:space="0" w:color="010000"/>
            </w:tcBorders>
            <w:vAlign w:val="center"/>
          </w:tcPr>
          <w:p>
            <w:pPr>
              <w:jc w:val="left"/>
            </w:pPr>
            <w:r/>
            <w:r>
              <w:rPr>
                <w:rFonts w:hint="eastAsia"/>
                <w:color w:val="000000"/>
                <w:sz w:val="21"/>
              </w:rPr>
              <w:t>上交所、深交所、港交所的招股文件、发行保荐书、受理与问询公告；中国证监会及各地证监局辅导备案公示</w:t>
            </w:r>
          </w:p>
        </w:tc>
        <w:tc>
          <w:tcPr>
            <w:tcW w:w="1250" w:type="pct"/>
            <w:tcBorders>
              <w:top w:val="single" w:sz="4" w:space="0" w:color="010000"/>
            </w:tcBorders>
            <w:vAlign w:val="center"/>
          </w:tcPr>
          <w:p>
            <w:pPr>
              <w:jc w:val="left"/>
            </w:pPr>
            <w:r/>
            <w:r>
              <w:rPr>
                <w:rFonts w:hint="eastAsia"/>
                <w:color w:val="000000"/>
                <w:sz w:val="21"/>
              </w:rPr>
              <w:t>上市进度、保荐机构、募资规模、经审计财务数据</w:t>
            </w:r>
          </w:p>
        </w:tc>
      </w:tr>
      <w:tr>
        <w:trPr>
          <w:cantSplit/>
          <w:jc w:val="center"/>
        </w:trPr>
        <w:tc>
          <w:tcPr>
            <w:tcW w:w="391" w:type="pct"/>
            <w:tcBorders>
              <w:top w:val="single" w:sz="4" w:space="0" w:color="010000"/>
            </w:tcBorders>
            <w:vAlign w:val="center"/>
          </w:tcPr>
          <w:p>
            <w:pPr>
              <w:jc w:val="left"/>
            </w:pPr>
            <w:r/>
            <w:r>
              <w:rPr>
                <w:rFonts w:hint="eastAsia"/>
                <w:color w:val="000000"/>
                <w:sz w:val="21"/>
              </w:rPr>
              <w:t>二</w:t>
            </w:r>
          </w:p>
        </w:tc>
        <w:tc>
          <w:tcPr>
            <w:tcW w:w="1016" w:type="pct"/>
            <w:tcBorders>
              <w:top w:val="single" w:sz="4" w:space="0" w:color="010000"/>
            </w:tcBorders>
            <w:vAlign w:val="center"/>
          </w:tcPr>
          <w:p>
            <w:pPr>
              <w:jc w:val="left"/>
            </w:pPr>
            <w:r/>
            <w:r>
              <w:rPr>
                <w:rFonts w:hint="eastAsia"/>
                <w:color w:val="000000"/>
                <w:sz w:val="21"/>
              </w:rPr>
              <w:t>上市公司定期报告与公告</w:t>
            </w:r>
          </w:p>
        </w:tc>
        <w:tc>
          <w:tcPr>
            <w:tcW w:w="2344" w:type="pct"/>
            <w:tcBorders>
              <w:top w:val="single" w:sz="4" w:space="0" w:color="010000"/>
            </w:tcBorders>
            <w:vAlign w:val="center"/>
          </w:tcPr>
          <w:p>
            <w:pPr>
              <w:jc w:val="left"/>
            </w:pPr>
            <w:r/>
            <w:r>
              <w:rPr>
                <w:rFonts w:hint="eastAsia"/>
                <w:color w:val="000000"/>
                <w:sz w:val="21"/>
              </w:rPr>
              <w:t>绿的谐波、优必选年度报告；上纬新材控制权变更公告；晋拓科技发行保荐书</w:t>
            </w:r>
          </w:p>
        </w:tc>
        <w:tc>
          <w:tcPr>
            <w:tcW w:w="1250" w:type="pct"/>
            <w:tcBorders>
              <w:top w:val="single" w:sz="4" w:space="0" w:color="010000"/>
            </w:tcBorders>
            <w:vAlign w:val="center"/>
          </w:tcPr>
          <w:p>
            <w:pPr>
              <w:jc w:val="left"/>
            </w:pPr>
            <w:r/>
            <w:r>
              <w:rPr>
                <w:rFonts w:hint="eastAsia"/>
                <w:color w:val="000000"/>
                <w:sz w:val="21"/>
              </w:rPr>
              <w:t>上市零部件与整机企业的收入、利润、销量、业务结构</w:t>
            </w:r>
          </w:p>
        </w:tc>
      </w:tr>
      <w:tr>
        <w:trPr>
          <w:cantSplit/>
          <w:jc w:val="center"/>
        </w:trPr>
        <w:tc>
          <w:tcPr>
            <w:tcW w:w="391" w:type="pct"/>
            <w:tcBorders>
              <w:top w:val="single" w:sz="4" w:space="0" w:color="010000"/>
            </w:tcBorders>
            <w:vAlign w:val="center"/>
          </w:tcPr>
          <w:p>
            <w:pPr>
              <w:jc w:val="left"/>
            </w:pPr>
            <w:r/>
            <w:r>
              <w:rPr>
                <w:rFonts w:hint="eastAsia"/>
                <w:color w:val="000000"/>
                <w:sz w:val="21"/>
              </w:rPr>
              <w:t>三</w:t>
            </w:r>
          </w:p>
        </w:tc>
        <w:tc>
          <w:tcPr>
            <w:tcW w:w="1016" w:type="pct"/>
            <w:tcBorders>
              <w:top w:val="single" w:sz="4" w:space="0" w:color="010000"/>
            </w:tcBorders>
            <w:vAlign w:val="center"/>
          </w:tcPr>
          <w:p>
            <w:pPr>
              <w:jc w:val="left"/>
            </w:pPr>
            <w:r/>
            <w:r>
              <w:rPr>
                <w:rFonts w:hint="eastAsia"/>
                <w:color w:val="000000"/>
                <w:sz w:val="21"/>
              </w:rPr>
              <w:t>第三方专业统计机构</w:t>
            </w:r>
          </w:p>
        </w:tc>
        <w:tc>
          <w:tcPr>
            <w:tcW w:w="2344" w:type="pct"/>
            <w:tcBorders>
              <w:top w:val="single" w:sz="4" w:space="0" w:color="010000"/>
            </w:tcBorders>
            <w:vAlign w:val="center"/>
          </w:tcPr>
          <w:p>
            <w:pPr>
              <w:jc w:val="left"/>
            </w:pPr>
            <w:r/>
            <w:r>
              <w:rPr>
                <w:rFonts w:hint="eastAsia"/>
                <w:color w:val="000000"/>
                <w:sz w:val="21"/>
              </w:rPr>
              <w:t>高工机器人（GGII）、IDC、MIR DATABANK、中商产业研究院、中国电子学会、摩根士丹利、高盛</w:t>
            </w:r>
          </w:p>
        </w:tc>
        <w:tc>
          <w:tcPr>
            <w:tcW w:w="1250" w:type="pct"/>
            <w:tcBorders>
              <w:top w:val="single" w:sz="4" w:space="0" w:color="010000"/>
            </w:tcBorders>
            <w:vAlign w:val="center"/>
          </w:tcPr>
          <w:p>
            <w:pPr>
              <w:jc w:val="left"/>
            </w:pPr>
            <w:r/>
            <w:r>
              <w:rPr>
                <w:rFonts w:hint="eastAsia"/>
                <w:color w:val="000000"/>
                <w:sz w:val="21"/>
              </w:rPr>
              <w:t>出货量、市场规模、市场份额、招投标统计、中长期预测</w:t>
            </w:r>
          </w:p>
        </w:tc>
      </w:tr>
      <w:tr>
        <w:trPr>
          <w:cantSplit/>
          <w:jc w:val="center"/>
        </w:trPr>
        <w:tc>
          <w:tcPr>
            <w:tcW w:w="391" w:type="pct"/>
            <w:tcBorders>
              <w:top w:val="single" w:sz="4" w:space="0" w:color="010000"/>
            </w:tcBorders>
            <w:vAlign w:val="center"/>
          </w:tcPr>
          <w:p>
            <w:pPr>
              <w:jc w:val="left"/>
            </w:pPr>
            <w:r/>
            <w:r>
              <w:rPr>
                <w:rFonts w:hint="eastAsia"/>
                <w:color w:val="000000"/>
                <w:sz w:val="21"/>
              </w:rPr>
              <w:t>四</w:t>
            </w:r>
          </w:p>
        </w:tc>
        <w:tc>
          <w:tcPr>
            <w:tcW w:w="1016" w:type="pct"/>
            <w:tcBorders>
              <w:top w:val="single" w:sz="4" w:space="0" w:color="010000"/>
            </w:tcBorders>
            <w:vAlign w:val="center"/>
          </w:tcPr>
          <w:p>
            <w:pPr>
              <w:jc w:val="left"/>
            </w:pPr>
            <w:r/>
            <w:r>
              <w:rPr>
                <w:rFonts w:hint="eastAsia"/>
                <w:color w:val="000000"/>
                <w:sz w:val="21"/>
              </w:rPr>
              <w:t>政府部门与官方媒体</w:t>
            </w:r>
          </w:p>
        </w:tc>
        <w:tc>
          <w:tcPr>
            <w:tcW w:w="2344" w:type="pct"/>
            <w:tcBorders>
              <w:top w:val="single" w:sz="4" w:space="0" w:color="010000"/>
            </w:tcBorders>
            <w:vAlign w:val="center"/>
          </w:tcPr>
          <w:p>
            <w:pPr>
              <w:jc w:val="left"/>
            </w:pPr>
            <w:r/>
            <w:r>
              <w:rPr>
                <w:rFonts w:hint="eastAsia"/>
                <w:color w:val="000000"/>
                <w:sz w:val="21"/>
              </w:rPr>
              <w:t>工信部《人形机器人创新发展指导意见》、2026年政府工作报告、"十五五"规划纲要草案、新华网</w:t>
            </w:r>
          </w:p>
        </w:tc>
        <w:tc>
          <w:tcPr>
            <w:tcW w:w="1250" w:type="pct"/>
            <w:tcBorders>
              <w:top w:val="single" w:sz="4" w:space="0" w:color="010000"/>
            </w:tcBorders>
            <w:vAlign w:val="center"/>
          </w:tcPr>
          <w:p>
            <w:pPr>
              <w:jc w:val="left"/>
            </w:pPr>
            <w:r/>
            <w:r>
              <w:rPr>
                <w:rFonts w:hint="eastAsia"/>
                <w:color w:val="000000"/>
                <w:sz w:val="21"/>
              </w:rPr>
              <w:t>政策依据、行业产量的官方口径、区域产业集群信息</w:t>
            </w:r>
          </w:p>
        </w:tc>
      </w:tr>
      <w:tr>
        <w:trPr>
          <w:cantSplit/>
          <w:jc w:val="center"/>
        </w:trPr>
        <w:tc>
          <w:tcPr>
            <w:tcW w:w="391" w:type="pct"/>
            <w:tcBorders>
              <w:top w:val="single" w:sz="4" w:space="0" w:color="010000"/>
            </w:tcBorders>
            <w:vAlign w:val="center"/>
          </w:tcPr>
          <w:p>
            <w:pPr>
              <w:jc w:val="left"/>
            </w:pPr>
            <w:r/>
            <w:r>
              <w:rPr>
                <w:rFonts w:hint="eastAsia"/>
                <w:color w:val="000000"/>
                <w:sz w:val="21"/>
              </w:rPr>
              <w:t>五</w:t>
            </w:r>
          </w:p>
        </w:tc>
        <w:tc>
          <w:tcPr>
            <w:tcW w:w="1016" w:type="pct"/>
            <w:tcBorders>
              <w:top w:val="single" w:sz="4" w:space="0" w:color="010000"/>
            </w:tcBorders>
            <w:vAlign w:val="center"/>
          </w:tcPr>
          <w:p>
            <w:pPr>
              <w:jc w:val="left"/>
            </w:pPr>
            <w:r/>
            <w:r>
              <w:rPr>
                <w:rFonts w:hint="eastAsia"/>
                <w:color w:val="000000"/>
                <w:sz w:val="21"/>
              </w:rPr>
              <w:t>公司资料与行业媒体</w:t>
            </w:r>
          </w:p>
        </w:tc>
        <w:tc>
          <w:tcPr>
            <w:tcW w:w="2344" w:type="pct"/>
            <w:tcBorders>
              <w:top w:val="single" w:sz="4" w:space="0" w:color="010000"/>
            </w:tcBorders>
            <w:vAlign w:val="center"/>
          </w:tcPr>
          <w:p>
            <w:pPr>
              <w:jc w:val="left"/>
            </w:pPr>
            <w:r/>
            <w:r>
              <w:rPr>
                <w:rFonts w:hint="eastAsia"/>
                <w:color w:val="000000"/>
                <w:sz w:val="21"/>
              </w:rPr>
              <w:t>无锡巨蟹官网及产品手册、世界机器人大会展商资料、机器人大讲堂等行业媒体及主流财经媒体</w:t>
            </w:r>
          </w:p>
        </w:tc>
        <w:tc>
          <w:tcPr>
            <w:tcW w:w="1250" w:type="pct"/>
            <w:tcBorders>
              <w:top w:val="single" w:sz="4" w:space="0" w:color="010000"/>
            </w:tcBorders>
            <w:vAlign w:val="center"/>
          </w:tcPr>
          <w:p>
            <w:pPr>
              <w:jc w:val="left"/>
            </w:pPr>
            <w:r/>
            <w:r>
              <w:rPr>
                <w:rFonts w:hint="eastAsia"/>
                <w:color w:val="000000"/>
                <w:sz w:val="21"/>
              </w:rPr>
              <w:t>未上市企业的产品参数、交付进展、融资情况、订单信息</w:t>
            </w:r>
          </w:p>
        </w:tc>
      </w:tr>
    </w:tbl>
    <w:p>
      <w:pPr>
        <w:pStyle w:val="a6"/>
      </w:pPr>
      <w:r>
        <w:rPr>
          <w:rFonts w:hint="eastAsia"/>
        </w:rPr>
        <w:t>资料来源：本memo整理。全部图表的原始数据、制图数据及20条逐项来源清单见配套Excel文件。</w:t>
      </w:r>
    </w:p>
    <w:p>
      <w:pPr>
        <w:pStyle w:val="2"/>
        <w:spacing w:before="156" w:after="156"/>
      </w:pPr>
      <w:bookmarkStart w:id="1004" w:name="_Toc900004"/>
      <w:r>
        <w:rPr>
          <w:rFonts w:hint="eastAsia"/>
          <w:b/>
        </w:rPr>
        <w:t>工作节奏与下一步</w:t>
      </w:r>
      <w:bookmarkEnd w:id="1004"/>
    </w:p>
    <w:p>
      <w:pPr>
        <w:keepNext/>
        <w:jc w:val="center"/>
      </w:pPr>
      <w:r>
        <w:rPr>
          <w:rFonts w:hint="eastAsia"/>
          <w:b/>
          <w:sz w:val="21"/>
        </w:rPr>
        <w:t>表4  工作节奏安排</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076"/>
        <w:gridCol w:w="2076"/>
        <w:gridCol w:w="2076"/>
        <w:gridCol w:w="2076"/>
      </w:tblGrid>
      <w:tr>
        <w:trPr>
          <w:cantSplit/>
          <w:tblHeader/>
          <w:jc w:val="center"/>
        </w:trPr>
        <w:tc>
          <w:tcPr>
            <w:tcW w:w="667" w:type="pct"/>
            <w:tcBorders>
              <w:top w:val="single" w:sz="12" w:space="0" w:color="010000"/>
              <w:bottom w:val="single" w:sz="4" w:space="0" w:color="010000"/>
            </w:tcBorders>
            <w:vAlign w:val="center"/>
          </w:tcPr>
          <w:p>
            <w:pPr>
              <w:keepNext/>
              <w:jc w:val="center"/>
            </w:pPr>
            <w:r/>
            <w:r>
              <w:rPr>
                <w:rFonts w:hint="eastAsia"/>
                <w:b/>
                <w:color w:val="000000"/>
                <w:sz w:val="21"/>
              </w:rPr>
              <w:t>阶段</w:t>
            </w:r>
          </w:p>
        </w:tc>
        <w:tc>
          <w:tcPr>
            <w:tcW w:w="500" w:type="pct"/>
            <w:tcBorders>
              <w:top w:val="single" w:sz="12" w:space="0" w:color="010000"/>
              <w:bottom w:val="single" w:sz="4" w:space="0" w:color="010000"/>
            </w:tcBorders>
            <w:vAlign w:val="center"/>
          </w:tcPr>
          <w:p>
            <w:pPr>
              <w:keepNext/>
              <w:jc w:val="center"/>
            </w:pPr>
            <w:r/>
            <w:r>
              <w:rPr>
                <w:rFonts w:hint="eastAsia"/>
                <w:b/>
                <w:color w:val="000000"/>
                <w:sz w:val="21"/>
              </w:rPr>
              <w:t>时间</w:t>
            </w:r>
          </w:p>
        </w:tc>
        <w:tc>
          <w:tcPr>
            <w:tcW w:w="2833" w:type="pct"/>
            <w:tcBorders>
              <w:top w:val="single" w:sz="12" w:space="0" w:color="010000"/>
              <w:bottom w:val="single" w:sz="4" w:space="0" w:color="010000"/>
            </w:tcBorders>
            <w:vAlign w:val="center"/>
          </w:tcPr>
          <w:p>
            <w:pPr>
              <w:keepNext/>
              <w:jc w:val="center"/>
            </w:pPr>
            <w:r/>
            <w:r>
              <w:rPr>
                <w:rFonts w:hint="eastAsia"/>
                <w:b/>
                <w:color w:val="000000"/>
                <w:sz w:val="21"/>
              </w:rPr>
              <w:t>工作内容</w:t>
            </w:r>
          </w:p>
        </w:tc>
        <w:tc>
          <w:tcPr>
            <w:tcW w:w="1000" w:type="pct"/>
            <w:tcBorders>
              <w:top w:val="single" w:sz="12" w:space="0" w:color="010000"/>
              <w:bottom w:val="single" w:sz="4" w:space="0" w:color="010000"/>
            </w:tcBorders>
            <w:vAlign w:val="center"/>
          </w:tcPr>
          <w:p>
            <w:pPr>
              <w:keepNext/>
              <w:jc w:val="center"/>
            </w:pPr>
            <w:r/>
            <w:r>
              <w:rPr>
                <w:rFonts w:hint="eastAsia"/>
                <w:b/>
                <w:color w:val="000000"/>
                <w:sz w:val="21"/>
              </w:rPr>
              <w:t>产出</w:t>
            </w:r>
          </w:p>
        </w:tc>
      </w:tr>
      <w:tr>
        <w:trPr>
          <w:cantSplit/>
          <w:jc w:val="center"/>
        </w:trPr>
        <w:tc>
          <w:tcPr>
            <w:tcW w:w="667" w:type="pct"/>
            <w:tcBorders>
              <w:top w:val="single" w:sz="4" w:space="0" w:color="010000"/>
            </w:tcBorders>
            <w:vAlign w:val="center"/>
          </w:tcPr>
          <w:p>
            <w:pPr>
              <w:jc w:val="left"/>
            </w:pPr>
            <w:r/>
            <w:r>
              <w:rPr>
                <w:rFonts w:hint="eastAsia"/>
                <w:color w:val="000000"/>
                <w:sz w:val="21"/>
              </w:rPr>
              <w:t>第一阶段：案头研究</w:t>
            </w:r>
          </w:p>
        </w:tc>
        <w:tc>
          <w:tcPr>
            <w:tcW w:w="500" w:type="pct"/>
            <w:tcBorders>
              <w:top w:val="single" w:sz="4" w:space="0" w:color="010000"/>
            </w:tcBorders>
            <w:vAlign w:val="center"/>
          </w:tcPr>
          <w:p>
            <w:pPr>
              <w:jc w:val="left"/>
            </w:pPr>
            <w:r/>
            <w:r>
              <w:rPr>
                <w:rFonts w:hint="eastAsia"/>
                <w:color w:val="000000"/>
                <w:sz w:val="21"/>
              </w:rPr>
              <w:t>已完成</w:t>
            </w:r>
          </w:p>
        </w:tc>
        <w:tc>
          <w:tcPr>
            <w:tcW w:w="2833" w:type="pct"/>
            <w:tcBorders>
              <w:top w:val="single" w:sz="4" w:space="0" w:color="010000"/>
            </w:tcBorders>
            <w:vAlign w:val="center"/>
          </w:tcPr>
          <w:p>
            <w:pPr>
              <w:jc w:val="left"/>
            </w:pPr>
            <w:r/>
            <w:r>
              <w:rPr>
                <w:rFonts w:hint="eastAsia"/>
                <w:color w:val="000000"/>
                <w:sz w:val="21"/>
              </w:rPr>
              <w:t>产业链梳理、市场数据收集、竞争格局分析、资本化进度核验、国泰海通相关公司梳理</w:t>
            </w:r>
          </w:p>
        </w:tc>
        <w:tc>
          <w:tcPr>
            <w:tcW w:w="1000" w:type="pct"/>
            <w:tcBorders>
              <w:top w:val="single" w:sz="4" w:space="0" w:color="010000"/>
            </w:tcBorders>
            <w:vAlign w:val="center"/>
          </w:tcPr>
          <w:p>
            <w:pPr>
              <w:jc w:val="left"/>
            </w:pPr>
            <w:r/>
            <w:r>
              <w:rPr>
                <w:rFonts w:hint="eastAsia"/>
                <w:color w:val="000000"/>
                <w:sz w:val="21"/>
              </w:rPr>
              <w:t>研究报告、图表数据底稿、本memo</w:t>
            </w:r>
          </w:p>
        </w:tc>
      </w:tr>
      <w:tr>
        <w:trPr>
          <w:cantSplit/>
          <w:jc w:val="center"/>
        </w:trPr>
        <w:tc>
          <w:tcPr>
            <w:tcW w:w="667" w:type="pct"/>
            <w:tcBorders>
              <w:top w:val="single" w:sz="4" w:space="0" w:color="010000"/>
            </w:tcBorders>
            <w:vAlign w:val="center"/>
          </w:tcPr>
          <w:p>
            <w:pPr>
              <w:jc w:val="left"/>
            </w:pPr>
            <w:r/>
            <w:r>
              <w:rPr>
                <w:rFonts w:hint="eastAsia"/>
                <w:color w:val="000000"/>
                <w:sz w:val="21"/>
              </w:rPr>
              <w:t>第二阶段：拜访准备</w:t>
            </w:r>
          </w:p>
        </w:tc>
        <w:tc>
          <w:tcPr>
            <w:tcW w:w="500" w:type="pct"/>
            <w:tcBorders>
              <w:top w:val="single" w:sz="4" w:space="0" w:color="010000"/>
            </w:tcBorders>
            <w:vAlign w:val="center"/>
          </w:tcPr>
          <w:p>
            <w:pPr>
              <w:jc w:val="left"/>
            </w:pPr>
            <w:r/>
            <w:r>
              <w:rPr>
                <w:rFonts w:hint="eastAsia"/>
                <w:color w:val="000000"/>
                <w:sz w:val="21"/>
              </w:rPr>
              <w:t>拜访前</w:t>
            </w:r>
          </w:p>
        </w:tc>
        <w:tc>
          <w:tcPr>
            <w:tcW w:w="2833" w:type="pct"/>
            <w:tcBorders>
              <w:top w:val="single" w:sz="4" w:space="0" w:color="010000"/>
            </w:tcBorders>
            <w:vAlign w:val="center"/>
          </w:tcPr>
          <w:p>
            <w:pPr>
              <w:jc w:val="left"/>
            </w:pPr>
            <w:r/>
            <w:r>
              <w:rPr>
                <w:rFonts w:hint="eastAsia"/>
                <w:color w:val="000000"/>
                <w:sz w:val="21"/>
              </w:rPr>
              <w:t>按第八章问题清单准备访谈提纲；内部核对我司在该产业链的项目储备（在审、辅导、投资），补充本报告因公开信息受限而未覆盖的部分</w:t>
            </w:r>
          </w:p>
        </w:tc>
        <w:tc>
          <w:tcPr>
            <w:tcW w:w="1000" w:type="pct"/>
            <w:tcBorders>
              <w:top w:val="single" w:sz="4" w:space="0" w:color="010000"/>
            </w:tcBorders>
            <w:vAlign w:val="center"/>
          </w:tcPr>
          <w:p>
            <w:pPr>
              <w:jc w:val="left"/>
            </w:pPr>
            <w:r/>
            <w:r>
              <w:rPr>
                <w:rFonts w:hint="eastAsia"/>
                <w:color w:val="000000"/>
                <w:sz w:val="21"/>
              </w:rPr>
              <w:t>访谈提纲、内部项目清单</w:t>
            </w:r>
          </w:p>
        </w:tc>
      </w:tr>
      <w:tr>
        <w:trPr>
          <w:cantSplit/>
          <w:jc w:val="center"/>
        </w:trPr>
        <w:tc>
          <w:tcPr>
            <w:tcW w:w="667" w:type="pct"/>
            <w:tcBorders>
              <w:top w:val="single" w:sz="4" w:space="0" w:color="010000"/>
            </w:tcBorders>
            <w:vAlign w:val="center"/>
          </w:tcPr>
          <w:p>
            <w:pPr>
              <w:jc w:val="left"/>
            </w:pPr>
            <w:r/>
            <w:r>
              <w:rPr>
                <w:rFonts w:hint="eastAsia"/>
                <w:color w:val="000000"/>
                <w:sz w:val="21"/>
              </w:rPr>
              <w:t>第三阶段：实地拜访</w:t>
            </w:r>
          </w:p>
        </w:tc>
        <w:tc>
          <w:tcPr>
            <w:tcW w:w="500" w:type="pct"/>
            <w:tcBorders>
              <w:top w:val="single" w:sz="4" w:space="0" w:color="010000"/>
            </w:tcBorders>
            <w:vAlign w:val="center"/>
          </w:tcPr>
          <w:p>
            <w:pPr>
              <w:jc w:val="left"/>
            </w:pPr>
            <w:r/>
            <w:r>
              <w:rPr>
                <w:rFonts w:hint="eastAsia"/>
                <w:color w:val="000000"/>
                <w:sz w:val="21"/>
              </w:rPr>
              <w:t>拜访当日</w:t>
            </w:r>
          </w:p>
        </w:tc>
        <w:tc>
          <w:tcPr>
            <w:tcW w:w="2833" w:type="pct"/>
            <w:tcBorders>
              <w:top w:val="single" w:sz="4" w:space="0" w:color="010000"/>
            </w:tcBorders>
            <w:vAlign w:val="center"/>
          </w:tcPr>
          <w:p>
            <w:pPr>
              <w:jc w:val="left"/>
            </w:pPr>
            <w:r/>
            <w:r>
              <w:rPr>
                <w:rFonts w:hint="eastAsia"/>
                <w:color w:val="000000"/>
                <w:sz w:val="21"/>
              </w:rPr>
              <w:t>重点核实客户结构与量产导入、产能与良率、价格与毛利趋势、自研编码器与驱动器的实际水平、技术路线适配性、财务与资本化规划</w:t>
            </w:r>
          </w:p>
        </w:tc>
        <w:tc>
          <w:tcPr>
            <w:tcW w:w="1000" w:type="pct"/>
            <w:tcBorders>
              <w:top w:val="single" w:sz="4" w:space="0" w:color="010000"/>
            </w:tcBorders>
            <w:vAlign w:val="center"/>
          </w:tcPr>
          <w:p>
            <w:pPr>
              <w:jc w:val="left"/>
            </w:pPr>
            <w:r/>
            <w:r>
              <w:rPr>
                <w:rFonts w:hint="eastAsia"/>
                <w:color w:val="000000"/>
                <w:sz w:val="21"/>
              </w:rPr>
              <w:t>访谈纪要</w:t>
            </w:r>
          </w:p>
        </w:tc>
      </w:tr>
      <w:tr>
        <w:trPr>
          <w:cantSplit/>
          <w:jc w:val="center"/>
        </w:trPr>
        <w:tc>
          <w:tcPr>
            <w:tcW w:w="667" w:type="pct"/>
            <w:tcBorders>
              <w:top w:val="single" w:sz="4" w:space="0" w:color="010000"/>
            </w:tcBorders>
            <w:vAlign w:val="center"/>
          </w:tcPr>
          <w:p>
            <w:pPr>
              <w:jc w:val="left"/>
            </w:pPr>
            <w:r/>
            <w:r>
              <w:rPr>
                <w:rFonts w:hint="eastAsia"/>
                <w:color w:val="000000"/>
                <w:sz w:val="21"/>
              </w:rPr>
              <w:t>第四阶段：拜访后复盘</w:t>
            </w:r>
          </w:p>
        </w:tc>
        <w:tc>
          <w:tcPr>
            <w:tcW w:w="500" w:type="pct"/>
            <w:tcBorders>
              <w:top w:val="single" w:sz="4" w:space="0" w:color="010000"/>
            </w:tcBorders>
            <w:vAlign w:val="center"/>
          </w:tcPr>
          <w:p>
            <w:pPr>
              <w:jc w:val="left"/>
            </w:pPr>
            <w:r/>
            <w:r>
              <w:rPr>
                <w:rFonts w:hint="eastAsia"/>
                <w:color w:val="000000"/>
                <w:sz w:val="21"/>
              </w:rPr>
              <w:t>拜访后一周内</w:t>
            </w:r>
          </w:p>
        </w:tc>
        <w:tc>
          <w:tcPr>
            <w:tcW w:w="2833" w:type="pct"/>
            <w:tcBorders>
              <w:top w:val="single" w:sz="4" w:space="0" w:color="010000"/>
            </w:tcBorders>
            <w:vAlign w:val="center"/>
          </w:tcPr>
          <w:p>
            <w:pPr>
              <w:jc w:val="left"/>
            </w:pPr>
            <w:r/>
            <w:r>
              <w:rPr>
                <w:rFonts w:hint="eastAsia"/>
                <w:color w:val="000000"/>
                <w:sz w:val="21"/>
              </w:rPr>
              <w:t>用现场获取的信息修正本报告第八章的初步判断；形成对标的的业务机会判断与后续跟进建议</w:t>
            </w:r>
          </w:p>
        </w:tc>
        <w:tc>
          <w:tcPr>
            <w:tcW w:w="1000" w:type="pct"/>
            <w:tcBorders>
              <w:top w:val="single" w:sz="4" w:space="0" w:color="010000"/>
            </w:tcBorders>
            <w:vAlign w:val="center"/>
          </w:tcPr>
          <w:p>
            <w:pPr>
              <w:jc w:val="left"/>
            </w:pPr>
            <w:r/>
            <w:r>
              <w:rPr>
                <w:rFonts w:hint="eastAsia"/>
                <w:color w:val="000000"/>
                <w:sz w:val="21"/>
              </w:rPr>
              <w:t>拜访纪要与跟进建议</w:t>
            </w:r>
          </w:p>
        </w:tc>
      </w:tr>
    </w:tbl>
    <w:p>
      <w:pPr>
        <w:pStyle w:val="a6"/>
      </w:pPr>
      <w:r>
        <w:rPr>
          <w:rFonts w:hint="eastAsia"/>
        </w:rPr>
        <w:t>资料来源：本memo整理。</w:t>
      </w:r>
    </w:p>
    <w:p>
      <w:pPr>
        <w:pStyle w:val="2"/>
        <w:spacing w:before="156" w:after="156"/>
      </w:pPr>
      <w:bookmarkStart w:id="1005" w:name="_Toc900005"/>
      <w:r>
        <w:rPr>
          <w:rFonts w:hint="eastAsia"/>
          <w:b/>
        </w:rPr>
        <w:t>需要提示的事项</w:t>
      </w:r>
      <w:bookmarkEnd w:id="1005"/>
    </w:p>
    <w:p>
      <w:pPr>
        <w:pStyle w:val="a0"/>
      </w:pPr>
      <w:r>
        <w:rPr>
          <w:rFonts w:hint="eastAsia"/>
        </w:rPr>
        <w:t>第一，统计口径不统一。人形机器人出货量尚无行业统计标准，报告中"2025年中国出货2万台"（高工机器人口径）与"全球出货1.7万台、中国1.44万台"（IDC等口径）来自不同统计体系，不可直接比较，也不能相互印证。第三方统计与企业年报口径同样存在出入。</w:t>
      </w:r>
    </w:p>
    <w:p>
      <w:pPr>
        <w:pStyle w:val="a0"/>
      </w:pPr>
      <w:r>
        <w:rPr>
          <w:rFonts w:hint="eastAsia"/>
        </w:rPr>
        <w:t>第二，未上市企业数据未经核验。第二梯队整机企业和无锡巨蟹的经营数据均来自公开报道或企业自主宣传；估值均为公开报道的融资后估值，不代表实际交易定价。</w:t>
      </w:r>
    </w:p>
    <w:p>
      <w:pPr>
        <w:pStyle w:val="a0"/>
      </w:pPr>
      <w:r>
        <w:rPr>
          <w:rFonts w:hint="eastAsia"/>
        </w:rPr>
        <w:t>第三，前瞻性数据仅作方向性参考。2026年及以后的出货预测、产能规划和成本目标（含特斯拉Optimus）历史上多次出现规划与实际的明显差距，2026年头部企业合计规划产能超10万台而行业预计实际交付4万—6万台即为一例。</w:t>
      </w:r>
    </w:p>
    <w:p>
      <w:pPr>
        <w:pStyle w:val="a0"/>
      </w:pPr>
      <w:r>
        <w:rPr>
          <w:rFonts w:hint="eastAsia"/>
        </w:rPr>
        <w:t>第四，第七章的梳理不构成完整清单。券商的在审项目、辅导项目和私募股权子公司的投资组合并非全部对外披露，本次仅覆盖可公开检索到的部分，建议在正式使用前通过内部项目系统补充核对。</w:t>
      </w:r>
    </w:p>
    <w:p>
      <w:pPr>
        <w:pStyle w:val="a0"/>
      </w:pPr>
      <w:r>
        <w:rPr>
          <w:rFonts w:hint="eastAsia"/>
        </w:rPr>
        <w:t>第五，时效性。本报告完成于2026年8月，信息核验至2026年8月上旬。该行业变化较快，正式对外使用前建议对关键数字做一次复核。</w:t>
      </w:r>
    </w:p>
    <w:p>
      <w:pPr>
        <w:pStyle w:val="2"/>
        <w:spacing w:before="156" w:after="156"/>
      </w:pPr>
      <w:bookmarkStart w:id="1006" w:name="_Toc900006"/>
      <w:r>
        <w:rPr>
          <w:rFonts w:hint="eastAsia"/>
          <w:b/>
        </w:rPr>
        <w:t>交付物清单</w:t>
      </w:r>
      <w:bookmarkEnd w:id="1006"/>
    </w:p>
    <w:p>
      <w:pPr>
        <w:keepNext/>
        <w:jc w:val="center"/>
      </w:pPr>
      <w:r>
        <w:rPr>
          <w:rFonts w:hint="eastAsia"/>
          <w:b/>
          <w:sz w:val="21"/>
        </w:rPr>
        <w:t>表5  交付物清单</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076"/>
        <w:gridCol w:w="2076"/>
        <w:gridCol w:w="2076"/>
        <w:gridCol w:w="2076"/>
      </w:tblGrid>
      <w:tr>
        <w:trPr>
          <w:cantSplit/>
          <w:tblHeader/>
          <w:jc w:val="center"/>
        </w:trPr>
        <w:tc>
          <w:tcPr>
            <w:tcW w:w="282" w:type="pct"/>
            <w:tcBorders>
              <w:top w:val="single" w:sz="12" w:space="0" w:color="010000"/>
              <w:bottom w:val="single" w:sz="4" w:space="0" w:color="010000"/>
            </w:tcBorders>
            <w:vAlign w:val="center"/>
          </w:tcPr>
          <w:p>
            <w:pPr>
              <w:keepNext/>
              <w:jc w:val="center"/>
            </w:pPr>
            <w:r/>
            <w:r>
              <w:rPr>
                <w:rFonts w:hint="eastAsia"/>
                <w:b/>
                <w:color w:val="000000"/>
                <w:sz w:val="21"/>
              </w:rPr>
              <w:t>序号</w:t>
            </w:r>
          </w:p>
        </w:tc>
        <w:tc>
          <w:tcPr>
            <w:tcW w:w="1694" w:type="pct"/>
            <w:tcBorders>
              <w:top w:val="single" w:sz="12" w:space="0" w:color="010000"/>
              <w:bottom w:val="single" w:sz="4" w:space="0" w:color="010000"/>
            </w:tcBorders>
            <w:vAlign w:val="center"/>
          </w:tcPr>
          <w:p>
            <w:pPr>
              <w:keepNext/>
              <w:jc w:val="center"/>
            </w:pPr>
            <w:r/>
            <w:r>
              <w:rPr>
                <w:rFonts w:hint="eastAsia"/>
                <w:b/>
                <w:color w:val="000000"/>
                <w:sz w:val="21"/>
              </w:rPr>
              <w:t>文件名</w:t>
            </w:r>
          </w:p>
        </w:tc>
        <w:tc>
          <w:tcPr>
            <w:tcW w:w="726" w:type="pct"/>
            <w:tcBorders>
              <w:top w:val="single" w:sz="12" w:space="0" w:color="010000"/>
              <w:bottom w:val="single" w:sz="4" w:space="0" w:color="010000"/>
            </w:tcBorders>
            <w:vAlign w:val="center"/>
          </w:tcPr>
          <w:p>
            <w:pPr>
              <w:keepNext/>
              <w:jc w:val="center"/>
            </w:pPr>
            <w:r/>
            <w:r>
              <w:rPr>
                <w:rFonts w:hint="eastAsia"/>
                <w:b/>
                <w:color w:val="000000"/>
                <w:sz w:val="21"/>
              </w:rPr>
              <w:t>格式</w:t>
            </w:r>
          </w:p>
        </w:tc>
        <w:tc>
          <w:tcPr>
            <w:tcW w:w="2298" w:type="pct"/>
            <w:tcBorders>
              <w:top w:val="single" w:sz="12" w:space="0" w:color="010000"/>
              <w:bottom w:val="single" w:sz="4" w:space="0" w:color="010000"/>
            </w:tcBorders>
            <w:vAlign w:val="center"/>
          </w:tcPr>
          <w:p>
            <w:pPr>
              <w:keepNext/>
              <w:jc w:val="center"/>
            </w:pPr>
            <w:r/>
            <w:r>
              <w:rPr>
                <w:rFonts w:hint="eastAsia"/>
                <w:b/>
                <w:color w:val="000000"/>
                <w:sz w:val="21"/>
              </w:rPr>
              <w:t>内容</w:t>
            </w:r>
          </w:p>
        </w:tc>
      </w:tr>
      <w:tr>
        <w:trPr>
          <w:cantSplit/>
          <w:jc w:val="center"/>
        </w:trPr>
        <w:tc>
          <w:tcPr>
            <w:tcW w:w="282" w:type="pct"/>
            <w:tcBorders>
              <w:top w:val="single" w:sz="4" w:space="0" w:color="010000"/>
            </w:tcBorders>
            <w:vAlign w:val="center"/>
          </w:tcPr>
          <w:p>
            <w:pPr>
              <w:jc w:val="left"/>
            </w:pPr>
            <w:r/>
            <w:r>
              <w:rPr>
                <w:rFonts w:hint="eastAsia"/>
                <w:color w:val="000000"/>
                <w:sz w:val="21"/>
              </w:rPr>
              <w:t>1</w:t>
            </w:r>
          </w:p>
        </w:tc>
        <w:tc>
          <w:tcPr>
            <w:tcW w:w="1694" w:type="pct"/>
            <w:tcBorders>
              <w:top w:val="single" w:sz="4" w:space="0" w:color="010000"/>
            </w:tcBorders>
            <w:vAlign w:val="center"/>
          </w:tcPr>
          <w:p>
            <w:pPr>
              <w:jc w:val="left"/>
            </w:pPr>
            <w:r/>
            <w:r>
              <w:rPr>
                <w:rFonts w:hint="eastAsia"/>
                <w:color w:val="000000"/>
                <w:sz w:val="21"/>
              </w:rPr>
              <w:t>中国人形机器人产业链研究.docx</w:t>
            </w:r>
          </w:p>
        </w:tc>
        <w:tc>
          <w:tcPr>
            <w:tcW w:w="726" w:type="pct"/>
            <w:tcBorders>
              <w:top w:val="single" w:sz="4" w:space="0" w:color="010000"/>
            </w:tcBorders>
            <w:vAlign w:val="center"/>
          </w:tcPr>
          <w:p>
            <w:pPr>
              <w:jc w:val="left"/>
            </w:pPr>
            <w:r/>
            <w:r>
              <w:rPr>
                <w:rFonts w:hint="eastAsia"/>
                <w:color w:val="000000"/>
                <w:sz w:val="21"/>
              </w:rPr>
              <w:t>Word（可编辑）</w:t>
            </w:r>
          </w:p>
        </w:tc>
        <w:tc>
          <w:tcPr>
            <w:tcW w:w="2298" w:type="pct"/>
            <w:tcBorders>
              <w:top w:val="single" w:sz="4" w:space="0" w:color="010000"/>
            </w:tcBorders>
            <w:vAlign w:val="center"/>
          </w:tcPr>
          <w:p>
            <w:pPr>
              <w:jc w:val="left"/>
            </w:pPr>
            <w:r/>
            <w:r>
              <w:rPr>
                <w:rFonts w:hint="eastAsia"/>
                <w:color w:val="000000"/>
                <w:sz w:val="21"/>
              </w:rPr>
              <w:t>研究报告正文，含目录、八章加数据来源说明，约2.9万字，6图15表</w:t>
            </w:r>
          </w:p>
        </w:tc>
      </w:tr>
      <w:tr>
        <w:trPr>
          <w:cantSplit/>
          <w:jc w:val="center"/>
        </w:trPr>
        <w:tc>
          <w:tcPr>
            <w:tcW w:w="282" w:type="pct"/>
            <w:tcBorders>
              <w:top w:val="single" w:sz="4" w:space="0" w:color="010000"/>
            </w:tcBorders>
            <w:vAlign w:val="center"/>
          </w:tcPr>
          <w:p>
            <w:pPr>
              <w:jc w:val="left"/>
            </w:pPr>
            <w:r/>
            <w:r>
              <w:rPr>
                <w:rFonts w:hint="eastAsia"/>
                <w:color w:val="000000"/>
                <w:sz w:val="21"/>
              </w:rPr>
              <w:t>2</w:t>
            </w:r>
          </w:p>
        </w:tc>
        <w:tc>
          <w:tcPr>
            <w:tcW w:w="1694" w:type="pct"/>
            <w:tcBorders>
              <w:top w:val="single" w:sz="4" w:space="0" w:color="010000"/>
            </w:tcBorders>
            <w:vAlign w:val="center"/>
          </w:tcPr>
          <w:p>
            <w:pPr>
              <w:jc w:val="left"/>
            </w:pPr>
            <w:r/>
            <w:r>
              <w:rPr>
                <w:rFonts w:hint="eastAsia"/>
                <w:color w:val="000000"/>
                <w:sz w:val="21"/>
              </w:rPr>
              <w:t>中国人形机器人产业链研究_图表数据底稿.xlsx</w:t>
            </w:r>
          </w:p>
        </w:tc>
        <w:tc>
          <w:tcPr>
            <w:tcW w:w="726" w:type="pct"/>
            <w:tcBorders>
              <w:top w:val="single" w:sz="4" w:space="0" w:color="010000"/>
            </w:tcBorders>
            <w:vAlign w:val="center"/>
          </w:tcPr>
          <w:p>
            <w:pPr>
              <w:jc w:val="left"/>
            </w:pPr>
            <w:r/>
            <w:r>
              <w:rPr>
                <w:rFonts w:hint="eastAsia"/>
                <w:color w:val="000000"/>
                <w:sz w:val="21"/>
              </w:rPr>
              <w:t>Excel</w:t>
            </w:r>
          </w:p>
        </w:tc>
        <w:tc>
          <w:tcPr>
            <w:tcW w:w="2298" w:type="pct"/>
            <w:tcBorders>
              <w:top w:val="single" w:sz="4" w:space="0" w:color="010000"/>
            </w:tcBorders>
            <w:vAlign w:val="center"/>
          </w:tcPr>
          <w:p>
            <w:pPr>
              <w:jc w:val="left"/>
            </w:pPr>
            <w:r/>
            <w:r>
              <w:rPr>
                <w:rFonts w:hint="eastAsia"/>
                <w:color w:val="000000"/>
                <w:sz w:val="21"/>
              </w:rPr>
              <w:t>9个工作表：说明、制图数据、市场规模与出货、核心零部件环节、整机企业、资本化进度、国泰海通相关、无锡巨蟹、数据来源清单</w:t>
            </w:r>
          </w:p>
        </w:tc>
      </w:tr>
      <w:tr>
        <w:trPr>
          <w:cantSplit/>
          <w:jc w:val="center"/>
        </w:trPr>
        <w:tc>
          <w:tcPr>
            <w:tcW w:w="282" w:type="pct"/>
            <w:tcBorders>
              <w:top w:val="single" w:sz="4" w:space="0" w:color="010000"/>
            </w:tcBorders>
            <w:vAlign w:val="center"/>
          </w:tcPr>
          <w:p>
            <w:pPr>
              <w:jc w:val="left"/>
            </w:pPr>
            <w:r/>
            <w:r>
              <w:rPr>
                <w:rFonts w:hint="eastAsia"/>
                <w:color w:val="000000"/>
                <w:sz w:val="21"/>
              </w:rPr>
              <w:t>3</w:t>
            </w:r>
          </w:p>
        </w:tc>
        <w:tc>
          <w:tcPr>
            <w:tcW w:w="1694" w:type="pct"/>
            <w:tcBorders>
              <w:top w:val="single" w:sz="4" w:space="0" w:color="010000"/>
            </w:tcBorders>
            <w:vAlign w:val="center"/>
          </w:tcPr>
          <w:p>
            <w:pPr>
              <w:jc w:val="left"/>
            </w:pPr>
            <w:r/>
            <w:r>
              <w:rPr>
                <w:rFonts w:hint="eastAsia"/>
                <w:color w:val="000000"/>
                <w:sz w:val="21"/>
              </w:rPr>
              <w:t>中国人形机器人产业链研究_大纲与数据来源memo.docx</w:t>
            </w:r>
          </w:p>
        </w:tc>
        <w:tc>
          <w:tcPr>
            <w:tcW w:w="726" w:type="pct"/>
            <w:tcBorders>
              <w:top w:val="single" w:sz="4" w:space="0" w:color="010000"/>
            </w:tcBorders>
            <w:vAlign w:val="center"/>
          </w:tcPr>
          <w:p>
            <w:pPr>
              <w:jc w:val="left"/>
            </w:pPr>
            <w:r/>
            <w:r>
              <w:rPr>
                <w:rFonts w:hint="eastAsia"/>
                <w:color w:val="000000"/>
                <w:sz w:val="21"/>
              </w:rPr>
              <w:t>Word（可编辑）</w:t>
            </w:r>
          </w:p>
        </w:tc>
        <w:tc>
          <w:tcPr>
            <w:tcW w:w="2298" w:type="pct"/>
            <w:tcBorders>
              <w:top w:val="single" w:sz="4" w:space="0" w:color="010000"/>
            </w:tcBorders>
            <w:vAlign w:val="center"/>
          </w:tcPr>
          <w:p>
            <w:pPr>
              <w:jc w:val="left"/>
            </w:pPr>
            <w:r/>
            <w:r>
              <w:rPr>
                <w:rFonts w:hint="eastAsia"/>
                <w:color w:val="000000"/>
                <w:sz w:val="21"/>
              </w:rPr>
              <w:t>本文件</w:t>
            </w:r>
          </w:p>
        </w:tc>
      </w:tr>
    </w:tbl>
    <w:p>
      <w:pPr>
        <w:pStyle w:val="a6"/>
      </w:pPr>
      <w:r>
        <w:rPr>
          <w:rFonts w:hint="eastAsia"/>
        </w:rPr>
        <w:t>资料来源：本memo整理。</w:t>
      </w:r>
    </w:p>
    <w:sectPr w:rsidR="004A0C46">
      <w:pgSz w:w="11906" w:h="16838"/>
      <w:pgMar w:top="1440" w:right="1800" w:bottom="1440" w:left="1800" w:header="720" w:footer="72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06E93" w14:textId="77777777" w:rsidR="00587D39" w:rsidRDefault="00587D39">
      <w:r>
        <w:separator/>
      </w:r>
    </w:p>
  </w:endnote>
  <w:endnote w:type="continuationSeparator" w:id="0">
    <w:p w14:paraId="4850330F" w14:textId="77777777" w:rsidR="00587D39" w:rsidRDefault="00587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84E0A" w14:textId="459487C3" w:rsidR="004A0C46" w:rsidRDefault="004A0C46" w:rsidP="000E155A">
    <w:pPr>
      <w:pStyle w:val="a8"/>
      <w:jc w:val="cen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811145"/>
      <w:docPartObj>
        <w:docPartGallery w:val="Page Numbers (Bottom of Page)"/>
        <w:docPartUnique/>
      </w:docPartObj>
    </w:sdtPr>
    <w:sdtEndPr>
      <w:rPr>
        <w:rFonts w:ascii="Times New Roman" w:eastAsia="宋体" w:hAnsi="Times New Roman"/>
        <w:sz w:val="21"/>
        <w:szCs w:val="21"/>
      </w:rPr>
    </w:sdtEndPr>
    <w:sdtContent>
      <w:p w14:paraId="72B0EFA0" w14:textId="77777777" w:rsidR="000E155A" w:rsidRPr="000E155A" w:rsidRDefault="000E155A" w:rsidP="000E155A">
        <w:pPr>
          <w:pStyle w:val="a8"/>
          <w:jc w:val="center"/>
          <w:rPr>
            <w:rFonts w:ascii="Times New Roman" w:eastAsia="宋体" w:hAnsi="Times New Roman" w:hint="eastAsia"/>
            <w:sz w:val="21"/>
            <w:szCs w:val="21"/>
          </w:rPr>
        </w:pPr>
        <w:r w:rsidRPr="000E155A">
          <w:rPr>
            <w:rFonts w:ascii="Times New Roman" w:eastAsia="宋体" w:hAnsi="Times New Roman"/>
            <w:sz w:val="21"/>
            <w:szCs w:val="21"/>
          </w:rPr>
          <w:fldChar w:fldCharType="begin"/>
        </w:r>
        <w:r w:rsidRPr="000E155A">
          <w:rPr>
            <w:rFonts w:ascii="Times New Roman" w:eastAsia="宋体" w:hAnsi="Times New Roman"/>
            <w:sz w:val="21"/>
            <w:szCs w:val="21"/>
          </w:rPr>
          <w:instrText>PAGE   \* MERGEFORMAT</w:instrText>
        </w:r>
        <w:r w:rsidRPr="000E155A">
          <w:rPr>
            <w:rFonts w:ascii="Times New Roman" w:eastAsia="宋体" w:hAnsi="Times New Roman"/>
            <w:sz w:val="21"/>
            <w:szCs w:val="21"/>
          </w:rPr>
          <w:fldChar w:fldCharType="separate"/>
        </w:r>
        <w:r w:rsidRPr="000E155A">
          <w:rPr>
            <w:rFonts w:ascii="Times New Roman" w:eastAsia="宋体" w:hAnsi="Times New Roman"/>
            <w:sz w:val="21"/>
            <w:szCs w:val="21"/>
            <w:lang w:val="zh-CN"/>
          </w:rPr>
          <w:t>2</w:t>
        </w:r>
        <w:r w:rsidRPr="000E155A">
          <w:rPr>
            <w:rFonts w:ascii="Times New Roman" w:eastAsia="宋体" w:hAnsi="Times New Roman"/>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5E1C9" w14:textId="77777777" w:rsidR="00587D39" w:rsidRDefault="00587D39">
      <w:r>
        <w:separator/>
      </w:r>
    </w:p>
  </w:footnote>
  <w:footnote w:type="continuationSeparator" w:id="0">
    <w:p w14:paraId="50F506F9" w14:textId="77777777" w:rsidR="00587D39" w:rsidRDefault="00587D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79DB93"/>
    <w:multiLevelType w:val="singleLevel"/>
    <w:tmpl w:val="05D40FFA"/>
    <w:lvl w:ilvl="0">
      <w:start w:val="1"/>
      <w:numFmt w:val="chineseCounting"/>
      <w:suff w:val="nothing"/>
      <w:lvlText w:val="%1、"/>
      <w:lvlJc w:val="left"/>
      <w:rPr>
        <w:rFonts w:hint="eastAsia"/>
      </w:rPr>
    </w:lvl>
  </w:abstractNum>
  <w:abstractNum w:abstractNumId="1" w15:restartNumberingAfterBreak="0">
    <w:nsid w:val="211E2CC6"/>
    <w:multiLevelType w:val="multilevel"/>
    <w:tmpl w:val="54FE1F4C"/>
    <w:lvl w:ilvl="0">
      <w:start w:val="1"/>
      <w:numFmt w:val="chineseCounting"/>
      <w:lvlRestart w:val="0"/>
      <w:pStyle w:val="1"/>
      <w:suff w:val="space"/>
      <w:lvlText w:val="第%1节"/>
      <w:lvlJc w:val="left"/>
      <w:pPr>
        <w:ind w:left="0" w:firstLine="0"/>
      </w:pPr>
      <w:rPr>
        <w:rFonts w:ascii="黑体" w:eastAsia="黑体" w:hAnsi="黑体" w:hint="eastAsia"/>
        <w:b w:val="0"/>
        <w:i w:val="0"/>
        <w:sz w:val="32"/>
      </w:rPr>
    </w:lvl>
    <w:lvl w:ilvl="1">
      <w:start w:val="1"/>
      <w:numFmt w:val="chineseCounting"/>
      <w:pStyle w:val="2"/>
      <w:suff w:val="nothing"/>
      <w:lvlText w:val="%2、"/>
      <w:lvlJc w:val="left"/>
      <w:pPr>
        <w:ind w:left="0" w:firstLine="0"/>
      </w:pPr>
      <w:rPr>
        <w:rFonts w:hint="default"/>
        <w:b w:val="0"/>
        <w:i w:val="0"/>
        <w:sz w:val="28"/>
      </w:rPr>
    </w:lvl>
    <w:lvl w:ilvl="2">
      <w:start w:val="1"/>
      <w:numFmt w:val="chineseCounting"/>
      <w:pStyle w:val="3"/>
      <w:suff w:val="nothing"/>
      <w:lvlText w:val="（%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nothing"/>
      <w:lvlText w:val="%4、"/>
      <w:lvlJc w:val="left"/>
      <w:pPr>
        <w:ind w:left="0" w:firstLine="0"/>
      </w:pPr>
      <w:rPr>
        <w:rFonts w:ascii="Times New Roman" w:hAnsi="Times New Roman" w:cs="Times New Roman" w:hint="default"/>
        <w:b/>
        <w:i w:val="0"/>
        <w:sz w:val="24"/>
      </w:rPr>
    </w:lvl>
    <w:lvl w:ilvl="4">
      <w:start w:val="1"/>
      <w:numFmt w:val="decimal"/>
      <w:pStyle w:val="5"/>
      <w:suff w:val="nothing"/>
      <w:lvlText w:val="（%5）"/>
      <w:lvlJc w:val="left"/>
      <w:pPr>
        <w:ind w:left="0" w:firstLine="0"/>
      </w:pPr>
      <w:rPr>
        <w:rFonts w:hint="default"/>
        <w:b w:val="0"/>
        <w:bCs w:val="0"/>
        <w:i w:val="0"/>
        <w:iCs w:val="0"/>
        <w:caps w:val="0"/>
        <w:smallCaps w:val="0"/>
        <w:strike w:val="0"/>
        <w:dstrike w:val="0"/>
        <w:outline w:val="0"/>
        <w:shadow w:val="0"/>
        <w:emboss w:val="0"/>
        <w:imprint w:val="0"/>
        <w:noProof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nothing"/>
      <w:lvlText w:val="%6）"/>
      <w:lvlJc w:val="left"/>
      <w:pPr>
        <w:ind w:left="0" w:firstLine="0"/>
      </w:pPr>
      <w:rPr>
        <w:rFonts w:ascii="Times New Roman" w:hAnsi="Times New Roman" w:cs="Times New Roman" w:hint="default"/>
        <w:b w:val="0"/>
        <w:i w:val="0"/>
        <w:sz w:val="24"/>
        <w:u w:val="none"/>
        <w:em w:val="none"/>
      </w:rPr>
    </w:lvl>
    <w:lvl w:ilvl="6">
      <w:start w:val="1"/>
      <w:numFmt w:val="decimalEnclosedCircle"/>
      <w:pStyle w:val="7"/>
      <w:suff w:val="nothing"/>
      <w:lvlText w:val="%7"/>
      <w:lvlJc w:val="left"/>
      <w:pPr>
        <w:ind w:left="0" w:firstLine="0"/>
      </w:pPr>
      <w:rPr>
        <w:rFonts w:ascii="Times New Roman" w:hAnsi="Times New Roman" w:cs="Times New Roman" w:hint="default"/>
        <w:b w:val="0"/>
        <w:i w:val="0"/>
        <w:sz w:val="24"/>
        <w:lang w:val="en-US"/>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CFD45B3"/>
    <w:multiLevelType w:val="multilevel"/>
    <w:tmpl w:val="4718CA14"/>
    <w:lvl w:ilvl="0">
      <w:start w:val="1"/>
      <w:numFmt w:val="chineseCounting"/>
      <w:lvlRestart w:val="0"/>
      <w:suff w:val="space"/>
      <w:lvlText w:val="第%1节"/>
      <w:lvlJc w:val="left"/>
      <w:pPr>
        <w:ind w:left="0" w:firstLine="0"/>
      </w:pPr>
      <w:rPr>
        <w:rFonts w:ascii="黑体" w:eastAsia="黑体" w:hAnsi="黑体" w:hint="eastAsia"/>
        <w:b w:val="0"/>
        <w:i w:val="0"/>
        <w:sz w:val="32"/>
      </w:rPr>
    </w:lvl>
    <w:lvl w:ilvl="1">
      <w:start w:val="1"/>
      <w:numFmt w:val="chineseCounting"/>
      <w:suff w:val="nothing"/>
      <w:lvlText w:val="%2、"/>
      <w:lvlJc w:val="left"/>
      <w:pPr>
        <w:ind w:left="0" w:firstLine="0"/>
      </w:pPr>
      <w:rPr>
        <w:rFonts w:ascii="黑体" w:eastAsia="黑体" w:hAnsi="黑体" w:hint="eastAsia"/>
        <w:b w:val="0"/>
        <w:sz w:val="28"/>
      </w:rPr>
    </w:lvl>
    <w:lvl w:ilvl="2">
      <w:start w:val="1"/>
      <w:numFmt w:val="chineseCounting"/>
      <w:suff w:val="nothing"/>
      <w:lvlText w:val="（%3）"/>
      <w:lvlJc w:val="left"/>
      <w:pPr>
        <w:ind w:left="0" w:firstLine="0"/>
      </w:pPr>
      <w:rPr>
        <w:rFonts w:ascii="Times New Roman" w:hAnsi="Times New Roman" w:cs="Times New Roman"/>
        <w:b w:val="0"/>
        <w:sz w:val="24"/>
      </w:rPr>
    </w:lvl>
    <w:lvl w:ilvl="3">
      <w:start w:val="1"/>
      <w:numFmt w:val="decimal"/>
      <w:suff w:val="nothing"/>
      <w:lvlText w:val="%4、"/>
      <w:lvlJc w:val="left"/>
      <w:pPr>
        <w:ind w:left="0" w:firstLine="0"/>
      </w:pPr>
      <w:rPr>
        <w:rFonts w:ascii="Times New Roman" w:hAnsi="Times New Roman" w:cs="Times New Roman"/>
        <w:b/>
        <w:sz w:val="24"/>
      </w:rPr>
    </w:lvl>
    <w:lvl w:ilvl="4">
      <w:start w:val="1"/>
      <w:numFmt w:val="decimal"/>
      <w:suff w:val="nothing"/>
      <w:lvlText w:val="（%5）"/>
      <w:lvlJc w:val="left"/>
      <w:pPr>
        <w:ind w:left="0" w:firstLine="0"/>
      </w:pPr>
      <w:rPr>
        <w:rFonts w:ascii="Times New Roman" w:hAnsi="Times New Roman" w:cs="Times New Roman"/>
        <w:b w:val="0"/>
        <w:sz w:val="24"/>
      </w:rPr>
    </w:lvl>
    <w:lvl w:ilvl="5">
      <w:start w:val="1"/>
      <w:numFmt w:val="decimal"/>
      <w:suff w:val="nothing"/>
      <w:lvlText w:val="%6）"/>
      <w:lvlJc w:val="left"/>
      <w:pPr>
        <w:ind w:left="0" w:firstLine="0"/>
      </w:pPr>
      <w:rPr>
        <w:rFonts w:ascii="Times New Roman" w:hAnsi="Times New Roman" w:cs="Times New Roman"/>
        <w:b w:val="0"/>
        <w:sz w:val="24"/>
      </w:rPr>
    </w:lvl>
    <w:lvl w:ilvl="6">
      <w:start w:val="1"/>
      <w:numFmt w:val="decimalEnclosedCircle"/>
      <w:suff w:val="nothing"/>
      <w:lvlText w:val="%7"/>
      <w:lvlJc w:val="left"/>
      <w:pPr>
        <w:ind w:left="0" w:firstLine="0"/>
      </w:pPr>
      <w:rPr>
        <w:rFonts w:ascii="Times New Roman" w:hAnsi="Times New Roman" w:cs="Times New Roman"/>
        <w:b w:val="0"/>
        <w:sz w:val="24"/>
      </w:r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009019390">
    <w:abstractNumId w:val="0"/>
  </w:num>
  <w:num w:numId="2" w16cid:durableId="748382803">
    <w:abstractNumId w:val="1"/>
  </w:num>
  <w:num w:numId="3" w16cid:durableId="1148666522">
    <w:abstractNumId w:val="1"/>
  </w:num>
  <w:num w:numId="4" w16cid:durableId="1149790210">
    <w:abstractNumId w:val="1"/>
  </w:num>
  <w:num w:numId="5" w16cid:durableId="1733045307">
    <w:abstractNumId w:val="1"/>
  </w:num>
  <w:num w:numId="6" w16cid:durableId="138157883">
    <w:abstractNumId w:val="1"/>
  </w:num>
  <w:num w:numId="7" w16cid:durableId="1450584076">
    <w:abstractNumId w:val="1"/>
  </w:num>
  <w:num w:numId="8" w16cid:durableId="4719513">
    <w:abstractNumId w:val="1"/>
  </w:num>
  <w:num w:numId="9" w16cid:durableId="408430222">
    <w:abstractNumId w:val="2"/>
  </w:num>
  <w:num w:numId="10" w16cid:durableId="1237394881">
    <w:abstractNumId w:val="1"/>
  </w:num>
  <w:num w:numId="11" w16cid:durableId="653611128">
    <w:abstractNumId w:val="1"/>
  </w:num>
  <w:num w:numId="12" w16cid:durableId="1363748588">
    <w:abstractNumId w:val="1"/>
  </w:num>
  <w:num w:numId="13" w16cid:durableId="1630043532">
    <w:abstractNumId w:val="1"/>
  </w:num>
  <w:num w:numId="14" w16cid:durableId="972950653">
    <w:abstractNumId w:val="1"/>
  </w:num>
  <w:num w:numId="15" w16cid:durableId="1214850664">
    <w:abstractNumId w:val="1"/>
  </w:num>
  <w:num w:numId="16" w16cid:durableId="370418407">
    <w:abstractNumId w:val="1"/>
  </w:num>
  <w:num w:numId="17" w16cid:durableId="597367823">
    <w:abstractNumId w:val="1"/>
  </w:num>
  <w:num w:numId="18" w16cid:durableId="1243833782">
    <w:abstractNumId w:val="1"/>
  </w:num>
  <w:num w:numId="19" w16cid:durableId="1207722889">
    <w:abstractNumId w:val="1"/>
  </w:num>
  <w:num w:numId="20" w16cid:durableId="1554660264">
    <w:abstractNumId w:val="1"/>
  </w:num>
  <w:num w:numId="21" w16cid:durableId="1780833768">
    <w:abstractNumId w:val="1"/>
  </w:num>
  <w:num w:numId="22" w16cid:durableId="1908758277">
    <w:abstractNumId w:val="1"/>
  </w:num>
  <w:num w:numId="23" w16cid:durableId="1026911488">
    <w:abstractNumId w:val="1"/>
  </w:num>
  <w:num w:numId="24" w16cid:durableId="661542715">
    <w:abstractNumId w:val="1"/>
  </w:num>
  <w:num w:numId="25" w16cid:durableId="485240193">
    <w:abstractNumId w:val="1"/>
  </w:num>
  <w:num w:numId="26" w16cid:durableId="1799104121">
    <w:abstractNumId w:val="1"/>
  </w:num>
  <w:num w:numId="27" w16cid:durableId="1695225271">
    <w:abstractNumId w:val="1"/>
  </w:num>
  <w:num w:numId="28" w16cid:durableId="171526905">
    <w:abstractNumId w:val="1"/>
  </w:num>
  <w:num w:numId="29" w16cid:durableId="1766533285">
    <w:abstractNumId w:val="1"/>
  </w:num>
  <w:num w:numId="30" w16cid:durableId="816261382">
    <w:abstractNumId w:val="1"/>
  </w:num>
  <w:num w:numId="31" w16cid:durableId="438379917">
    <w:abstractNumId w:val="1"/>
  </w:num>
  <w:num w:numId="32" w16cid:durableId="19406082">
    <w:abstractNumId w:val="1"/>
  </w:num>
  <w:num w:numId="33" w16cid:durableId="248007036">
    <w:abstractNumId w:val="1"/>
  </w:num>
  <w:num w:numId="34" w16cid:durableId="1127120554">
    <w:abstractNumId w:val="1"/>
  </w:num>
  <w:num w:numId="35" w16cid:durableId="996304787">
    <w:abstractNumId w:val="1"/>
  </w:num>
  <w:num w:numId="36" w16cid:durableId="501506145">
    <w:abstractNumId w:val="1"/>
  </w:num>
  <w:num w:numId="37" w16cid:durableId="545683955">
    <w:abstractNumId w:val="1"/>
  </w:num>
  <w:num w:numId="38" w16cid:durableId="1273778634">
    <w:abstractNumId w:val="1"/>
  </w:num>
  <w:num w:numId="39" w16cid:durableId="845708765">
    <w:abstractNumId w:val="1"/>
  </w:num>
  <w:num w:numId="40" w16cid:durableId="426122848">
    <w:abstractNumId w:val="1"/>
  </w:num>
  <w:num w:numId="41" w16cid:durableId="856576277">
    <w:abstractNumId w:val="1"/>
  </w:num>
  <w:num w:numId="42" w16cid:durableId="2071923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ACFBC7B2"/>
    <w:rsid w:val="00085726"/>
    <w:rsid w:val="000E155A"/>
    <w:rsid w:val="000F283C"/>
    <w:rsid w:val="0011270F"/>
    <w:rsid w:val="001349C6"/>
    <w:rsid w:val="001950A1"/>
    <w:rsid w:val="0039617E"/>
    <w:rsid w:val="004378BA"/>
    <w:rsid w:val="004A0C46"/>
    <w:rsid w:val="004F7178"/>
    <w:rsid w:val="00555E6A"/>
    <w:rsid w:val="00587D39"/>
    <w:rsid w:val="00592284"/>
    <w:rsid w:val="005E7246"/>
    <w:rsid w:val="00662F6D"/>
    <w:rsid w:val="00670B1C"/>
    <w:rsid w:val="00795354"/>
    <w:rsid w:val="007E5EB5"/>
    <w:rsid w:val="00A34D1B"/>
    <w:rsid w:val="00AE02CD"/>
    <w:rsid w:val="00E419C7"/>
    <w:rsid w:val="00EC0E9A"/>
    <w:rsid w:val="00F27C6B"/>
    <w:rsid w:val="00FF56FE"/>
    <w:rsid w:val="29F9C83D"/>
    <w:rsid w:val="33F53DC0"/>
    <w:rsid w:val="353FEB1E"/>
    <w:rsid w:val="3DF3A5E0"/>
    <w:rsid w:val="3FCF0B00"/>
    <w:rsid w:val="3FF54F6B"/>
    <w:rsid w:val="3FFCB0C0"/>
    <w:rsid w:val="5717597D"/>
    <w:rsid w:val="5CBF3D48"/>
    <w:rsid w:val="5F7BA9D3"/>
    <w:rsid w:val="64DFFEC1"/>
    <w:rsid w:val="69B5CEB2"/>
    <w:rsid w:val="69FF8DFA"/>
    <w:rsid w:val="6EFB830B"/>
    <w:rsid w:val="77CDD5AC"/>
    <w:rsid w:val="7BFB9EEF"/>
    <w:rsid w:val="7C772AB6"/>
    <w:rsid w:val="7EF8F3DE"/>
    <w:rsid w:val="7F3BEA07"/>
    <w:rsid w:val="7FDD237B"/>
    <w:rsid w:val="ACFBC7B2"/>
    <w:rsid w:val="BAD50396"/>
    <w:rsid w:val="BDBEA619"/>
    <w:rsid w:val="BFB6F836"/>
    <w:rsid w:val="BFFBB6BF"/>
    <w:rsid w:val="DCFF672D"/>
    <w:rsid w:val="DF9FA881"/>
    <w:rsid w:val="DFFC800C"/>
    <w:rsid w:val="EC255AAB"/>
    <w:rsid w:val="EDB96F0D"/>
    <w:rsid w:val="EFFF2415"/>
    <w:rsid w:val="FB9D90C9"/>
    <w:rsid w:val="FCBD6A06"/>
    <w:rsid w:val="FDD2248A"/>
    <w:rsid w:val="FEE5C490"/>
    <w:rsid w:val="FF6EC6C0"/>
    <w:rsid w:val="FFA594DA"/>
    <w:rsid w:val="FFAEF88F"/>
    <w:rsid w:val="FFCB1C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0C6BCC"/>
  <w15:docId w15:val="{9B25C5D5-99CB-4FAB-AF7E-478891F1D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2" w:unhideWhenUsed="1" w:qFormat="1"/>
    <w:lsdException w:name="heading 8" w:semiHidden="1" w:unhideWhenUsed="1" w:qFormat="1"/>
    <w:lsdException w:name="heading 9" w:semiHidden="1" w:unhideWhenUsed="1" w:qFormat="1"/>
    <w:lsdException w:name="toc 1" w:uiPriority="39"/>
    <w:lsdException w:name="toc 2" w:uiPriority="39"/>
    <w:lsdException w:name="Normal Indent" w:qFormat="1"/>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62F6D"/>
    <w:pPr>
      <w:widowControl w:val="0"/>
      <w:jc w:val="both"/>
    </w:pPr>
    <w:rPr>
      <w:kern w:val="2"/>
    </w:rPr>
  </w:style>
  <w:style w:type="paragraph" w:styleId="1">
    <w:name w:val="heading 1"/>
    <w:next w:val="a0"/>
    <w:link w:val="10"/>
    <w:autoRedefine/>
    <w:uiPriority w:val="1"/>
    <w:qFormat/>
    <w:rsid w:val="000E155A"/>
    <w:pPr>
      <w:keepNext/>
      <w:keepLines/>
      <w:pageBreakBefore/>
      <w:numPr>
        <w:numId w:val="16"/>
      </w:numPr>
      <w:spacing w:beforeLines="50" w:before="50" w:afterLines="50" w:after="50" w:line="360" w:lineRule="auto"/>
      <w:jc w:val="center"/>
      <w:outlineLvl w:val="0"/>
    </w:pPr>
    <w:rPr>
      <w:rFonts w:eastAsia="黑体"/>
      <w:bCs/>
      <w:sz w:val="32"/>
      <w:szCs w:val="44"/>
    </w:rPr>
  </w:style>
  <w:style w:type="paragraph" w:styleId="2">
    <w:name w:val="heading 2"/>
    <w:next w:val="a0"/>
    <w:link w:val="20"/>
    <w:autoRedefine/>
    <w:uiPriority w:val="1"/>
    <w:qFormat/>
    <w:rsid w:val="000E155A"/>
    <w:pPr>
      <w:keepNext/>
      <w:keepLines/>
      <w:numPr>
        <w:ilvl w:val="1"/>
        <w:numId w:val="16"/>
      </w:numPr>
      <w:spacing w:beforeLines="50" w:before="50" w:afterLines="50" w:line="360" w:lineRule="auto"/>
      <w:jc w:val="both"/>
      <w:outlineLvl w:val="1"/>
    </w:pPr>
    <w:rPr>
      <w:rFonts w:eastAsia="黑体"/>
      <w:bCs/>
      <w:kern w:val="2"/>
      <w:sz w:val="28"/>
      <w:szCs w:val="32"/>
    </w:rPr>
  </w:style>
  <w:style w:type="paragraph" w:styleId="3">
    <w:name w:val="heading 3"/>
    <w:next w:val="a0"/>
    <w:link w:val="30"/>
    <w:autoRedefine/>
    <w:uiPriority w:val="1"/>
    <w:qFormat/>
    <w:rsid w:val="000F283C"/>
    <w:pPr>
      <w:keepNext/>
      <w:keepLines/>
      <w:numPr>
        <w:ilvl w:val="2"/>
        <w:numId w:val="16"/>
      </w:numPr>
      <w:spacing w:beforeLines="50" w:before="50" w:afterLines="50" w:line="360" w:lineRule="auto"/>
      <w:jc w:val="both"/>
      <w:outlineLvl w:val="2"/>
    </w:pPr>
    <w:rPr>
      <w:rFonts w:eastAsia="黑体"/>
      <w:bCs/>
      <w:color w:val="000000"/>
      <w:sz w:val="24"/>
      <w:szCs w:val="24"/>
      <w:lang w:eastAsia="ar-SA"/>
    </w:rPr>
  </w:style>
  <w:style w:type="paragraph" w:styleId="4">
    <w:name w:val="heading 4"/>
    <w:next w:val="a0"/>
    <w:link w:val="40"/>
    <w:autoRedefine/>
    <w:uiPriority w:val="1"/>
    <w:qFormat/>
    <w:rsid w:val="000E155A"/>
    <w:pPr>
      <w:keepNext/>
      <w:keepLines/>
      <w:numPr>
        <w:ilvl w:val="3"/>
        <w:numId w:val="16"/>
      </w:numPr>
      <w:spacing w:beforeLines="50" w:before="50" w:afterLines="50" w:after="50" w:line="360" w:lineRule="auto"/>
      <w:jc w:val="both"/>
      <w:outlineLvl w:val="3"/>
    </w:pPr>
    <w:rPr>
      <w:b/>
      <w:bCs/>
      <w:kern w:val="2"/>
      <w:szCs w:val="28"/>
    </w:rPr>
  </w:style>
  <w:style w:type="paragraph" w:styleId="5">
    <w:name w:val="heading 5"/>
    <w:next w:val="a0"/>
    <w:link w:val="50"/>
    <w:autoRedefine/>
    <w:uiPriority w:val="1"/>
    <w:qFormat/>
    <w:rsid w:val="000E155A"/>
    <w:pPr>
      <w:keepNext/>
      <w:keepLines/>
      <w:numPr>
        <w:ilvl w:val="4"/>
        <w:numId w:val="16"/>
      </w:numPr>
      <w:spacing w:beforeLines="50" w:before="50" w:afterLines="50" w:after="50" w:line="360" w:lineRule="auto"/>
      <w:outlineLvl w:val="4"/>
    </w:pPr>
    <w:rPr>
      <w:bCs/>
      <w:kern w:val="2"/>
      <w:szCs w:val="28"/>
    </w:rPr>
  </w:style>
  <w:style w:type="paragraph" w:styleId="6">
    <w:name w:val="heading 6"/>
    <w:next w:val="a0"/>
    <w:link w:val="60"/>
    <w:autoRedefine/>
    <w:uiPriority w:val="1"/>
    <w:qFormat/>
    <w:rsid w:val="000E155A"/>
    <w:pPr>
      <w:numPr>
        <w:ilvl w:val="5"/>
        <w:numId w:val="16"/>
      </w:numPr>
      <w:spacing w:beforeLines="50" w:before="50" w:afterLines="50" w:after="50" w:line="360" w:lineRule="auto"/>
      <w:jc w:val="both"/>
      <w:outlineLvl w:val="5"/>
    </w:pPr>
    <w:rPr>
      <w:bCs/>
      <w:kern w:val="2"/>
      <w:szCs w:val="24"/>
    </w:rPr>
  </w:style>
  <w:style w:type="paragraph" w:styleId="7">
    <w:name w:val="heading 7"/>
    <w:next w:val="a0"/>
    <w:link w:val="70"/>
    <w:autoRedefine/>
    <w:uiPriority w:val="2"/>
    <w:unhideWhenUsed/>
    <w:qFormat/>
    <w:rsid w:val="000E155A"/>
    <w:pPr>
      <w:keepNext/>
      <w:keepLines/>
      <w:numPr>
        <w:ilvl w:val="6"/>
        <w:numId w:val="16"/>
      </w:numPr>
      <w:spacing w:beforeLines="50" w:before="50" w:afterLines="50" w:after="50" w:line="360" w:lineRule="auto"/>
      <w:outlineLvl w:val="6"/>
    </w:pPr>
    <w:rPr>
      <w:bCs/>
      <w:kern w:val="2"/>
      <w:szCs w:val="24"/>
    </w:rPr>
  </w:style>
  <w:style w:type="character" w:default="1" w:styleId="a1">
    <w:name w:val="Default Paragraph Font"/>
    <w:uiPriority w:val="1"/>
    <w:semiHidden/>
    <w:unhideWhenUsed/>
  </w:style>
  <w:style w:type="table" w:default="1" w:styleId="a2">
    <w:name w:val="Normal Table"/>
    <w:uiPriority w:val="99"/>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1"/>
    <w:link w:val="1"/>
    <w:uiPriority w:val="1"/>
    <w:rsid w:val="000E155A"/>
    <w:rPr>
      <w:rFonts w:eastAsia="黑体"/>
      <w:bCs/>
      <w:sz w:val="32"/>
      <w:szCs w:val="44"/>
    </w:rPr>
  </w:style>
  <w:style w:type="paragraph" w:styleId="TOC">
    <w:name w:val="TOC Heading"/>
    <w:basedOn w:val="1"/>
    <w:next w:val="a"/>
    <w:uiPriority w:val="39"/>
    <w:unhideWhenUsed/>
    <w:qFormat/>
    <w:rsid w:val="000E155A"/>
    <w:pPr>
      <w:pageBreakBefore w:val="0"/>
      <w:numPr>
        <w:numId w:val="0"/>
      </w:numPr>
      <w:snapToGrid w:val="0"/>
      <w:spacing w:beforeLines="0" w:before="240" w:afterLines="0" w:after="0" w:line="259" w:lineRule="auto"/>
      <w:outlineLvl w:val="9"/>
    </w:pPr>
    <w:rPr>
      <w:bCs w:val="0"/>
      <w:szCs w:val="32"/>
    </w:rPr>
  </w:style>
  <w:style w:type="paragraph" w:styleId="TOC1">
    <w:name w:val="toc 1"/>
    <w:basedOn w:val="a"/>
    <w:next w:val="a"/>
    <w:autoRedefine/>
    <w:uiPriority w:val="39"/>
    <w:unhideWhenUsed/>
    <w:rsid w:val="00AE02CD"/>
    <w:pPr>
      <w:tabs>
        <w:tab w:val="right" w:leader="dot" w:pos="8299"/>
      </w:tabs>
    </w:pPr>
    <w:rPr>
      <w:rFonts w:cs="宋体"/>
      <w:b/>
      <w:bCs/>
      <w:noProof/>
    </w:rPr>
  </w:style>
  <w:style w:type="paragraph" w:styleId="TOC2">
    <w:name w:val="toc 2"/>
    <w:basedOn w:val="a"/>
    <w:next w:val="a"/>
    <w:autoRedefine/>
    <w:uiPriority w:val="39"/>
    <w:unhideWhenUsed/>
    <w:rsid w:val="000E155A"/>
    <w:pPr>
      <w:ind w:leftChars="200" w:left="420"/>
    </w:pPr>
    <w:rPr>
      <w:rFonts w:eastAsia="黑体"/>
    </w:rPr>
  </w:style>
  <w:style w:type="character" w:styleId="a5">
    <w:name w:val="Hyperlink"/>
    <w:basedOn w:val="a1"/>
    <w:uiPriority w:val="99"/>
    <w:unhideWhenUsed/>
    <w:rsid w:val="00085726"/>
    <w:rPr>
      <w:color w:val="0026E5" w:themeColor="hyperlink"/>
      <w:u w:val="single"/>
    </w:rPr>
  </w:style>
  <w:style w:type="paragraph" w:customStyle="1" w:styleId="11">
    <w:name w:val="样式1"/>
    <w:basedOn w:val="a"/>
    <w:qFormat/>
    <w:rsid w:val="000E155A"/>
    <w:pPr>
      <w:widowControl/>
      <w:spacing w:before="156" w:after="156" w:line="360" w:lineRule="auto"/>
      <w:ind w:firstLine="480"/>
    </w:pPr>
    <w:rPr>
      <w:rFonts w:ascii="宋体" w:hAnsi="宋体" w:cs="宋体"/>
      <w:szCs w:val="21"/>
    </w:rPr>
  </w:style>
  <w:style w:type="paragraph" w:styleId="a0">
    <w:name w:val="Normal Indent"/>
    <w:autoRedefine/>
    <w:qFormat/>
    <w:rsid w:val="000F283C"/>
    <w:pPr>
      <w:spacing w:beforeLines="50" w:before="50" w:line="360" w:lineRule="auto"/>
      <w:ind w:firstLineChars="200" w:firstLine="200"/>
      <w:jc w:val="both"/>
    </w:pPr>
    <w:rPr>
      <w:rFonts w:eastAsia="Times New Roman"/>
      <w:kern w:val="2"/>
      <w:sz w:val="24"/>
      <w:szCs w:val="23"/>
    </w:rPr>
  </w:style>
  <w:style w:type="character" w:customStyle="1" w:styleId="20">
    <w:name w:val="标题 2 字符"/>
    <w:basedOn w:val="a1"/>
    <w:link w:val="2"/>
    <w:uiPriority w:val="1"/>
    <w:rsid w:val="000E155A"/>
    <w:rPr>
      <w:rFonts w:eastAsia="黑体"/>
      <w:bCs/>
      <w:kern w:val="2"/>
      <w:sz w:val="28"/>
      <w:szCs w:val="32"/>
    </w:rPr>
  </w:style>
  <w:style w:type="character" w:customStyle="1" w:styleId="30">
    <w:name w:val="标题 3 字符"/>
    <w:basedOn w:val="a1"/>
    <w:link w:val="3"/>
    <w:uiPriority w:val="1"/>
    <w:rsid w:val="000F283C"/>
    <w:rPr>
      <w:rFonts w:eastAsia="黑体"/>
      <w:bCs/>
      <w:color w:val="000000"/>
      <w:sz w:val="24"/>
      <w:szCs w:val="24"/>
      <w:lang w:eastAsia="ar-SA"/>
    </w:rPr>
  </w:style>
  <w:style w:type="character" w:customStyle="1" w:styleId="40">
    <w:name w:val="标题 4 字符"/>
    <w:basedOn w:val="a1"/>
    <w:link w:val="4"/>
    <w:uiPriority w:val="1"/>
    <w:rsid w:val="000E155A"/>
    <w:rPr>
      <w:b/>
      <w:bCs/>
      <w:kern w:val="2"/>
      <w:szCs w:val="28"/>
    </w:rPr>
  </w:style>
  <w:style w:type="character" w:customStyle="1" w:styleId="50">
    <w:name w:val="标题 5 字符"/>
    <w:basedOn w:val="a1"/>
    <w:link w:val="5"/>
    <w:uiPriority w:val="1"/>
    <w:rsid w:val="000E155A"/>
    <w:rPr>
      <w:bCs/>
      <w:kern w:val="2"/>
      <w:szCs w:val="28"/>
    </w:rPr>
  </w:style>
  <w:style w:type="character" w:customStyle="1" w:styleId="60">
    <w:name w:val="标题 6 字符"/>
    <w:basedOn w:val="a1"/>
    <w:link w:val="6"/>
    <w:uiPriority w:val="1"/>
    <w:rsid w:val="000E155A"/>
    <w:rPr>
      <w:bCs/>
      <w:kern w:val="2"/>
      <w:szCs w:val="24"/>
    </w:rPr>
  </w:style>
  <w:style w:type="character" w:customStyle="1" w:styleId="70">
    <w:name w:val="标题 7 字符"/>
    <w:basedOn w:val="a1"/>
    <w:link w:val="7"/>
    <w:uiPriority w:val="2"/>
    <w:rsid w:val="000E155A"/>
    <w:rPr>
      <w:bCs/>
      <w:kern w:val="2"/>
      <w:szCs w:val="24"/>
    </w:rPr>
  </w:style>
  <w:style w:type="paragraph" w:customStyle="1" w:styleId="a6">
    <w:name w:val="表格后说明"/>
    <w:next w:val="a0"/>
    <w:autoRedefine/>
    <w:uiPriority w:val="3"/>
    <w:qFormat/>
    <w:rsid w:val="00F27C6B"/>
    <w:pPr>
      <w:jc w:val="both"/>
    </w:pPr>
    <w:rPr>
      <w:kern w:val="2"/>
      <w:sz w:val="21"/>
      <w:szCs w:val="28"/>
    </w:rPr>
  </w:style>
  <w:style w:type="paragraph" w:customStyle="1" w:styleId="a7">
    <w:name w:val="表格前单位"/>
    <w:next w:val="a0"/>
    <w:autoRedefine/>
    <w:uiPriority w:val="2"/>
    <w:qFormat/>
    <w:rsid w:val="000E155A"/>
    <w:pPr>
      <w:keepNext/>
      <w:jc w:val="right"/>
    </w:pPr>
    <w:rPr>
      <w:kern w:val="2"/>
      <w:szCs w:val="24"/>
    </w:rPr>
  </w:style>
  <w:style w:type="paragraph" w:styleId="a8">
    <w:name w:val="footer"/>
    <w:basedOn w:val="a"/>
    <w:link w:val="a9"/>
    <w:uiPriority w:val="99"/>
    <w:unhideWhenUsed/>
    <w:rsid w:val="000E155A"/>
    <w:pPr>
      <w:widowControl/>
      <w:tabs>
        <w:tab w:val="center" w:pos="4680"/>
        <w:tab w:val="right" w:pos="9360"/>
      </w:tabs>
      <w:jc w:val="left"/>
    </w:pPr>
    <w:rPr>
      <w:rFonts w:asciiTheme="minorHAnsi" w:eastAsiaTheme="minorEastAsia" w:hAnsiTheme="minorHAnsi"/>
      <w:kern w:val="0"/>
      <w:sz w:val="22"/>
      <w:szCs w:val="22"/>
    </w:rPr>
  </w:style>
  <w:style w:type="character" w:customStyle="1" w:styleId="a9">
    <w:name w:val="页脚 字符"/>
    <w:basedOn w:val="a1"/>
    <w:link w:val="a8"/>
    <w:uiPriority w:val="99"/>
    <w:rsid w:val="000E155A"/>
    <w:rPr>
      <w:rFonts w:asciiTheme="minorHAnsi" w:eastAsiaTheme="minorEastAsia" w:hAnsiTheme="minorHAnsi"/>
      <w:sz w:val="22"/>
      <w:szCs w:val="22"/>
    </w:rPr>
  </w:style>
  <w:style w:type="paragraph" w:styleId="aa">
    <w:name w:val="header"/>
    <w:basedOn w:val="a"/>
    <w:link w:val="ab"/>
    <w:rsid w:val="000E155A"/>
    <w:pPr>
      <w:tabs>
        <w:tab w:val="center" w:pos="4153"/>
        <w:tab w:val="right" w:pos="8306"/>
      </w:tabs>
      <w:snapToGrid w:val="0"/>
      <w:jc w:val="center"/>
    </w:pPr>
    <w:rPr>
      <w:sz w:val="18"/>
      <w:szCs w:val="18"/>
    </w:rPr>
  </w:style>
  <w:style w:type="character" w:customStyle="1" w:styleId="ab">
    <w:name w:val="页眉 字符"/>
    <w:basedOn w:val="a1"/>
    <w:link w:val="aa"/>
    <w:rsid w:val="000E155A"/>
    <w:rPr>
      <w:kern w:val="2"/>
      <w:sz w:val="18"/>
      <w:szCs w:val="18"/>
    </w:rPr>
  </w:style>
  <w:style w:type="paragraph" w:styleId="ac">
    <w:name w:val="Body Text Indent"/>
    <w:basedOn w:val="a"/>
    <w:link w:val="ad"/>
    <w:rsid w:val="000F283C"/>
    <w:pPr>
      <w:spacing w:after="120"/>
      <w:ind w:leftChars="200" w:left="420"/>
    </w:pPr>
  </w:style>
  <w:style w:type="character" w:customStyle="1" w:styleId="ad">
    <w:name w:val="正文文本缩进 字符"/>
    <w:basedOn w:val="a1"/>
    <w:link w:val="ac"/>
    <w:rsid w:val="000F283C"/>
    <w:rPr>
      <w:kern w:val="2"/>
    </w:rPr>
  </w:style>
  <w:style w:type="paragraph" w:styleId="12">
    <w:name w:val="index 1"/>
    <w:basedOn w:val="a"/>
    <w:next w:val="a"/>
    <w:autoRedefine/>
    <w:rsid w:val="000F283C"/>
  </w:style>
  <w:style w:type="paragraph" w:styleId="ae">
    <w:name w:val="index heading"/>
    <w:basedOn w:val="a"/>
    <w:next w:val="12"/>
    <w:rsid w:val="000F283C"/>
    <w:rPr>
      <w:rFonts w:asciiTheme="majorHAnsi" w:eastAsiaTheme="majorEastAsia" w:hAnsiTheme="majorHAnsi" w:cstheme="majorBidi"/>
      <w:b/>
      <w:bCs/>
    </w:rPr>
  </w:style>
  <w:style w:type="character" w:styleId="af">
    <w:name w:val="Strong"/>
    <w:basedOn w:val="a1"/>
    <w:qFormat/>
    <w:rsid w:val="00670B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B6E4C-15A4-441E-96C7-705407B4C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21</Pages>
  <Words>2508</Words>
  <Characters>14298</Characters>
  <Application>Microsoft Office Word</Application>
  <DocSecurity>0</DocSecurity>
  <Lines>119</Lines>
  <Paragraphs>33</Paragraphs>
  <ScaleCrop>false</ScaleCrop>
  <Company/>
  <LinksUpToDate>false</LinksUpToDate>
  <CharactersWithSpaces>16773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Wayne</dc:creator>
  <cp:lastModifiedBy>jack chan</cp:lastModifiedBy>
  <cp:revision>19</cp:revision>
  <dcterms:created xsi:type="dcterms:W3CDTF">2026-08-07T18:08:00Z</dcterms:created>
  <dcterms:modified xsi:type="dcterms:W3CDTF">2026-08-07T03:23:00Z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764EF9BCEDFD4B753EE5746A73860050_43</vt:lpwstr>
  </property>
</Properties>
</file>