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据公司管理层提供的未经审计数据，2025年度和2026年1-7月，公司营业收入分别为5,278.54万元和11,467.06万元，2026年1-7月的收入已达2025年全年的2.17倍。公司分产品类别的收入构成如下表所示：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Align w:val="center"/>
          </w:tcPr>
          <w:p>
            <w:pPr>
              <w:spacing w:before="0" w:after="0"/>
              <w:jc w:val="center"/>
              <w:keepNext/>
            </w:pPr>
            <w:r>
              <w:rPr>
                <w:rFonts w:ascii="Times New Roman" w:hAnsi="Times New Roman" w:eastAsia="宋体"/>
                <w:b/>
                <w:sz w:val="21"/>
              </w:rPr>
              <w:t>产品类别</w:t>
            </w:r>
          </w:p>
        </w:tc>
        <w:tc>
          <w:tcPr>
            <w:tcW w:w="1715" w:type="dxa"/>
            <w:vAlign w:val="center"/>
          </w:tcPr>
          <w:p>
            <w:pPr>
              <w:spacing w:before="0" w:after="0"/>
              <w:jc w:val="center"/>
              <w:keepNext/>
            </w:pPr>
            <w:r>
              <w:rPr>
                <w:rFonts w:ascii="Times New Roman" w:hAnsi="Times New Roman" w:eastAsia="宋体"/>
                <w:b/>
                <w:sz w:val="21"/>
              </w:rPr>
              <w:t>2025年度</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2026年1-7月</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收入明细表。一体化关节模组包含人形关节模组、一体化模组及其定制产品，谐波减速机及传动总成包含谐波减速机、水平与垂直谐波传动总成及环视一体机谐波模组；其他包含电机、驱动器、试验工装及未单独标明产品名称的销售记录</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