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据公司管理层提供的未经审计数据，2024年度、2025年度和2026年1-7月，公司营业收入分别为3,168.54万元、5,278.54万元和11,467.06万元，2026年1-7月的收入已达2025年全年的2.17倍。</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