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45.97%和82.22%，谐波减速机及传动总成的比重分别为9.81%和4.54%，产品结构已由核心零部件与多品类模组并重转为以一体化关节模组为主。上述一体化关节模组包含人形关节模组、一体化模组及其定制产品，谐波减速机及传动总成包含谐波减速机、水平与垂直谐波传动总成及环视一体机谐波模组。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