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ageBreakBefore w:val="0"/>
      </w:pPr>
      <w:r>
        <w:rPr>
          <w:rFonts w:hint="eastAsia"/>
          <w:b w:val="0"/>
        </w:rPr>
        <w:t>无限宇航融资参考案例</w:t>
      </w:r>
    </w:p>
    <w:p>
      <w:pPr>
        <w:pStyle w:val="004"/>
      </w:pPr>
      <w:r>
        <w:rPr>
          <w:rFonts w:hint="eastAsia"/>
          <w:b/>
        </w:rPr>
        <w:t>1、未来宇航（同行业公司，OTV整机研制，A+轮）</w:t>
      </w:r>
    </w:p>
    <w:p>
      <w:pPr>
        <w:pStyle w:val="005"/>
      </w:pPr>
      <w:r>
        <w:rPr>
          <w:rFonts w:hint="eastAsia"/>
          <w:b w:val="0"/>
        </w:rPr>
        <w:t>未来宇航与无限宇航同处轨道转移飞行器整机赛道，是国内产品发布进度最快的同业之一。经营主体为北京未来宇航空间科技研究院有限公司，成立于2017年7月，法定代表人牛旼，注册地北京市海淀区。</w:t>
      </w:r>
    </w:p>
    <w:p>
      <w:pPr>
        <w:pStyle w:val="005"/>
      </w:pPr>
      <w:r>
        <w:rPr>
          <w:rFonts w:hint="eastAsia"/>
          <w:b w:val="0"/>
        </w:rPr>
        <w:t>产品方面，公司于2026年4月28日发布FX锋行系列空间飞行器，覆盖300公斤至4000公斤级多任务平台，可执行多星精确组网部署、空间目标观测、空间碎片清除等任务。锋行一号计划于2026年下半年首飞。</w:t>
      </w:r>
    </w:p>
    <w:p>
      <w:pPr>
        <w:pStyle w:val="005"/>
      </w:pPr>
      <w:r>
        <w:rPr>
          <w:rFonts w:hint="eastAsia"/>
          <w:b w:val="0"/>
        </w:rPr>
        <w:t>经营状况方面，公司注册资本361.6699万元，实缴322.9195万元，2025年报参保人数20人。公司控股10家子公司，分布于北京、雄安、海南、西安、上海、南京、绵阳、深圳、武汉。其中河北雄安未来宇航科技有限公司对应雄安空间飞行器总装集成测试工厂，该工厂计划2026年投产，同步启用太空4S店，规划年产60台飞行器。</w:t>
      </w:r>
    </w:p>
    <w:p>
      <w:pPr>
        <w:pStyle w:val="a4"/>
        <w:keepNext/>
        <w:jc w:val="center"/>
      </w:pPr>
      <w:r>
        <w:rPr>
          <w:rFonts w:hint="eastAsia"/>
          <w:b/>
          <w:sz w:val="21"/>
        </w:rPr>
        <w:t>表1  未来宇航融资情况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500" w:type="pct"/>
            <w:tcBorders>
              <w:top w:val="single" w:sz="12" w:space="0" w:color="010000"/>
              <w:bottom w:val="single" w:sz="4" w:space="0" w:color="010000"/>
            </w:tcBorders>
            <w:vAlign w:val="center"/>
          </w:tcPr>
          <w:p>
            <w:pPr>
              <w:keepNext/>
              <w:jc w:val="center"/>
            </w:pPr>
            <w:r>
              <w:rPr>
                <w:rFonts w:hint="eastAsia"/>
                <w:b/>
                <w:sz w:val="21"/>
              </w:rPr>
              <w:t>轮次</w:t>
            </w:r>
          </w:p>
        </w:tc>
        <w:tc>
          <w:tcPr>
            <w:tcW w:w="1100" w:type="pct"/>
            <w:tcBorders>
              <w:top w:val="single" w:sz="12" w:space="0" w:color="010000"/>
              <w:bottom w:val="single" w:sz="4" w:space="0" w:color="010000"/>
            </w:tcBorders>
            <w:vAlign w:val="center"/>
          </w:tcPr>
          <w:p>
            <w:pPr>
              <w:keepNext/>
              <w:jc w:val="center"/>
            </w:pPr>
            <w:r>
              <w:rPr>
                <w:rFonts w:hint="eastAsia"/>
                <w:b/>
                <w:sz w:val="21"/>
              </w:rPr>
              <w:t>时间</w:t>
            </w:r>
          </w:p>
        </w:tc>
        <w:tc>
          <w:tcPr>
            <w:tcW w:w="1000" w:type="pct"/>
            <w:tcBorders>
              <w:top w:val="single" w:sz="12" w:space="0" w:color="010000"/>
              <w:bottom w:val="single" w:sz="4" w:space="0" w:color="010000"/>
            </w:tcBorders>
            <w:vAlign w:val="center"/>
          </w:tcPr>
          <w:p>
            <w:pPr>
              <w:keepNext/>
              <w:jc w:val="center"/>
            </w:pPr>
            <w:r>
              <w:rPr>
                <w:rFonts w:hint="eastAsia"/>
                <w:b/>
                <w:sz w:val="21"/>
              </w:rPr>
              <w:t>融资金额</w:t>
            </w:r>
          </w:p>
        </w:tc>
        <w:tc>
          <w:tcPr>
            <w:tcW w:w="2400" w:type="pct"/>
            <w:tcBorders>
              <w:top w:val="single" w:sz="12" w:space="0" w:color="010000"/>
              <w:bottom w:val="single" w:sz="4" w:space="0" w:color="010000"/>
            </w:tcBorders>
            <w:vAlign w:val="center"/>
          </w:tcPr>
          <w:p>
            <w:pPr>
              <w:keepNext/>
              <w:jc w:val="center"/>
            </w:pPr>
            <w:r>
              <w:rPr>
                <w:rFonts w:hint="eastAsia"/>
                <w:b/>
                <w:sz w:val="21"/>
              </w:rPr>
              <w:t>投资方</w:t>
            </w:r>
          </w:p>
        </w:tc>
      </w:tr>
      <w:tr>
        <w:trPr>
          <w:cantSplit/>
        </w:trPr>
        <w:tc>
          <w:tcPr>
            <w:tcW w:w="500" w:type="pct"/>
            <w:tcBorders>
              <w:bottom w:val="single" w:sz="12" w:space="0" w:color="010000"/>
            </w:tcBorders>
            <w:vAlign w:val="center"/>
          </w:tcPr>
          <w:p>
            <w:pPr>
              <w:keepNext/>
              <w:jc w:val="center"/>
            </w:pPr>
            <w:r>
              <w:rPr>
                <w:rFonts w:hint="eastAsia"/>
                <w:b w:val="0"/>
                <w:sz w:val="21"/>
              </w:rPr>
              <w:t>A+轮</w:t>
            </w:r>
          </w:p>
        </w:tc>
        <w:tc>
          <w:tcPr>
            <w:tcW w:w="1100" w:type="pct"/>
            <w:tcBorders>
              <w:bottom w:val="single" w:sz="12" w:space="0" w:color="010000"/>
            </w:tcBorders>
            <w:vAlign w:val="center"/>
          </w:tcPr>
          <w:p>
            <w:pPr>
              <w:keepNext/>
              <w:jc w:val="center"/>
            </w:pPr>
            <w:r>
              <w:rPr>
                <w:rFonts w:hint="eastAsia"/>
                <w:b w:val="0"/>
                <w:sz w:val="21"/>
              </w:rPr>
              <w:t>2026年（工商登记2026年6月）</w:t>
            </w:r>
          </w:p>
        </w:tc>
        <w:tc>
          <w:tcPr>
            <w:tcW w:w="1000" w:type="pct"/>
            <w:tcBorders>
              <w:bottom w:val="single" w:sz="12" w:space="0" w:color="010000"/>
            </w:tcBorders>
            <w:vAlign w:val="center"/>
          </w:tcPr>
          <w:p>
            <w:pPr>
              <w:keepNext/>
              <w:jc w:val="center"/>
            </w:pPr>
            <w:r>
              <w:rPr>
                <w:rFonts w:hint="eastAsia"/>
                <w:b w:val="0"/>
                <w:sz w:val="21"/>
              </w:rPr>
              <w:t>约8200万元（测算）</w:t>
            </w:r>
          </w:p>
        </w:tc>
        <w:tc>
          <w:tcPr>
            <w:tcW w:w="2400" w:type="pct"/>
            <w:tcBorders>
              <w:bottom w:val="single" w:sz="12" w:space="0" w:color="010000"/>
            </w:tcBorders>
            <w:vAlign w:val="center"/>
          </w:tcPr>
          <w:p>
            <w:pPr>
              <w:keepNext/>
              <w:jc w:val="left"/>
            </w:pPr>
            <w:r>
              <w:rPr>
                <w:rFonts w:hint="eastAsia"/>
                <w:b w:val="0"/>
                <w:sz w:val="21"/>
              </w:rPr>
              <w:t>雄安科技创新天使基金一期、嘉兴源益股权投资、深圳逐星者投资</w:t>
            </w:r>
          </w:p>
        </w:tc>
      </w:tr>
    </w:tbl>
    <w:p>
      <w:pPr>
        <w:pStyle w:val="a4"/>
        <w:jc w:val="center"/>
      </w:pPr>
      <w:r>
        <w:rPr>
          <w:rFonts w:hint="eastAsia"/>
          <w:b w:val="0"/>
          <w:sz w:val="11"/>
        </w:rPr>
        <w:t>资料来源：企查查企业信用报告专业版、公开报道</w:t>
      </w:r>
    </w:p>
    <w:p>
      <w:pPr>
        <w:pStyle w:val="005"/>
      </w:pPr>
      <w:r>
        <w:rPr>
          <w:rFonts w:hint="eastAsia"/>
          <w:b w:val="0"/>
        </w:rPr>
        <w:t>企查查未收录未来宇航的融资事件。2026年4月产品发布会期间，媒体报道公司A+轮融资即将完成，估值约10亿元。以工商登记的新进股东合计持股8.2142%与该估值测算，本轮融资金额约8200万元。该估值取自媒体报道，未经公司确认。</w:t>
      </w:r>
    </w:p>
    <w:p>
      <w:pPr>
        <w:pStyle w:val="a4"/>
        <w:keepNext/>
        <w:jc w:val="center"/>
      </w:pPr>
      <w:r>
        <w:rPr>
          <w:rFonts w:hint="eastAsia"/>
          <w:b/>
          <w:sz w:val="21"/>
        </w:rPr>
        <w:t>表2  未来宇航注册资本变更情况</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变更日期</w:t>
            </w:r>
          </w:p>
        </w:tc>
        <w:tc>
          <w:tcPr>
            <w:tcW w:w="100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5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2021-10-19</w:t>
            </w:r>
          </w:p>
        </w:tc>
        <w:tc>
          <w:tcPr>
            <w:tcW w:w="1000" w:type="pct"/>
            <w:vAlign w:val="center"/>
          </w:tcPr>
          <w:p>
            <w:pPr>
              <w:keepNext/>
              <w:jc w:val="center"/>
            </w:pPr>
            <w:r>
              <w:rPr>
                <w:rFonts w:hint="eastAsia"/>
                <w:b w:val="0"/>
                <w:sz w:val="21"/>
              </w:rPr>
              <w:t>300→307.69</w:t>
            </w:r>
          </w:p>
        </w:tc>
        <w:tc>
          <w:tcPr>
            <w:tcW w:w="2250" w:type="pct"/>
            <w:vAlign w:val="center"/>
          </w:tcPr>
          <w:p>
            <w:pPr>
              <w:keepNext/>
              <w:jc w:val="left"/>
            </w:pPr>
            <w:r>
              <w:rPr>
                <w:rFonts w:hint="eastAsia"/>
                <w:b w:val="0"/>
                <w:sz w:val="21"/>
              </w:rPr>
              <w:t>海南未来探索、海南未来共赢、苏州纳芯</w:t>
            </w:r>
          </w:p>
        </w:tc>
        <w:tc>
          <w:tcPr>
            <w:tcW w:w="1000" w:type="pct"/>
            <w:vAlign w:val="center"/>
          </w:tcPr>
          <w:p>
            <w:pPr>
              <w:keepNext/>
              <w:jc w:val="center"/>
            </w:pPr>
            <w:r>
              <w:rPr>
                <w:rFonts w:hint="eastAsia"/>
                <w:b w:val="0"/>
                <w:sz w:val="21"/>
              </w:rPr>
              <w:t>增资与股权转让并行</w:t>
            </w:r>
          </w:p>
        </w:tc>
      </w:tr>
      <w:tr>
        <w:trPr>
          <w:cantSplit/>
        </w:trPr>
        <w:tc>
          <w:tcPr>
            <w:tcW w:w="750" w:type="pct"/>
            <w:vAlign w:val="center"/>
          </w:tcPr>
          <w:p>
            <w:pPr>
              <w:keepNext/>
              <w:jc w:val="center"/>
            </w:pPr>
            <w:r>
              <w:rPr>
                <w:rFonts w:hint="eastAsia"/>
                <w:b w:val="0"/>
                <w:sz w:val="21"/>
              </w:rPr>
              <w:t>2022-05-07</w:t>
            </w:r>
          </w:p>
        </w:tc>
        <w:tc>
          <w:tcPr>
            <w:tcW w:w="1000" w:type="pct"/>
            <w:vAlign w:val="center"/>
          </w:tcPr>
          <w:p>
            <w:pPr>
              <w:keepNext/>
              <w:jc w:val="center"/>
            </w:pPr>
            <w:r>
              <w:rPr>
                <w:rFonts w:hint="eastAsia"/>
                <w:b w:val="0"/>
                <w:sz w:val="21"/>
              </w:rPr>
              <w:t>307.6924→315.3847</w:t>
            </w:r>
          </w:p>
        </w:tc>
        <w:tc>
          <w:tcPr>
            <w:tcW w:w="2250" w:type="pct"/>
            <w:vAlign w:val="center"/>
          </w:tcPr>
          <w:p>
            <w:pPr>
              <w:keepNext/>
              <w:jc w:val="left"/>
            </w:pPr>
            <w:r>
              <w:rPr>
                <w:rFonts w:hint="eastAsia"/>
                <w:b w:val="0"/>
                <w:sz w:val="21"/>
              </w:rPr>
              <w:t>—</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2023-10-31</w:t>
            </w:r>
          </w:p>
        </w:tc>
        <w:tc>
          <w:tcPr>
            <w:tcW w:w="1000" w:type="pct"/>
            <w:vAlign w:val="center"/>
          </w:tcPr>
          <w:p>
            <w:pPr>
              <w:keepNext/>
              <w:jc w:val="center"/>
            </w:pPr>
            <w:r>
              <w:rPr>
                <w:rFonts w:hint="eastAsia"/>
                <w:b w:val="0"/>
                <w:sz w:val="21"/>
              </w:rPr>
              <w:t>315.3847→321.8211</w:t>
            </w:r>
          </w:p>
        </w:tc>
        <w:tc>
          <w:tcPr>
            <w:tcW w:w="2250" w:type="pct"/>
            <w:vAlign w:val="center"/>
          </w:tcPr>
          <w:p>
            <w:pPr>
              <w:keepNext/>
              <w:jc w:val="left"/>
            </w:pPr>
            <w:r>
              <w:rPr>
                <w:rFonts w:hint="eastAsia"/>
                <w:b w:val="0"/>
                <w:sz w:val="21"/>
              </w:rPr>
              <w:t>—</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2024-07-18</w:t>
            </w:r>
          </w:p>
        </w:tc>
        <w:tc>
          <w:tcPr>
            <w:tcW w:w="1000" w:type="pct"/>
            <w:vAlign w:val="center"/>
          </w:tcPr>
          <w:p>
            <w:pPr>
              <w:keepNext/>
              <w:jc w:val="center"/>
            </w:pPr>
            <w:r>
              <w:rPr>
                <w:rFonts w:hint="eastAsia"/>
                <w:b w:val="0"/>
                <w:sz w:val="21"/>
              </w:rPr>
              <w:t>321.8211→322.9195</w:t>
            </w:r>
          </w:p>
        </w:tc>
        <w:tc>
          <w:tcPr>
            <w:tcW w:w="2250" w:type="pct"/>
            <w:vAlign w:val="center"/>
          </w:tcPr>
          <w:p>
            <w:pPr>
              <w:keepNext/>
              <w:jc w:val="left"/>
            </w:pPr>
            <w:r>
              <w:rPr>
                <w:rFonts w:hint="eastAsia"/>
                <w:b w:val="0"/>
                <w:sz w:val="21"/>
              </w:rPr>
              <w:t>—</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2026-06-03</w:t>
            </w:r>
          </w:p>
        </w:tc>
        <w:tc>
          <w:tcPr>
            <w:tcW w:w="1000" w:type="pct"/>
            <w:vAlign w:val="center"/>
          </w:tcPr>
          <w:p>
            <w:pPr>
              <w:keepNext/>
              <w:jc w:val="center"/>
            </w:pPr>
            <w:r>
              <w:rPr>
                <w:rFonts w:hint="eastAsia"/>
                <w:b w:val="0"/>
                <w:sz w:val="21"/>
              </w:rPr>
              <w:t>322.9195→352.2401</w:t>
            </w:r>
          </w:p>
        </w:tc>
        <w:tc>
          <w:tcPr>
            <w:tcW w:w="2250" w:type="pct"/>
            <w:vAlign w:val="center"/>
          </w:tcPr>
          <w:p>
            <w:pPr>
              <w:keepNext/>
              <w:jc w:val="left"/>
            </w:pPr>
            <w:r>
              <w:rPr>
                <w:rFonts w:hint="eastAsia"/>
                <w:b w:val="0"/>
                <w:sz w:val="21"/>
              </w:rPr>
              <w:t>雄安科技创新天使基金一期、嘉兴源益股权投资、深圳逐星者投资</w:t>
            </w:r>
          </w:p>
        </w:tc>
        <w:tc>
          <w:tcPr>
            <w:tcW w:w="1000" w:type="pct"/>
            <w:vAlign w:val="center"/>
          </w:tcPr>
          <w:p>
            <w:pPr>
              <w:keepNext/>
              <w:jc w:val="center"/>
            </w:pPr>
            <w:r>
              <w:rPr>
                <w:rFonts w:hint="eastAsia"/>
                <w:b w:val="0"/>
                <w:sz w:val="21"/>
              </w:rPr>
              <w:t>8.2142%</w:t>
            </w:r>
          </w:p>
        </w:tc>
      </w:tr>
      <w:tr>
        <w:trPr>
          <w:cantSplit/>
        </w:trPr>
        <w:tc>
          <w:tcPr>
            <w:tcW w:w="750" w:type="pct"/>
            <w:tcBorders>
              <w:bottom w:val="single" w:sz="12" w:space="0" w:color="010000"/>
            </w:tcBorders>
            <w:vAlign w:val="center"/>
          </w:tcPr>
          <w:p>
            <w:pPr>
              <w:keepNext/>
              <w:jc w:val="center"/>
            </w:pPr>
            <w:r>
              <w:rPr>
                <w:rFonts w:hint="eastAsia"/>
                <w:b w:val="0"/>
                <w:sz w:val="21"/>
              </w:rPr>
              <w:t>2026-08-13</w:t>
            </w:r>
          </w:p>
        </w:tc>
        <w:tc>
          <w:tcPr>
            <w:tcW w:w="1000" w:type="pct"/>
            <w:tcBorders>
              <w:bottom w:val="single" w:sz="12" w:space="0" w:color="010000"/>
            </w:tcBorders>
            <w:vAlign w:val="center"/>
          </w:tcPr>
          <w:p>
            <w:pPr>
              <w:keepNext/>
              <w:jc w:val="center"/>
            </w:pPr>
            <w:r>
              <w:rPr>
                <w:rFonts w:hint="eastAsia"/>
                <w:b w:val="0"/>
                <w:sz w:val="21"/>
              </w:rPr>
              <w:t>352.2401→361.6699</w:t>
            </w:r>
          </w:p>
        </w:tc>
        <w:tc>
          <w:tcPr>
            <w:tcW w:w="2250" w:type="pct"/>
            <w:tcBorders>
              <w:bottom w:val="single" w:sz="12" w:space="0" w:color="010000"/>
            </w:tcBorders>
            <w:vAlign w:val="center"/>
          </w:tcPr>
          <w:p>
            <w:pPr>
              <w:keepNext/>
              <w:jc w:val="left"/>
            </w:pPr>
            <w:r>
              <w:rPr>
                <w:rFonts w:hint="eastAsia"/>
                <w:b w:val="0"/>
                <w:sz w:val="21"/>
              </w:rPr>
              <w:t>原股东海南未来共赢增资</w:t>
            </w:r>
          </w:p>
        </w:tc>
        <w:tc>
          <w:tcPr>
            <w:tcW w:w="1000" w:type="pct"/>
            <w:tcBorders>
              <w:bottom w:val="single" w:sz="12" w:space="0" w:color="010000"/>
            </w:tcBorders>
            <w:vAlign w:val="center"/>
          </w:tcPr>
          <w:p>
            <w:pPr>
              <w:keepNext/>
              <w:jc w:val="center"/>
            </w:pPr>
            <w:r>
              <w:rPr>
                <w:rFonts w:hint="eastAsia"/>
                <w:b w:val="0"/>
                <w:sz w:val="21"/>
              </w:rPr>
              <w:t>—</w:t>
            </w:r>
          </w:p>
        </w:tc>
      </w:tr>
    </w:tbl>
    <w:p>
      <w:pPr>
        <w:pStyle w:val="a4"/>
        <w:jc w:val="center"/>
      </w:pPr>
      <w:r>
        <w:rPr>
          <w:rFonts w:hint="eastAsia"/>
          <w:b w:val="0"/>
          <w:sz w:val="11"/>
        </w:rPr>
        <w:t>资料来源：企查查企业信用报告专业版</w:t>
      </w:r>
    </w:p>
    <w:p>
      <w:pPr>
        <w:pStyle w:val="004"/>
      </w:pPr>
      <w:r>
        <w:rPr>
          <w:rFonts w:hint="eastAsia"/>
          <w:b/>
        </w:rPr>
        <w:t>2、国宇星辰（同行业公司，空间在轨服务，Pre-A+轮）</w:t>
      </w:r>
    </w:p>
    <w:p>
      <w:pPr>
        <w:pStyle w:val="005"/>
      </w:pPr>
      <w:r>
        <w:rPr>
          <w:rFonts w:hint="eastAsia"/>
          <w:b w:val="0"/>
        </w:rPr>
        <w:t>国宇星辰与无限宇航同属空间在轨服务赛道，业务重心在在轨服务而非异轨部署运输。经营主体为国宇星辰（上海）航天科技有限公司，成立于2022年4月，曾用名国宇星辰（山东）航天科技有限公司，法定代表人张龙，注册地上海市松江区。</w:t>
      </w:r>
    </w:p>
    <w:p>
      <w:pPr>
        <w:pStyle w:val="005"/>
      </w:pPr>
      <w:r>
        <w:rPr>
          <w:rFonts w:hint="eastAsia"/>
          <w:b w:val="0"/>
        </w:rPr>
        <w:t>产品方面，公司核心业务覆盖在轨验证、在轨延寿、在轨清理三个板块，构建微纳、中型、大型轨道飞行器产品矩阵，自主研发空间组合动力系统。自研星迹源一号于2025年5月完成入轨验证。</w:t>
      </w:r>
    </w:p>
    <w:p>
      <w:pPr>
        <w:pStyle w:val="005"/>
      </w:pPr>
      <w:r>
        <w:rPr>
          <w:rFonts w:hint="eastAsia"/>
          <w:b w:val="0"/>
        </w:rPr>
        <w:t>经营状况方面，公司注册资本451.5714万元，实缴265.5714万元，2025年报参保人数为0人，企查查标注企业规模为微型。</w:t>
      </w:r>
    </w:p>
    <w:p>
      <w:pPr>
        <w:pStyle w:val="a4"/>
        <w:keepNext/>
        <w:jc w:val="center"/>
      </w:pPr>
      <w:r>
        <w:rPr>
          <w:rFonts w:hint="eastAsia"/>
          <w:b/>
          <w:sz w:val="21"/>
        </w:rPr>
        <w:t>表3  国宇星辰融资情况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600" w:type="pct"/>
            <w:tcBorders>
              <w:top w:val="single" w:sz="12" w:space="0" w:color="010000"/>
              <w:bottom w:val="single" w:sz="4" w:space="0" w:color="010000"/>
            </w:tcBorders>
            <w:vAlign w:val="center"/>
          </w:tcPr>
          <w:p>
            <w:pPr>
              <w:keepNext/>
              <w:jc w:val="center"/>
            </w:pPr>
            <w:r>
              <w:rPr>
                <w:rFonts w:hint="eastAsia"/>
                <w:b/>
                <w:sz w:val="21"/>
              </w:rPr>
              <w:t>轮次</w:t>
            </w:r>
          </w:p>
        </w:tc>
        <w:tc>
          <w:tcPr>
            <w:tcW w:w="80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融资金额</w:t>
            </w:r>
          </w:p>
        </w:tc>
        <w:tc>
          <w:tcPr>
            <w:tcW w:w="2800" w:type="pct"/>
            <w:tcBorders>
              <w:top w:val="single" w:sz="12" w:space="0" w:color="010000"/>
              <w:bottom w:val="single" w:sz="4" w:space="0" w:color="010000"/>
            </w:tcBorders>
            <w:vAlign w:val="center"/>
          </w:tcPr>
          <w:p>
            <w:pPr>
              <w:keepNext/>
              <w:jc w:val="center"/>
            </w:pPr>
            <w:r>
              <w:rPr>
                <w:rFonts w:hint="eastAsia"/>
                <w:b/>
                <w:sz w:val="21"/>
              </w:rPr>
              <w:t>投资方</w:t>
            </w:r>
          </w:p>
        </w:tc>
      </w:tr>
      <w:tr>
        <w:trPr>
          <w:cantSplit/>
        </w:trPr>
        <w:tc>
          <w:tcPr>
            <w:tcW w:w="600" w:type="pct"/>
            <w:vAlign w:val="center"/>
          </w:tcPr>
          <w:p>
            <w:pPr>
              <w:keepNext/>
              <w:jc w:val="center"/>
            </w:pPr>
            <w:r>
              <w:rPr>
                <w:rFonts w:hint="eastAsia"/>
                <w:b w:val="0"/>
                <w:sz w:val="21"/>
              </w:rPr>
              <w:t>天使轮</w:t>
            </w:r>
          </w:p>
        </w:tc>
        <w:tc>
          <w:tcPr>
            <w:tcW w:w="800" w:type="pct"/>
            <w:vAlign w:val="center"/>
          </w:tcPr>
          <w:p>
            <w:pPr>
              <w:keepNext/>
              <w:jc w:val="center"/>
            </w:pPr>
            <w:r>
              <w:rPr>
                <w:rFonts w:hint="eastAsia"/>
                <w:b w:val="0"/>
                <w:sz w:val="21"/>
              </w:rPr>
              <w:t>2022-10-28</w:t>
            </w:r>
          </w:p>
        </w:tc>
        <w:tc>
          <w:tcPr>
            <w:tcW w:w="800" w:type="pct"/>
            <w:vAlign w:val="center"/>
          </w:tcPr>
          <w:p>
            <w:pPr>
              <w:keepNext/>
              <w:jc w:val="center"/>
            </w:pPr>
            <w:r>
              <w:rPr>
                <w:rFonts w:hint="eastAsia"/>
                <w:b w:val="0"/>
                <w:sz w:val="21"/>
              </w:rPr>
              <w:t>未披露</w:t>
            </w:r>
          </w:p>
        </w:tc>
        <w:tc>
          <w:tcPr>
            <w:tcW w:w="2800" w:type="pct"/>
            <w:vAlign w:val="center"/>
          </w:tcPr>
          <w:p>
            <w:pPr>
              <w:keepNext/>
              <w:jc w:val="left"/>
            </w:pPr>
            <w:r>
              <w:rPr>
                <w:rFonts w:hint="eastAsia"/>
                <w:b w:val="0"/>
                <w:sz w:val="21"/>
              </w:rPr>
              <w:t>青岛元禾原点数智转化创业投资</w:t>
            </w:r>
          </w:p>
        </w:tc>
      </w:tr>
      <w:tr>
        <w:trPr>
          <w:cantSplit/>
        </w:trPr>
        <w:tc>
          <w:tcPr>
            <w:tcW w:w="600" w:type="pct"/>
            <w:vAlign w:val="center"/>
          </w:tcPr>
          <w:p>
            <w:pPr>
              <w:keepNext/>
              <w:jc w:val="center"/>
            </w:pPr>
            <w:r>
              <w:rPr>
                <w:rFonts w:hint="eastAsia"/>
                <w:b w:val="0"/>
                <w:sz w:val="21"/>
              </w:rPr>
              <w:t>Pre-A轮</w:t>
            </w:r>
          </w:p>
        </w:tc>
        <w:tc>
          <w:tcPr>
            <w:tcW w:w="800" w:type="pct"/>
            <w:vAlign w:val="center"/>
          </w:tcPr>
          <w:p>
            <w:pPr>
              <w:keepNext/>
              <w:jc w:val="center"/>
            </w:pPr>
            <w:r>
              <w:rPr>
                <w:rFonts w:hint="eastAsia"/>
                <w:b w:val="0"/>
                <w:sz w:val="21"/>
              </w:rPr>
              <w:t>2025-02-28</w:t>
            </w:r>
          </w:p>
        </w:tc>
        <w:tc>
          <w:tcPr>
            <w:tcW w:w="800" w:type="pct"/>
            <w:vAlign w:val="center"/>
          </w:tcPr>
          <w:p>
            <w:pPr>
              <w:keepNext/>
              <w:jc w:val="center"/>
            </w:pPr>
            <w:r>
              <w:rPr>
                <w:rFonts w:hint="eastAsia"/>
                <w:b w:val="0"/>
                <w:sz w:val="21"/>
              </w:rPr>
              <w:t>未披露</w:t>
            </w:r>
          </w:p>
        </w:tc>
        <w:tc>
          <w:tcPr>
            <w:tcW w:w="2800" w:type="pct"/>
            <w:vAlign w:val="center"/>
          </w:tcPr>
          <w:p>
            <w:pPr>
              <w:keepNext/>
              <w:jc w:val="left"/>
            </w:pPr>
            <w:r>
              <w:rPr>
                <w:rFonts w:hint="eastAsia"/>
                <w:b w:val="0"/>
                <w:sz w:val="21"/>
              </w:rPr>
              <w:t>衢州厚雪丰木、上海厚雪为新、上海厚雪私募</w:t>
            </w:r>
          </w:p>
        </w:tc>
      </w:tr>
      <w:tr>
        <w:trPr>
          <w:cantSplit/>
        </w:trPr>
        <w:tc>
          <w:tcPr>
            <w:tcW w:w="600" w:type="pct"/>
            <w:tcBorders>
              <w:bottom w:val="single" w:sz="12" w:space="0" w:color="010000"/>
            </w:tcBorders>
            <w:vAlign w:val="center"/>
          </w:tcPr>
          <w:p>
            <w:pPr>
              <w:keepNext/>
              <w:jc w:val="center"/>
            </w:pPr>
            <w:r>
              <w:rPr>
                <w:rFonts w:hint="eastAsia"/>
                <w:b w:val="0"/>
                <w:sz w:val="21"/>
              </w:rPr>
              <w:t>Pre-A+轮</w:t>
            </w:r>
          </w:p>
        </w:tc>
        <w:tc>
          <w:tcPr>
            <w:tcW w:w="800" w:type="pct"/>
            <w:tcBorders>
              <w:bottom w:val="single" w:sz="12" w:space="0" w:color="010000"/>
            </w:tcBorders>
            <w:vAlign w:val="center"/>
          </w:tcPr>
          <w:p>
            <w:pPr>
              <w:keepNext/>
              <w:jc w:val="center"/>
            </w:pPr>
            <w:r>
              <w:rPr>
                <w:rFonts w:hint="eastAsia"/>
                <w:b w:val="0"/>
                <w:sz w:val="21"/>
              </w:rPr>
              <w:t>2025-08-20</w:t>
            </w:r>
          </w:p>
        </w:tc>
        <w:tc>
          <w:tcPr>
            <w:tcW w:w="800" w:type="pct"/>
            <w:tcBorders>
              <w:bottom w:val="single" w:sz="12" w:space="0" w:color="010000"/>
            </w:tcBorders>
            <w:vAlign w:val="center"/>
          </w:tcPr>
          <w:p>
            <w:pPr>
              <w:keepNext/>
              <w:jc w:val="center"/>
            </w:pPr>
            <w:r>
              <w:rPr>
                <w:rFonts w:hint="eastAsia"/>
                <w:b w:val="0"/>
                <w:sz w:val="21"/>
              </w:rPr>
              <w:t>数千万元</w:t>
            </w:r>
          </w:p>
        </w:tc>
        <w:tc>
          <w:tcPr>
            <w:tcW w:w="2800" w:type="pct"/>
            <w:tcBorders>
              <w:bottom w:val="single" w:sz="12" w:space="0" w:color="010000"/>
            </w:tcBorders>
            <w:vAlign w:val="center"/>
          </w:tcPr>
          <w:p>
            <w:pPr>
              <w:keepNext/>
              <w:jc w:val="left"/>
            </w:pPr>
            <w:r>
              <w:rPr>
                <w:rFonts w:hint="eastAsia"/>
                <w:b w:val="0"/>
                <w:sz w:val="21"/>
              </w:rPr>
              <w:t>马鞍山尚颀智能创业投资基金</w:t>
            </w:r>
          </w:p>
        </w:tc>
      </w:tr>
    </w:tbl>
    <w:p>
      <w:pPr>
        <w:pStyle w:val="a4"/>
        <w:jc w:val="center"/>
      </w:pPr>
      <w:r>
        <w:rPr>
          <w:rFonts w:hint="eastAsia"/>
          <w:b w:val="0"/>
          <w:sz w:val="11"/>
        </w:rPr>
        <w:t>资料来源：企查查企业信用报告专业版</w:t>
      </w:r>
    </w:p>
    <w:p>
      <w:pPr>
        <w:pStyle w:val="005"/>
      </w:pPr>
      <w:r>
        <w:rPr>
          <w:rFonts w:hint="eastAsia"/>
          <w:b w:val="0"/>
        </w:rPr>
        <w:t>公司累计融资3次，当前轮次为Pre-A+轮。以该轮新进股东持股8.2569%测算，若融资金额为3000万元，对应投后估值约3.6亿元；若为5000万元，对应投后估值约6.1亿元。天使轮与Pre-A轮金额未披露，无法测算。</w:t>
      </w:r>
    </w:p>
    <w:p>
      <w:pPr>
        <w:pStyle w:val="a4"/>
        <w:keepNext/>
        <w:jc w:val="center"/>
      </w:pPr>
      <w:r>
        <w:rPr>
          <w:rFonts w:hint="eastAsia"/>
          <w:b/>
          <w:sz w:val="21"/>
        </w:rPr>
        <w:t>表4  国宇星辰注册资本变更情况</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变更日期</w:t>
            </w:r>
          </w:p>
        </w:tc>
        <w:tc>
          <w:tcPr>
            <w:tcW w:w="100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5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2022-10-28</w:t>
            </w:r>
          </w:p>
        </w:tc>
        <w:tc>
          <w:tcPr>
            <w:tcW w:w="1000" w:type="pct"/>
            <w:vAlign w:val="center"/>
          </w:tcPr>
          <w:p>
            <w:pPr>
              <w:keepNext/>
              <w:jc w:val="center"/>
            </w:pPr>
            <w:r>
              <w:rPr>
                <w:rFonts w:hint="eastAsia"/>
                <w:b w:val="0"/>
                <w:sz w:val="21"/>
              </w:rPr>
              <w:t>300→342.8571</w:t>
            </w:r>
          </w:p>
        </w:tc>
        <w:tc>
          <w:tcPr>
            <w:tcW w:w="2250" w:type="pct"/>
            <w:vAlign w:val="center"/>
          </w:tcPr>
          <w:p>
            <w:pPr>
              <w:keepNext/>
              <w:jc w:val="left"/>
            </w:pPr>
            <w:r>
              <w:rPr>
                <w:rFonts w:hint="eastAsia"/>
                <w:b w:val="0"/>
                <w:sz w:val="21"/>
              </w:rPr>
              <w:t>青岛元禾原点</w:t>
            </w:r>
          </w:p>
        </w:tc>
        <w:tc>
          <w:tcPr>
            <w:tcW w:w="1000" w:type="pct"/>
            <w:vAlign w:val="center"/>
          </w:tcPr>
          <w:p>
            <w:pPr>
              <w:keepNext/>
              <w:jc w:val="center"/>
            </w:pPr>
            <w:r>
              <w:rPr>
                <w:rFonts w:hint="eastAsia"/>
                <w:b w:val="0"/>
                <w:sz w:val="21"/>
              </w:rPr>
              <w:t>12.5000%</w:t>
            </w:r>
          </w:p>
        </w:tc>
      </w:tr>
      <w:tr>
        <w:trPr>
          <w:cantSplit/>
        </w:trPr>
        <w:tc>
          <w:tcPr>
            <w:tcW w:w="750" w:type="pct"/>
            <w:vAlign w:val="center"/>
          </w:tcPr>
          <w:p>
            <w:pPr>
              <w:keepNext/>
              <w:jc w:val="center"/>
            </w:pPr>
            <w:r>
              <w:rPr>
                <w:rFonts w:hint="eastAsia"/>
                <w:b w:val="0"/>
                <w:sz w:val="21"/>
              </w:rPr>
              <w:t>2025-02-28</w:t>
            </w:r>
          </w:p>
        </w:tc>
        <w:tc>
          <w:tcPr>
            <w:tcW w:w="1000" w:type="pct"/>
            <w:vAlign w:val="center"/>
          </w:tcPr>
          <w:p>
            <w:pPr>
              <w:keepNext/>
              <w:jc w:val="center"/>
            </w:pPr>
            <w:r>
              <w:rPr>
                <w:rFonts w:hint="eastAsia"/>
                <w:b w:val="0"/>
                <w:sz w:val="21"/>
              </w:rPr>
              <w:t>342.8571→414.2857</w:t>
            </w:r>
          </w:p>
        </w:tc>
        <w:tc>
          <w:tcPr>
            <w:tcW w:w="2250" w:type="pct"/>
            <w:vAlign w:val="center"/>
          </w:tcPr>
          <w:p>
            <w:pPr>
              <w:keepNext/>
              <w:jc w:val="left"/>
            </w:pPr>
            <w:r>
              <w:rPr>
                <w:rFonts w:hint="eastAsia"/>
                <w:b w:val="0"/>
                <w:sz w:val="21"/>
              </w:rPr>
              <w:t>衢州厚雪丰木、上海厚雪为新、上海厚雪私募、侯昊翔</w:t>
            </w:r>
          </w:p>
        </w:tc>
        <w:tc>
          <w:tcPr>
            <w:tcW w:w="1000" w:type="pct"/>
            <w:vAlign w:val="center"/>
          </w:tcPr>
          <w:p>
            <w:pPr>
              <w:keepNext/>
              <w:jc w:val="center"/>
            </w:pPr>
            <w:r>
              <w:rPr>
                <w:rFonts w:hint="eastAsia"/>
                <w:b w:val="0"/>
                <w:sz w:val="21"/>
              </w:rPr>
              <w:t>17.2414%</w:t>
            </w:r>
          </w:p>
        </w:tc>
      </w:tr>
      <w:tr>
        <w:trPr>
          <w:cantSplit/>
        </w:trPr>
        <w:tc>
          <w:tcPr>
            <w:tcW w:w="750" w:type="pct"/>
            <w:tcBorders>
              <w:bottom w:val="single" w:sz="12" w:space="0" w:color="010000"/>
            </w:tcBorders>
            <w:vAlign w:val="center"/>
          </w:tcPr>
          <w:p>
            <w:pPr>
              <w:keepNext/>
              <w:jc w:val="center"/>
            </w:pPr>
            <w:r>
              <w:rPr>
                <w:rFonts w:hint="eastAsia"/>
                <w:b w:val="0"/>
                <w:sz w:val="21"/>
              </w:rPr>
              <w:t>2025-08-20</w:t>
            </w:r>
          </w:p>
        </w:tc>
        <w:tc>
          <w:tcPr>
            <w:tcW w:w="1000" w:type="pct"/>
            <w:tcBorders>
              <w:bottom w:val="single" w:sz="12" w:space="0" w:color="010000"/>
            </w:tcBorders>
            <w:vAlign w:val="center"/>
          </w:tcPr>
          <w:p>
            <w:pPr>
              <w:keepNext/>
              <w:jc w:val="center"/>
            </w:pPr>
            <w:r>
              <w:rPr>
                <w:rFonts w:hint="eastAsia"/>
                <w:b w:val="0"/>
                <w:sz w:val="21"/>
              </w:rPr>
              <w:t>414.2857→451.5714</w:t>
            </w:r>
          </w:p>
        </w:tc>
        <w:tc>
          <w:tcPr>
            <w:tcW w:w="2250" w:type="pct"/>
            <w:tcBorders>
              <w:bottom w:val="single" w:sz="12" w:space="0" w:color="010000"/>
            </w:tcBorders>
            <w:vAlign w:val="center"/>
          </w:tcPr>
          <w:p>
            <w:pPr>
              <w:keepNext/>
              <w:jc w:val="left"/>
            </w:pPr>
            <w:r>
              <w:rPr>
                <w:rFonts w:hint="eastAsia"/>
                <w:b w:val="0"/>
                <w:sz w:val="21"/>
              </w:rPr>
              <w:t>马鞍山尚颀智能创业投资基金</w:t>
            </w:r>
          </w:p>
        </w:tc>
        <w:tc>
          <w:tcPr>
            <w:tcW w:w="1000" w:type="pct"/>
            <w:tcBorders>
              <w:bottom w:val="single" w:sz="12" w:space="0" w:color="010000"/>
            </w:tcBorders>
            <w:vAlign w:val="center"/>
          </w:tcPr>
          <w:p>
            <w:pPr>
              <w:keepNext/>
              <w:jc w:val="center"/>
            </w:pPr>
            <w:r>
              <w:rPr>
                <w:rFonts w:hint="eastAsia"/>
                <w:b w:val="0"/>
                <w:sz w:val="21"/>
              </w:rPr>
              <w:t>8.2569%</w:t>
            </w:r>
          </w:p>
        </w:tc>
      </w:tr>
    </w:tbl>
    <w:p>
      <w:pPr>
        <w:pStyle w:val="a4"/>
        <w:jc w:val="center"/>
      </w:pPr>
      <w:r>
        <w:rPr>
          <w:rFonts w:hint="eastAsia"/>
          <w:b w:val="0"/>
          <w:sz w:val="11"/>
        </w:rPr>
        <w:t>资料来源：企查查企业信用报告专业版</w:t>
      </w:r>
    </w:p>
    <w:p>
      <w:pPr>
        <w:pStyle w:val="005"/>
      </w:pPr>
      <w:r>
        <w:rPr>
          <w:rFonts w:hint="eastAsia"/>
          <w:b w:val="0"/>
        </w:rPr>
        <w:t>三轮增资的新进股东认缴出资额与当期注册资本增加额完全一致，不存在增资与老股转让并行的情形，持股比例可直接用于估值测算。</w:t>
      </w:r>
    </w:p>
    <w:p>
      <w:pPr>
        <w:pStyle w:val="004"/>
      </w:pPr>
      <w:r>
        <w:rPr>
          <w:rFonts w:hint="eastAsia"/>
          <w:b/>
        </w:rPr>
        <w:t>3、三垣航天（同行业公司，在轨操作与碎片清理，Pre-A+轮）</w:t>
      </w:r>
    </w:p>
    <w:p>
      <w:pPr>
        <w:pStyle w:val="005"/>
      </w:pPr>
      <w:r>
        <w:rPr>
          <w:rFonts w:hint="eastAsia"/>
          <w:b w:val="0"/>
        </w:rPr>
        <w:t>三垣航天与无限宇航同属空间在轨服务赛道，切入点为在轨操作与碎片清理。经营主体为苏州三垣航天科技有限公司，成立于2022年6月，法定代表人赵磊，注册地江苏省苏州市太仓市。公司第一大股东为北京航天驭星科技股份有限公司，持股51.4539%，三垣航天为其控股子公司，与其余同业的独立创业公司属性不同。</w:t>
      </w:r>
    </w:p>
    <w:p>
      <w:pPr>
        <w:pStyle w:val="005"/>
      </w:pPr>
      <w:r>
        <w:rPr>
          <w:rFonts w:hint="eastAsia"/>
          <w:b w:val="0"/>
        </w:rPr>
        <w:t>产品方面，公司以空间操作技术研发、空间操作装备研制、空间在轨服务运营为核心业务，应用场景包括空间碎片清理、航天器在轨延寿与加注、在轨维修。首发技术验证星命名为星西垣0号，于2026年3月入轨，为国内首颗由商业公司研制的柔性机械臂在轨操作卫星，在轨完成程控模拟加注、遥操作模拟加注、视觉伺服模拟加注等操作验证。</w:t>
      </w:r>
    </w:p>
    <w:p>
      <w:pPr>
        <w:pStyle w:val="005"/>
      </w:pPr>
      <w:r>
        <w:rPr>
          <w:rFonts w:hint="eastAsia"/>
          <w:b w:val="0"/>
        </w:rPr>
        <w:t>经营状况方面，公司注册资本1871.506万元，2025年报参保人数19人，分支机构参保2人。</w:t>
      </w:r>
    </w:p>
    <w:p>
      <w:pPr>
        <w:pStyle w:val="a4"/>
        <w:keepNext/>
        <w:jc w:val="center"/>
      </w:pPr>
      <w:r>
        <w:rPr>
          <w:rFonts w:hint="eastAsia"/>
          <w:b/>
          <w:sz w:val="21"/>
        </w:rPr>
        <w:t>表5  三垣航天融资情况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600" w:type="pct"/>
            <w:tcBorders>
              <w:top w:val="single" w:sz="12" w:space="0" w:color="010000"/>
              <w:bottom w:val="single" w:sz="4" w:space="0" w:color="010000"/>
            </w:tcBorders>
            <w:vAlign w:val="center"/>
          </w:tcPr>
          <w:p>
            <w:pPr>
              <w:keepNext/>
              <w:jc w:val="center"/>
            </w:pPr>
            <w:r>
              <w:rPr>
                <w:rFonts w:hint="eastAsia"/>
                <w:b/>
                <w:sz w:val="21"/>
              </w:rPr>
              <w:t>轮次</w:t>
            </w:r>
          </w:p>
        </w:tc>
        <w:tc>
          <w:tcPr>
            <w:tcW w:w="80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融资金额</w:t>
            </w:r>
          </w:p>
        </w:tc>
        <w:tc>
          <w:tcPr>
            <w:tcW w:w="2800" w:type="pct"/>
            <w:tcBorders>
              <w:top w:val="single" w:sz="12" w:space="0" w:color="010000"/>
              <w:bottom w:val="single" w:sz="4" w:space="0" w:color="010000"/>
            </w:tcBorders>
            <w:vAlign w:val="center"/>
          </w:tcPr>
          <w:p>
            <w:pPr>
              <w:keepNext/>
              <w:jc w:val="center"/>
            </w:pPr>
            <w:r>
              <w:rPr>
                <w:rFonts w:hint="eastAsia"/>
                <w:b/>
                <w:sz w:val="21"/>
              </w:rPr>
              <w:t>投资方</w:t>
            </w:r>
          </w:p>
        </w:tc>
      </w:tr>
      <w:tr>
        <w:trPr>
          <w:cantSplit/>
        </w:trPr>
        <w:tc>
          <w:tcPr>
            <w:tcW w:w="600" w:type="pct"/>
            <w:vAlign w:val="center"/>
          </w:tcPr>
          <w:p>
            <w:pPr>
              <w:keepNext/>
              <w:jc w:val="center"/>
            </w:pPr>
            <w:r>
              <w:rPr>
                <w:rFonts w:hint="eastAsia"/>
                <w:b w:val="0"/>
                <w:sz w:val="21"/>
              </w:rPr>
              <w:t>天使轮</w:t>
            </w:r>
          </w:p>
        </w:tc>
        <w:tc>
          <w:tcPr>
            <w:tcW w:w="800" w:type="pct"/>
            <w:vAlign w:val="center"/>
          </w:tcPr>
          <w:p>
            <w:pPr>
              <w:keepNext/>
              <w:jc w:val="center"/>
            </w:pPr>
            <w:r>
              <w:rPr>
                <w:rFonts w:hint="eastAsia"/>
                <w:b w:val="0"/>
                <w:sz w:val="21"/>
              </w:rPr>
              <w:t>2022-11-01</w:t>
            </w:r>
          </w:p>
        </w:tc>
        <w:tc>
          <w:tcPr>
            <w:tcW w:w="800" w:type="pct"/>
            <w:vAlign w:val="center"/>
          </w:tcPr>
          <w:p>
            <w:pPr>
              <w:keepNext/>
              <w:jc w:val="center"/>
            </w:pPr>
            <w:r>
              <w:rPr>
                <w:rFonts w:hint="eastAsia"/>
                <w:b w:val="0"/>
                <w:sz w:val="21"/>
              </w:rPr>
              <w:t>数千万元</w:t>
            </w:r>
          </w:p>
        </w:tc>
        <w:tc>
          <w:tcPr>
            <w:tcW w:w="2800" w:type="pct"/>
            <w:vAlign w:val="center"/>
          </w:tcPr>
          <w:p>
            <w:pPr>
              <w:keepNext/>
              <w:jc w:val="left"/>
            </w:pPr>
            <w:r>
              <w:rPr>
                <w:rFonts w:hint="eastAsia"/>
                <w:b w:val="0"/>
                <w:sz w:val="21"/>
              </w:rPr>
              <w:t>北京元航硬科技创业投资基金、杭州银杏源</w:t>
            </w:r>
          </w:p>
        </w:tc>
      </w:tr>
      <w:tr>
        <w:trPr>
          <w:cantSplit/>
        </w:trPr>
        <w:tc>
          <w:tcPr>
            <w:tcW w:w="600" w:type="pct"/>
            <w:vAlign w:val="center"/>
          </w:tcPr>
          <w:p>
            <w:pPr>
              <w:keepNext/>
              <w:jc w:val="center"/>
            </w:pPr>
            <w:r>
              <w:rPr>
                <w:rFonts w:hint="eastAsia"/>
                <w:b w:val="0"/>
                <w:sz w:val="21"/>
              </w:rPr>
              <w:t>Pre-A轮</w:t>
            </w:r>
          </w:p>
        </w:tc>
        <w:tc>
          <w:tcPr>
            <w:tcW w:w="800" w:type="pct"/>
            <w:vAlign w:val="center"/>
          </w:tcPr>
          <w:p>
            <w:pPr>
              <w:keepNext/>
              <w:jc w:val="center"/>
            </w:pPr>
            <w:r>
              <w:rPr>
                <w:rFonts w:hint="eastAsia"/>
                <w:b w:val="0"/>
                <w:sz w:val="21"/>
              </w:rPr>
              <w:t>2024-03-04</w:t>
            </w:r>
          </w:p>
        </w:tc>
        <w:tc>
          <w:tcPr>
            <w:tcW w:w="800" w:type="pct"/>
            <w:vAlign w:val="center"/>
          </w:tcPr>
          <w:p>
            <w:pPr>
              <w:keepNext/>
              <w:jc w:val="center"/>
            </w:pPr>
            <w:r>
              <w:rPr>
                <w:rFonts w:hint="eastAsia"/>
                <w:b w:val="0"/>
                <w:sz w:val="21"/>
              </w:rPr>
              <w:t>数千万元</w:t>
            </w:r>
          </w:p>
        </w:tc>
        <w:tc>
          <w:tcPr>
            <w:tcW w:w="2800" w:type="pct"/>
            <w:vAlign w:val="center"/>
          </w:tcPr>
          <w:p>
            <w:pPr>
              <w:keepNext/>
              <w:jc w:val="left"/>
            </w:pPr>
            <w:r>
              <w:rPr>
                <w:rFonts w:hint="eastAsia"/>
                <w:b w:val="0"/>
                <w:sz w:val="21"/>
              </w:rPr>
              <w:t>太仓鑫六号（领投）、太仓智汇科创基金</w:t>
            </w:r>
          </w:p>
        </w:tc>
      </w:tr>
      <w:tr>
        <w:trPr>
          <w:cantSplit/>
        </w:trPr>
        <w:tc>
          <w:tcPr>
            <w:tcW w:w="600" w:type="pct"/>
            <w:tcBorders>
              <w:bottom w:val="single" w:sz="12" w:space="0" w:color="010000"/>
            </w:tcBorders>
            <w:vAlign w:val="center"/>
          </w:tcPr>
          <w:p>
            <w:pPr>
              <w:keepNext/>
              <w:jc w:val="center"/>
            </w:pPr>
            <w:r>
              <w:rPr>
                <w:rFonts w:hint="eastAsia"/>
                <w:b w:val="0"/>
                <w:sz w:val="21"/>
              </w:rPr>
              <w:t>Pre-A+轮</w:t>
            </w:r>
          </w:p>
        </w:tc>
        <w:tc>
          <w:tcPr>
            <w:tcW w:w="800" w:type="pct"/>
            <w:tcBorders>
              <w:bottom w:val="single" w:sz="12" w:space="0" w:color="010000"/>
            </w:tcBorders>
            <w:vAlign w:val="center"/>
          </w:tcPr>
          <w:p>
            <w:pPr>
              <w:keepNext/>
              <w:jc w:val="center"/>
            </w:pPr>
            <w:r>
              <w:rPr>
                <w:rFonts w:hint="eastAsia"/>
                <w:b w:val="0"/>
                <w:sz w:val="21"/>
              </w:rPr>
              <w:t>2024-09-10</w:t>
            </w:r>
          </w:p>
        </w:tc>
        <w:tc>
          <w:tcPr>
            <w:tcW w:w="800" w:type="pct"/>
            <w:tcBorders>
              <w:bottom w:val="single" w:sz="12" w:space="0" w:color="010000"/>
            </w:tcBorders>
            <w:vAlign w:val="center"/>
          </w:tcPr>
          <w:p>
            <w:pPr>
              <w:keepNext/>
              <w:jc w:val="center"/>
            </w:pPr>
            <w:r>
              <w:rPr>
                <w:rFonts w:hint="eastAsia"/>
                <w:b w:val="0"/>
                <w:sz w:val="21"/>
              </w:rPr>
              <w:t>数千万元</w:t>
            </w:r>
          </w:p>
        </w:tc>
        <w:tc>
          <w:tcPr>
            <w:tcW w:w="2800" w:type="pct"/>
            <w:tcBorders>
              <w:bottom w:val="single" w:sz="12" w:space="0" w:color="010000"/>
            </w:tcBorders>
            <w:vAlign w:val="center"/>
          </w:tcPr>
          <w:p>
            <w:pPr>
              <w:keepNext/>
              <w:jc w:val="left"/>
            </w:pPr>
            <w:r>
              <w:rPr>
                <w:rFonts w:hint="eastAsia"/>
                <w:b w:val="0"/>
                <w:sz w:val="21"/>
              </w:rPr>
              <w:t>深圳市高新投鼎胜创新私募基金、深圳市高新投创业投资</w:t>
            </w:r>
          </w:p>
        </w:tc>
      </w:tr>
    </w:tbl>
    <w:p>
      <w:pPr>
        <w:pStyle w:val="a4"/>
        <w:jc w:val="center"/>
      </w:pPr>
      <w:r>
        <w:rPr>
          <w:rFonts w:hint="eastAsia"/>
          <w:b w:val="0"/>
          <w:sz w:val="11"/>
        </w:rPr>
        <w:t>资料来源：企查查企业信用报告专业版</w:t>
      </w:r>
    </w:p>
    <w:p>
      <w:pPr>
        <w:pStyle w:val="005"/>
      </w:pPr>
      <w:r>
        <w:rPr>
          <w:rFonts w:hint="eastAsia"/>
          <w:b w:val="0"/>
        </w:rPr>
        <w:t>公司累计融资3次，当前轮次为Pre-A+轮，三轮金额均披露为数千万元。以Pre-A+轮新进股东持股3.3333%测算，若融资金额为3000万元，对应投后估值约9亿元；若为5000万元，对应投后估值约15亿元。该轮持股比例较低，测算结果对金额高度敏感，区间较宽。</w:t>
      </w:r>
    </w:p>
    <w:p>
      <w:pPr>
        <w:pStyle w:val="a4"/>
        <w:keepNext/>
        <w:jc w:val="center"/>
      </w:pPr>
      <w:r>
        <w:rPr>
          <w:rFonts w:hint="eastAsia"/>
          <w:b/>
          <w:sz w:val="21"/>
        </w:rPr>
        <w:t>表6  三垣航天注册资本变更情况</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变更日期</w:t>
            </w:r>
          </w:p>
        </w:tc>
        <w:tc>
          <w:tcPr>
            <w:tcW w:w="110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15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2023-02-08</w:t>
            </w:r>
          </w:p>
        </w:tc>
        <w:tc>
          <w:tcPr>
            <w:tcW w:w="1100" w:type="pct"/>
            <w:vAlign w:val="center"/>
          </w:tcPr>
          <w:p>
            <w:pPr>
              <w:keepNext/>
              <w:jc w:val="center"/>
            </w:pPr>
            <w:r>
              <w:rPr>
                <w:rFonts w:hint="eastAsia"/>
                <w:b w:val="0"/>
                <w:sz w:val="21"/>
              </w:rPr>
              <w:t>1600→1671.9577</w:t>
            </w:r>
          </w:p>
        </w:tc>
        <w:tc>
          <w:tcPr>
            <w:tcW w:w="2150" w:type="pct"/>
            <w:vAlign w:val="center"/>
          </w:tcPr>
          <w:p>
            <w:pPr>
              <w:keepNext/>
              <w:jc w:val="left"/>
            </w:pPr>
            <w:r>
              <w:rPr>
                <w:rFonts w:hint="eastAsia"/>
                <w:b w:val="0"/>
                <w:sz w:val="21"/>
              </w:rPr>
              <w:t>北京元航硬科技、李灵玲、杭州银杏源</w:t>
            </w:r>
          </w:p>
        </w:tc>
        <w:tc>
          <w:tcPr>
            <w:tcW w:w="1000" w:type="pct"/>
            <w:vAlign w:val="center"/>
          </w:tcPr>
          <w:p>
            <w:pPr>
              <w:keepNext/>
              <w:jc w:val="center"/>
            </w:pPr>
            <w:r>
              <w:rPr>
                <w:rFonts w:hint="eastAsia"/>
                <w:b w:val="0"/>
                <w:sz w:val="21"/>
              </w:rPr>
              <w:t>11.3924%</w:t>
            </w:r>
          </w:p>
        </w:tc>
      </w:tr>
      <w:tr>
        <w:trPr>
          <w:cantSplit/>
        </w:trPr>
        <w:tc>
          <w:tcPr>
            <w:tcW w:w="750" w:type="pct"/>
            <w:vAlign w:val="center"/>
          </w:tcPr>
          <w:p>
            <w:pPr>
              <w:keepNext/>
              <w:jc w:val="center"/>
            </w:pPr>
            <w:r>
              <w:rPr>
                <w:rFonts w:hint="eastAsia"/>
                <w:b w:val="0"/>
                <w:sz w:val="21"/>
              </w:rPr>
              <w:t>2024-06-21</w:t>
            </w:r>
          </w:p>
        </w:tc>
        <w:tc>
          <w:tcPr>
            <w:tcW w:w="1100" w:type="pct"/>
            <w:vAlign w:val="center"/>
          </w:tcPr>
          <w:p>
            <w:pPr>
              <w:keepNext/>
              <w:jc w:val="center"/>
            </w:pPr>
            <w:r>
              <w:rPr>
                <w:rFonts w:hint="eastAsia"/>
                <w:b w:val="0"/>
                <w:sz w:val="21"/>
              </w:rPr>
              <w:t>1671.9577→1809.1225</w:t>
            </w:r>
          </w:p>
        </w:tc>
        <w:tc>
          <w:tcPr>
            <w:tcW w:w="2150" w:type="pct"/>
            <w:vAlign w:val="center"/>
          </w:tcPr>
          <w:p>
            <w:pPr>
              <w:keepNext/>
              <w:jc w:val="left"/>
            </w:pPr>
            <w:r>
              <w:rPr>
                <w:rFonts w:hint="eastAsia"/>
                <w:b w:val="0"/>
                <w:sz w:val="21"/>
              </w:rPr>
              <w:t>太仓鑫六号、太仓智汇科创基金</w:t>
            </w:r>
          </w:p>
        </w:tc>
        <w:tc>
          <w:tcPr>
            <w:tcW w:w="1000" w:type="pct"/>
            <w:vAlign w:val="center"/>
          </w:tcPr>
          <w:p>
            <w:pPr>
              <w:keepNext/>
              <w:jc w:val="center"/>
            </w:pPr>
            <w:r>
              <w:rPr>
                <w:rFonts w:hint="eastAsia"/>
                <w:b w:val="0"/>
                <w:sz w:val="21"/>
              </w:rPr>
              <w:t>8.5060%</w:t>
            </w:r>
          </w:p>
        </w:tc>
      </w:tr>
      <w:tr>
        <w:trPr>
          <w:cantSplit/>
        </w:trPr>
        <w:tc>
          <w:tcPr>
            <w:tcW w:w="750" w:type="pct"/>
            <w:tcBorders>
              <w:bottom w:val="single" w:sz="12" w:space="0" w:color="010000"/>
            </w:tcBorders>
            <w:vAlign w:val="center"/>
          </w:tcPr>
          <w:p>
            <w:pPr>
              <w:keepNext/>
              <w:jc w:val="center"/>
            </w:pPr>
            <w:r>
              <w:rPr>
                <w:rFonts w:hint="eastAsia"/>
                <w:b w:val="0"/>
                <w:sz w:val="21"/>
              </w:rPr>
              <w:t>2024-10-14</w:t>
            </w:r>
          </w:p>
        </w:tc>
        <w:tc>
          <w:tcPr>
            <w:tcW w:w="1100" w:type="pct"/>
            <w:tcBorders>
              <w:bottom w:val="single" w:sz="12" w:space="0" w:color="010000"/>
            </w:tcBorders>
            <w:vAlign w:val="center"/>
          </w:tcPr>
          <w:p>
            <w:pPr>
              <w:keepNext/>
              <w:jc w:val="center"/>
            </w:pPr>
            <w:r>
              <w:rPr>
                <w:rFonts w:hint="eastAsia"/>
                <w:b w:val="0"/>
                <w:sz w:val="21"/>
              </w:rPr>
              <w:t>1809.1225→1871.506</w:t>
            </w:r>
          </w:p>
        </w:tc>
        <w:tc>
          <w:tcPr>
            <w:tcW w:w="2150" w:type="pct"/>
            <w:tcBorders>
              <w:bottom w:val="single" w:sz="12" w:space="0" w:color="010000"/>
            </w:tcBorders>
            <w:vAlign w:val="center"/>
          </w:tcPr>
          <w:p>
            <w:pPr>
              <w:keepNext/>
              <w:jc w:val="left"/>
            </w:pPr>
            <w:r>
              <w:rPr>
                <w:rFonts w:hint="eastAsia"/>
                <w:b w:val="0"/>
                <w:sz w:val="21"/>
              </w:rPr>
              <w:t>深圳市高新投旗下两只基金</w:t>
            </w:r>
          </w:p>
        </w:tc>
        <w:tc>
          <w:tcPr>
            <w:tcW w:w="1000" w:type="pct"/>
            <w:tcBorders>
              <w:bottom w:val="single" w:sz="12" w:space="0" w:color="010000"/>
            </w:tcBorders>
            <w:vAlign w:val="center"/>
          </w:tcPr>
          <w:p>
            <w:pPr>
              <w:keepNext/>
              <w:jc w:val="center"/>
            </w:pPr>
            <w:r>
              <w:rPr>
                <w:rFonts w:hint="eastAsia"/>
                <w:b w:val="0"/>
                <w:sz w:val="21"/>
              </w:rPr>
              <w:t>3.3333%</w:t>
            </w:r>
          </w:p>
        </w:tc>
      </w:tr>
    </w:tbl>
    <w:p>
      <w:pPr>
        <w:pStyle w:val="a4"/>
        <w:jc w:val="center"/>
      </w:pPr>
      <w:r>
        <w:rPr>
          <w:rFonts w:hint="eastAsia"/>
          <w:b w:val="0"/>
          <w:sz w:val="11"/>
        </w:rPr>
        <w:t>资料来源：企查查企业信用报告专业版</w:t>
      </w:r>
    </w:p>
    <w:p>
      <w:pPr>
        <w:pStyle w:val="005"/>
      </w:pPr>
      <w:r>
        <w:rPr>
          <w:rFonts w:hint="eastAsia"/>
          <w:b w:val="0"/>
        </w:rPr>
        <w:t>天使轮与Pre-A轮的新进股东认缴出资额高于当期注册资本增加额，两轮存在增资与老股受让并行的情形，表中持股比例取自工商登记的持股变动记录，与注册资本增加额不构成直接对应。Pre-A+轮新进股东认缴出资额与当期注册资本增加额一致。</w:t>
      </w:r>
    </w:p>
    <w:p>
      <w:pPr>
        <w:pStyle w:val="004"/>
      </w:pPr>
      <w:r>
        <w:rPr>
          <w:rFonts w:hint="eastAsia"/>
          <w:b/>
        </w:rPr>
        <w:t>4、遨天科技（同行业公司，空间动力与在轨服务，B+轮）</w:t>
      </w:r>
    </w:p>
    <w:p>
      <w:pPr>
        <w:pStyle w:val="005"/>
      </w:pPr>
      <w:r>
        <w:rPr>
          <w:rFonts w:hint="eastAsia"/>
          <w:b w:val="0"/>
        </w:rPr>
        <w:t>遨天科技位于无限宇航的上游相邻环节。公司以卫星动力系统起家，业务规划延伸至空间在轨服务，与无限宇航的整机路线不完全重合。经营主体为遨天科技（北京）有限公司，成立于2018年6月，法定代表人王红霞，注册地北京市海淀区。</w:t>
      </w:r>
    </w:p>
    <w:p>
      <w:pPr>
        <w:pStyle w:val="005"/>
      </w:pPr>
      <w:r>
        <w:rPr>
          <w:rFonts w:hint="eastAsia"/>
          <w:b w:val="0"/>
        </w:rPr>
        <w:t>产品方面，公司核心产品和服务涵盖卫星动力系统的研发生产销售、空间碎片监测及空间轨道服务。公开招投标记录显示，公司于2025年11月中标中国星网网络系统研究院有限公司、中国星网易联供应链有限公司的低轨星座卫星电推进仿真系统项目，2024年10月中标无锡市梁天溪引航天工业有限公司LX630星座系统项目，2023年9月中标武汉大学卫星电推进设备项目，中标金额14.52万元。</w:t>
      </w:r>
    </w:p>
    <w:p>
      <w:pPr>
        <w:pStyle w:val="005"/>
      </w:pPr>
      <w:r>
        <w:rPr>
          <w:rFonts w:hint="eastAsia"/>
          <w:b w:val="0"/>
        </w:rPr>
        <w:t>经营状况方面，公司注册资本4251.0383万元并已全额实缴，2025年报参保人数128人，企查查标注企业规模为中型，是本材料所列国内同业中人员规模最大的一家。公司共有29名股东。</w:t>
      </w:r>
    </w:p>
    <w:p>
      <w:pPr>
        <w:pStyle w:val="a4"/>
        <w:keepNext/>
        <w:jc w:val="center"/>
      </w:pPr>
      <w:r>
        <w:rPr>
          <w:rFonts w:hint="eastAsia"/>
          <w:b/>
          <w:sz w:val="21"/>
        </w:rPr>
        <w:t>表7  遨天科技融资情况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500" w:type="pct"/>
            <w:tcBorders>
              <w:top w:val="single" w:sz="12" w:space="0" w:color="010000"/>
              <w:bottom w:val="single" w:sz="4" w:space="0" w:color="010000"/>
            </w:tcBorders>
            <w:vAlign w:val="center"/>
          </w:tcPr>
          <w:p>
            <w:pPr>
              <w:keepNext/>
              <w:jc w:val="center"/>
            </w:pPr>
            <w:r>
              <w:rPr>
                <w:rFonts w:hint="eastAsia"/>
                <w:b/>
                <w:sz w:val="21"/>
              </w:rPr>
              <w:t>轮次</w:t>
            </w:r>
          </w:p>
        </w:tc>
        <w:tc>
          <w:tcPr>
            <w:tcW w:w="1200" w:type="pct"/>
            <w:tcBorders>
              <w:top w:val="single" w:sz="12" w:space="0" w:color="010000"/>
              <w:bottom w:val="single" w:sz="4" w:space="0" w:color="010000"/>
            </w:tcBorders>
            <w:vAlign w:val="center"/>
          </w:tcPr>
          <w:p>
            <w:pPr>
              <w:keepNext/>
              <w:jc w:val="center"/>
            </w:pPr>
            <w:r>
              <w:rPr>
                <w:rFonts w:hint="eastAsia"/>
                <w:b/>
                <w:sz w:val="21"/>
              </w:rPr>
              <w:t>时间</w:t>
            </w:r>
          </w:p>
        </w:tc>
        <w:tc>
          <w:tcPr>
            <w:tcW w:w="700" w:type="pct"/>
            <w:tcBorders>
              <w:top w:val="single" w:sz="12" w:space="0" w:color="010000"/>
              <w:bottom w:val="single" w:sz="4" w:space="0" w:color="010000"/>
            </w:tcBorders>
            <w:vAlign w:val="center"/>
          </w:tcPr>
          <w:p>
            <w:pPr>
              <w:keepNext/>
              <w:jc w:val="center"/>
            </w:pPr>
            <w:r>
              <w:rPr>
                <w:rFonts w:hint="eastAsia"/>
                <w:b/>
                <w:sz w:val="21"/>
              </w:rPr>
              <w:t>融资金额</w:t>
            </w:r>
          </w:p>
        </w:tc>
        <w:tc>
          <w:tcPr>
            <w:tcW w:w="2600" w:type="pct"/>
            <w:tcBorders>
              <w:top w:val="single" w:sz="12" w:space="0" w:color="010000"/>
              <w:bottom w:val="single" w:sz="4" w:space="0" w:color="010000"/>
            </w:tcBorders>
            <w:vAlign w:val="center"/>
          </w:tcPr>
          <w:p>
            <w:pPr>
              <w:keepNext/>
              <w:jc w:val="center"/>
            </w:pPr>
            <w:r>
              <w:rPr>
                <w:rFonts w:hint="eastAsia"/>
                <w:b/>
                <w:sz w:val="21"/>
              </w:rPr>
              <w:t>投资方</w:t>
            </w:r>
          </w:p>
        </w:tc>
      </w:tr>
      <w:tr>
        <w:trPr>
          <w:cantSplit/>
        </w:trPr>
        <w:tc>
          <w:tcPr>
            <w:tcW w:w="500" w:type="pct"/>
            <w:vAlign w:val="center"/>
          </w:tcPr>
          <w:p>
            <w:pPr>
              <w:keepNext/>
              <w:jc w:val="center"/>
            </w:pPr>
            <w:r>
              <w:rPr>
                <w:rFonts w:hint="eastAsia"/>
                <w:b w:val="0"/>
                <w:sz w:val="21"/>
              </w:rPr>
              <w:t>A轮</w:t>
            </w:r>
          </w:p>
        </w:tc>
        <w:tc>
          <w:tcPr>
            <w:tcW w:w="1200" w:type="pct"/>
            <w:vAlign w:val="center"/>
          </w:tcPr>
          <w:p>
            <w:pPr>
              <w:keepNext/>
              <w:jc w:val="center"/>
            </w:pPr>
            <w:r>
              <w:rPr>
                <w:rFonts w:hint="eastAsia"/>
                <w:b w:val="0"/>
                <w:sz w:val="21"/>
              </w:rPr>
              <w:t>2019-09-05至2020-12-30</w:t>
            </w:r>
          </w:p>
        </w:tc>
        <w:tc>
          <w:tcPr>
            <w:tcW w:w="700" w:type="pct"/>
            <w:vAlign w:val="center"/>
          </w:tcPr>
          <w:p>
            <w:pPr>
              <w:keepNext/>
              <w:jc w:val="center"/>
            </w:pPr>
            <w:r>
              <w:rPr>
                <w:rFonts w:hint="eastAsia"/>
                <w:b w:val="0"/>
                <w:sz w:val="21"/>
              </w:rPr>
              <w:t>未披露</w:t>
            </w:r>
          </w:p>
        </w:tc>
        <w:tc>
          <w:tcPr>
            <w:tcW w:w="2600" w:type="pct"/>
            <w:vAlign w:val="center"/>
          </w:tcPr>
          <w:p>
            <w:pPr>
              <w:keepNext/>
              <w:jc w:val="left"/>
            </w:pPr>
            <w:r>
              <w:rPr>
                <w:rFonts w:hint="eastAsia"/>
                <w:b w:val="0"/>
                <w:sz w:val="21"/>
              </w:rPr>
              <w:t>中关村发展启航基金、经纬创投、巢生资本等</w:t>
            </w:r>
          </w:p>
        </w:tc>
      </w:tr>
      <w:tr>
        <w:trPr>
          <w:cantSplit/>
        </w:trPr>
        <w:tc>
          <w:tcPr>
            <w:tcW w:w="500" w:type="pct"/>
            <w:vAlign w:val="center"/>
          </w:tcPr>
          <w:p>
            <w:pPr>
              <w:keepNext/>
              <w:jc w:val="center"/>
            </w:pPr>
            <w:r>
              <w:rPr>
                <w:rFonts w:hint="eastAsia"/>
                <w:b w:val="0"/>
                <w:sz w:val="21"/>
              </w:rPr>
              <w:t>A+轮</w:t>
            </w:r>
          </w:p>
        </w:tc>
        <w:tc>
          <w:tcPr>
            <w:tcW w:w="1200" w:type="pct"/>
            <w:vAlign w:val="center"/>
          </w:tcPr>
          <w:p>
            <w:pPr>
              <w:keepNext/>
              <w:jc w:val="center"/>
            </w:pPr>
            <w:r>
              <w:rPr>
                <w:rFonts w:hint="eastAsia"/>
                <w:b w:val="0"/>
                <w:sz w:val="21"/>
              </w:rPr>
              <w:t>2021-12-01至2021-12-24</w:t>
            </w:r>
          </w:p>
        </w:tc>
        <w:tc>
          <w:tcPr>
            <w:tcW w:w="700" w:type="pct"/>
            <w:vAlign w:val="center"/>
          </w:tcPr>
          <w:p>
            <w:pPr>
              <w:keepNext/>
              <w:jc w:val="center"/>
            </w:pPr>
            <w:r>
              <w:rPr>
                <w:rFonts w:hint="eastAsia"/>
                <w:b w:val="0"/>
                <w:sz w:val="21"/>
              </w:rPr>
              <w:t>未披露</w:t>
            </w:r>
          </w:p>
        </w:tc>
        <w:tc>
          <w:tcPr>
            <w:tcW w:w="2600" w:type="pct"/>
            <w:vAlign w:val="center"/>
          </w:tcPr>
          <w:p>
            <w:pPr>
              <w:keepNext/>
              <w:jc w:val="left"/>
            </w:pPr>
            <w:r>
              <w:rPr>
                <w:rFonts w:hint="eastAsia"/>
                <w:b w:val="0"/>
                <w:sz w:val="21"/>
              </w:rPr>
              <w:t>中关村资本、元禾原点</w:t>
            </w:r>
          </w:p>
        </w:tc>
      </w:tr>
      <w:tr>
        <w:trPr>
          <w:cantSplit/>
        </w:trPr>
        <w:tc>
          <w:tcPr>
            <w:tcW w:w="500" w:type="pct"/>
            <w:vAlign w:val="center"/>
          </w:tcPr>
          <w:p>
            <w:pPr>
              <w:keepNext/>
              <w:jc w:val="center"/>
            </w:pPr>
            <w:r>
              <w:rPr>
                <w:rFonts w:hint="eastAsia"/>
                <w:b w:val="0"/>
                <w:sz w:val="21"/>
              </w:rPr>
              <w:t>B轮</w:t>
            </w:r>
          </w:p>
        </w:tc>
        <w:tc>
          <w:tcPr>
            <w:tcW w:w="1200" w:type="pct"/>
            <w:vAlign w:val="center"/>
          </w:tcPr>
          <w:p>
            <w:pPr>
              <w:keepNext/>
              <w:jc w:val="center"/>
            </w:pPr>
            <w:r>
              <w:rPr>
                <w:rFonts w:hint="eastAsia"/>
                <w:b w:val="0"/>
                <w:sz w:val="21"/>
              </w:rPr>
              <w:t>2023-06-07至2024-02-04</w:t>
            </w:r>
          </w:p>
        </w:tc>
        <w:tc>
          <w:tcPr>
            <w:tcW w:w="700" w:type="pct"/>
            <w:vAlign w:val="center"/>
          </w:tcPr>
          <w:p>
            <w:pPr>
              <w:keepNext/>
              <w:jc w:val="center"/>
            </w:pPr>
            <w:r>
              <w:rPr>
                <w:rFonts w:hint="eastAsia"/>
                <w:b w:val="0"/>
                <w:sz w:val="21"/>
              </w:rPr>
              <w:t>未披露</w:t>
            </w:r>
          </w:p>
        </w:tc>
        <w:tc>
          <w:tcPr>
            <w:tcW w:w="2600" w:type="pct"/>
            <w:vAlign w:val="center"/>
          </w:tcPr>
          <w:p>
            <w:pPr>
              <w:keepNext/>
              <w:jc w:val="left"/>
            </w:pPr>
            <w:r>
              <w:rPr>
                <w:rFonts w:hint="eastAsia"/>
                <w:b w:val="0"/>
                <w:sz w:val="21"/>
              </w:rPr>
              <w:t>明恒产投、深圳向日葵投资、新经济创投、成都高投、国开科创等</w:t>
            </w:r>
          </w:p>
        </w:tc>
      </w:tr>
      <w:tr>
        <w:trPr>
          <w:cantSplit/>
        </w:trPr>
        <w:tc>
          <w:tcPr>
            <w:tcW w:w="500" w:type="pct"/>
            <w:tcBorders>
              <w:bottom w:val="single" w:sz="12" w:space="0" w:color="010000"/>
            </w:tcBorders>
            <w:vAlign w:val="center"/>
          </w:tcPr>
          <w:p>
            <w:pPr>
              <w:keepNext/>
              <w:jc w:val="center"/>
            </w:pPr>
            <w:r>
              <w:rPr>
                <w:rFonts w:hint="eastAsia"/>
                <w:b w:val="0"/>
                <w:sz w:val="21"/>
              </w:rPr>
              <w:t>B+轮</w:t>
            </w:r>
          </w:p>
        </w:tc>
        <w:tc>
          <w:tcPr>
            <w:tcW w:w="1200" w:type="pct"/>
            <w:tcBorders>
              <w:bottom w:val="single" w:sz="12" w:space="0" w:color="010000"/>
            </w:tcBorders>
            <w:vAlign w:val="center"/>
          </w:tcPr>
          <w:p>
            <w:pPr>
              <w:keepNext/>
              <w:jc w:val="center"/>
            </w:pPr>
            <w:r>
              <w:rPr>
                <w:rFonts w:hint="eastAsia"/>
                <w:b w:val="0"/>
                <w:sz w:val="21"/>
              </w:rPr>
              <w:t>2025-04-11至2025-11-21</w:t>
            </w:r>
          </w:p>
        </w:tc>
        <w:tc>
          <w:tcPr>
            <w:tcW w:w="700" w:type="pct"/>
            <w:tcBorders>
              <w:bottom w:val="single" w:sz="12" w:space="0" w:color="010000"/>
            </w:tcBorders>
            <w:vAlign w:val="center"/>
          </w:tcPr>
          <w:p>
            <w:pPr>
              <w:keepNext/>
              <w:jc w:val="center"/>
            </w:pPr>
            <w:r>
              <w:rPr>
                <w:rFonts w:hint="eastAsia"/>
                <w:b w:val="0"/>
                <w:sz w:val="21"/>
              </w:rPr>
              <w:t>未披露</w:t>
            </w:r>
          </w:p>
        </w:tc>
        <w:tc>
          <w:tcPr>
            <w:tcW w:w="2600" w:type="pct"/>
            <w:tcBorders>
              <w:bottom w:val="single" w:sz="12" w:space="0" w:color="010000"/>
            </w:tcBorders>
            <w:vAlign w:val="center"/>
          </w:tcPr>
          <w:p>
            <w:pPr>
              <w:keepNext/>
              <w:jc w:val="left"/>
            </w:pPr>
            <w:r>
              <w:rPr>
                <w:rFonts w:hint="eastAsia"/>
                <w:b w:val="0"/>
                <w:sz w:val="21"/>
              </w:rPr>
              <w:t>英房资本、科晟基金、顺禧基金、北科中发展启航基金、复琢投资等</w:t>
            </w:r>
          </w:p>
        </w:tc>
      </w:tr>
    </w:tbl>
    <w:p>
      <w:pPr>
        <w:pStyle w:val="a4"/>
        <w:jc w:val="center"/>
      </w:pPr>
      <w:r>
        <w:rPr>
          <w:rFonts w:hint="eastAsia"/>
          <w:b w:val="0"/>
          <w:sz w:val="11"/>
        </w:rPr>
        <w:t>资料来源：企查查企业信用报告专业版</w:t>
      </w:r>
    </w:p>
    <w:p>
      <w:pPr>
        <w:pStyle w:val="005"/>
      </w:pPr>
      <w:r>
        <w:rPr>
          <w:rFonts w:hint="eastAsia"/>
          <w:b w:val="0"/>
        </w:rPr>
        <w:t>公司累计融资11轮，当前轮次为B+轮，为本材料所列国内同业中轮次最靠后的一家。11轮融资金额全部未披露，无法测算估值。</w:t>
      </w:r>
    </w:p>
    <w:p>
      <w:pPr>
        <w:pStyle w:val="a4"/>
        <w:keepNext/>
        <w:jc w:val="center"/>
      </w:pPr>
      <w:r>
        <w:rPr>
          <w:rFonts w:hint="eastAsia"/>
          <w:b/>
          <w:sz w:val="21"/>
        </w:rPr>
        <w:t>表8  遨天科技注册资本变更情况</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变更日期</w:t>
            </w:r>
          </w:p>
        </w:tc>
        <w:tc>
          <w:tcPr>
            <w:tcW w:w="110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15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2023-10-27</w:t>
            </w:r>
          </w:p>
        </w:tc>
        <w:tc>
          <w:tcPr>
            <w:tcW w:w="1100" w:type="pct"/>
            <w:vAlign w:val="center"/>
          </w:tcPr>
          <w:p>
            <w:pPr>
              <w:keepNext/>
              <w:jc w:val="center"/>
            </w:pPr>
            <w:r>
              <w:rPr>
                <w:rFonts w:hint="eastAsia"/>
                <w:b w:val="0"/>
                <w:sz w:val="21"/>
              </w:rPr>
              <w:t>185.6651→3567.5675</w:t>
            </w:r>
          </w:p>
        </w:tc>
        <w:tc>
          <w:tcPr>
            <w:tcW w:w="2150" w:type="pct"/>
            <w:vAlign w:val="center"/>
          </w:tcPr>
          <w:p>
            <w:pPr>
              <w:keepNext/>
              <w:jc w:val="left"/>
            </w:pPr>
            <w:r>
              <w:rPr>
                <w:rFonts w:hint="eastAsia"/>
                <w:b w:val="0"/>
                <w:sz w:val="21"/>
              </w:rPr>
              <w:t>资本公积转增，非按市价增资</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2024-02-04</w:t>
            </w:r>
          </w:p>
        </w:tc>
        <w:tc>
          <w:tcPr>
            <w:tcW w:w="1100" w:type="pct"/>
            <w:vAlign w:val="center"/>
          </w:tcPr>
          <w:p>
            <w:pPr>
              <w:keepNext/>
              <w:jc w:val="center"/>
            </w:pPr>
            <w:r>
              <w:rPr>
                <w:rFonts w:hint="eastAsia"/>
                <w:b w:val="0"/>
                <w:sz w:val="21"/>
              </w:rPr>
              <w:t>3567.5675→3755.3342</w:t>
            </w:r>
          </w:p>
        </w:tc>
        <w:tc>
          <w:tcPr>
            <w:tcW w:w="2150" w:type="pct"/>
            <w:vAlign w:val="center"/>
          </w:tcPr>
          <w:p>
            <w:pPr>
              <w:keepNext/>
              <w:jc w:val="left"/>
            </w:pPr>
            <w:r>
              <w:rPr>
                <w:rFonts w:hint="eastAsia"/>
                <w:b w:val="0"/>
                <w:sz w:val="21"/>
              </w:rPr>
              <w:t>国开科技创业投资</w:t>
            </w:r>
          </w:p>
        </w:tc>
        <w:tc>
          <w:tcPr>
            <w:tcW w:w="1000" w:type="pct"/>
            <w:vAlign w:val="center"/>
          </w:tcPr>
          <w:p>
            <w:pPr>
              <w:keepNext/>
              <w:jc w:val="center"/>
            </w:pPr>
            <w:r>
              <w:rPr>
                <w:rFonts w:hint="eastAsia"/>
                <w:b w:val="0"/>
                <w:sz w:val="21"/>
              </w:rPr>
              <w:t>5.0000%</w:t>
            </w:r>
          </w:p>
        </w:tc>
      </w:tr>
      <w:tr>
        <w:trPr>
          <w:cantSplit/>
        </w:trPr>
        <w:tc>
          <w:tcPr>
            <w:tcW w:w="750" w:type="pct"/>
            <w:vAlign w:val="center"/>
          </w:tcPr>
          <w:p>
            <w:pPr>
              <w:keepNext/>
              <w:jc w:val="center"/>
            </w:pPr>
            <w:r>
              <w:rPr>
                <w:rFonts w:hint="eastAsia"/>
                <w:b w:val="0"/>
                <w:sz w:val="21"/>
              </w:rPr>
              <w:t>2025-04-11</w:t>
            </w:r>
          </w:p>
        </w:tc>
        <w:tc>
          <w:tcPr>
            <w:tcW w:w="1100" w:type="pct"/>
            <w:vAlign w:val="center"/>
          </w:tcPr>
          <w:p>
            <w:pPr>
              <w:keepNext/>
              <w:jc w:val="center"/>
            </w:pPr>
            <w:r>
              <w:rPr>
                <w:rFonts w:hint="eastAsia"/>
                <w:b w:val="0"/>
                <w:sz w:val="21"/>
              </w:rPr>
              <w:t>3755.3342→4125.8605</w:t>
            </w:r>
          </w:p>
        </w:tc>
        <w:tc>
          <w:tcPr>
            <w:tcW w:w="2150" w:type="pct"/>
            <w:vAlign w:val="center"/>
          </w:tcPr>
          <w:p>
            <w:pPr>
              <w:keepNext/>
              <w:jc w:val="left"/>
            </w:pPr>
            <w:r>
              <w:rPr>
                <w:rFonts w:hint="eastAsia"/>
                <w:b w:val="0"/>
                <w:sz w:val="21"/>
              </w:rPr>
              <w:t>无锡梁溪空天、天津远翼景昊、嘉兴晨金</w:t>
            </w:r>
          </w:p>
        </w:tc>
        <w:tc>
          <w:tcPr>
            <w:tcW w:w="1000" w:type="pct"/>
            <w:vAlign w:val="center"/>
          </w:tcPr>
          <w:p>
            <w:pPr>
              <w:keepNext/>
              <w:jc w:val="center"/>
            </w:pPr>
            <w:r>
              <w:rPr>
                <w:rFonts w:hint="eastAsia"/>
                <w:b w:val="0"/>
                <w:sz w:val="21"/>
              </w:rPr>
              <w:t>8.9806%</w:t>
            </w:r>
          </w:p>
        </w:tc>
      </w:tr>
      <w:tr>
        <w:trPr>
          <w:cantSplit/>
        </w:trPr>
        <w:tc>
          <w:tcPr>
            <w:tcW w:w="750" w:type="pct"/>
            <w:vAlign w:val="center"/>
          </w:tcPr>
          <w:p>
            <w:pPr>
              <w:keepNext/>
              <w:jc w:val="center"/>
            </w:pPr>
            <w:r>
              <w:rPr>
                <w:rFonts w:hint="eastAsia"/>
                <w:b w:val="0"/>
                <w:sz w:val="21"/>
              </w:rPr>
              <w:t>2025-06-11</w:t>
            </w:r>
          </w:p>
        </w:tc>
        <w:tc>
          <w:tcPr>
            <w:tcW w:w="1100" w:type="pct"/>
            <w:vAlign w:val="center"/>
          </w:tcPr>
          <w:p>
            <w:pPr>
              <w:keepNext/>
              <w:jc w:val="center"/>
            </w:pPr>
            <w:r>
              <w:rPr>
                <w:rFonts w:hint="eastAsia"/>
                <w:b w:val="0"/>
                <w:sz w:val="21"/>
              </w:rPr>
              <w:t>4125.8605→4251.0383</w:t>
            </w:r>
          </w:p>
        </w:tc>
        <w:tc>
          <w:tcPr>
            <w:tcW w:w="2150" w:type="pct"/>
            <w:vAlign w:val="center"/>
          </w:tcPr>
          <w:p>
            <w:pPr>
              <w:keepNext/>
              <w:jc w:val="left"/>
            </w:pPr>
            <w:r>
              <w:rPr>
                <w:rFonts w:hint="eastAsia"/>
                <w:b w:val="0"/>
                <w:sz w:val="21"/>
              </w:rPr>
              <w:t>未记录</w:t>
            </w:r>
          </w:p>
        </w:tc>
        <w:tc>
          <w:tcPr>
            <w:tcW w:w="1000" w:type="pct"/>
            <w:vAlign w:val="center"/>
          </w:tcPr>
          <w:p>
            <w:pPr>
              <w:keepNext/>
              <w:jc w:val="center"/>
            </w:pPr>
            <w:r>
              <w:rPr>
                <w:rFonts w:hint="eastAsia"/>
                <w:b w:val="0"/>
                <w:sz w:val="21"/>
              </w:rPr>
              <w:t>2.9446%</w:t>
            </w:r>
          </w:p>
        </w:tc>
      </w:tr>
      <w:tr>
        <w:trPr>
          <w:cantSplit/>
        </w:trPr>
        <w:tc>
          <w:tcPr>
            <w:tcW w:w="750" w:type="pct"/>
            <w:tcBorders>
              <w:bottom w:val="single" w:sz="12" w:space="0" w:color="010000"/>
            </w:tcBorders>
            <w:vAlign w:val="center"/>
          </w:tcPr>
          <w:p>
            <w:pPr>
              <w:keepNext/>
              <w:jc w:val="center"/>
            </w:pPr>
            <w:r>
              <w:rPr>
                <w:rFonts w:hint="eastAsia"/>
                <w:b w:val="0"/>
                <w:sz w:val="21"/>
              </w:rPr>
              <w:t>2025-11-21</w:t>
            </w:r>
          </w:p>
        </w:tc>
        <w:tc>
          <w:tcPr>
            <w:tcW w:w="1100" w:type="pct"/>
            <w:tcBorders>
              <w:bottom w:val="single" w:sz="12" w:space="0" w:color="010000"/>
            </w:tcBorders>
            <w:vAlign w:val="center"/>
          </w:tcPr>
          <w:p>
            <w:pPr>
              <w:keepNext/>
              <w:jc w:val="center"/>
            </w:pPr>
            <w:r>
              <w:rPr>
                <w:rFonts w:hint="eastAsia"/>
                <w:b w:val="0"/>
                <w:sz w:val="21"/>
              </w:rPr>
              <w:t>注册资本未变动</w:t>
            </w:r>
          </w:p>
        </w:tc>
        <w:tc>
          <w:tcPr>
            <w:tcW w:w="2150" w:type="pct"/>
            <w:tcBorders>
              <w:bottom w:val="single" w:sz="12" w:space="0" w:color="010000"/>
            </w:tcBorders>
            <w:vAlign w:val="center"/>
          </w:tcPr>
          <w:p>
            <w:pPr>
              <w:keepNext/>
              <w:jc w:val="left"/>
            </w:pPr>
            <w:r>
              <w:rPr>
                <w:rFonts w:hint="eastAsia"/>
                <w:b w:val="0"/>
                <w:sz w:val="21"/>
              </w:rPr>
              <w:t>北科中发展启航基金、复琢投资（受让老股）</w:t>
            </w:r>
          </w:p>
        </w:tc>
        <w:tc>
          <w:tcPr>
            <w:tcW w:w="1000" w:type="pct"/>
            <w:tcBorders>
              <w:bottom w:val="single" w:sz="12" w:space="0" w:color="010000"/>
            </w:tcBorders>
            <w:vAlign w:val="center"/>
          </w:tcPr>
          <w:p>
            <w:pPr>
              <w:keepNext/>
              <w:jc w:val="center"/>
            </w:pPr>
            <w:r>
              <w:rPr>
                <w:rFonts w:hint="eastAsia"/>
                <w:b w:val="0"/>
                <w:sz w:val="21"/>
              </w:rPr>
              <w:t>—</w:t>
            </w:r>
          </w:p>
        </w:tc>
      </w:tr>
    </w:tbl>
    <w:p>
      <w:pPr>
        <w:pStyle w:val="a4"/>
        <w:jc w:val="center"/>
      </w:pPr>
      <w:r>
        <w:rPr>
          <w:rFonts w:hint="eastAsia"/>
          <w:b w:val="0"/>
          <w:sz w:val="11"/>
        </w:rPr>
        <w:t>资料来源：企查查企业信用报告专业版</w:t>
      </w:r>
    </w:p>
    <w:p>
      <w:pPr>
        <w:pStyle w:val="005"/>
      </w:pPr>
      <w:r>
        <w:rPr>
          <w:rFonts w:hint="eastAsia"/>
          <w:b w:val="0"/>
        </w:rPr>
        <w:t>2023年10月27日注册资本由185.6651万元增至3567.5675万元，增幅约18倍，属资本公积转增。该时点前后每单位注册资本对应的权益不可比，估值测算仅适用于转增之后的轮次。2025年4月11日一轮的新进股东认缴出资额合计高于当期注册资本增加额，存在增资与老股受让并行的情形。2025年11月21日一轮注册资本未发生变动，为老股转让。</w:t>
      </w:r>
    </w:p>
    <w:p>
      <w:pPr>
        <w:pStyle w:val="004"/>
      </w:pPr>
      <w:r>
        <w:rPr>
          <w:rFonts w:hint="eastAsia"/>
          <w:b/>
        </w:rPr>
        <w:t>5、鸿擎科技（同行业公司，空间动力系统，Pre-B轮）</w:t>
      </w:r>
    </w:p>
    <w:p>
      <w:pPr>
        <w:pStyle w:val="005"/>
      </w:pPr>
      <w:r>
        <w:rPr>
          <w:rFonts w:hint="eastAsia"/>
          <w:b w:val="0"/>
        </w:rPr>
        <w:t>鸿擎科技与遨天科技同处无限宇航的上游相邻环节，主营空间动力系统。公司同时具有客户属性：其关联的鸿鹄星座，是国内OTV市场规模测算所依据的三大星座之一。经营主体为北京蓝箭鸿擎科技有限公司，成立于2017年11月，曾用名上海蓝箭鸿擎科技有限公司、上海意想网络科技有限公司，法定代表人万军，注册地北京经济技术开发区。蓝箭航天空间科技股份有限公司持股14.9551%。</w:t>
      </w:r>
    </w:p>
    <w:p>
      <w:pPr>
        <w:pStyle w:val="005"/>
      </w:pPr>
      <w:r>
        <w:rPr>
          <w:rFonts w:hint="eastAsia"/>
          <w:b w:val="0"/>
        </w:rPr>
        <w:t>产品方面，公司为空间动力解决方案供应商，面向低轨互联网、物联网星座，满足小卫星轨道提升、在轨位置保持、离轨等多种任务的动力需求。</w:t>
      </w:r>
    </w:p>
    <w:p>
      <w:pPr>
        <w:pStyle w:val="005"/>
      </w:pPr>
      <w:r>
        <w:rPr>
          <w:rFonts w:hint="eastAsia"/>
          <w:b w:val="0"/>
        </w:rPr>
        <w:t>经营状况方面，公司注册资本4680.6916万元，实缴3848.079万元，2025年报参保人数61人，分支机构参保9人。公司共有31名股东。</w:t>
      </w:r>
    </w:p>
    <w:p>
      <w:pPr>
        <w:pStyle w:val="a4"/>
        <w:keepNext/>
        <w:jc w:val="center"/>
      </w:pPr>
      <w:r>
        <w:rPr>
          <w:rFonts w:hint="eastAsia"/>
          <w:b/>
          <w:sz w:val="21"/>
        </w:rPr>
        <w:t>表9  鸿擎科技融资情况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500" w:type="pct"/>
            <w:tcBorders>
              <w:top w:val="single" w:sz="12" w:space="0" w:color="010000"/>
              <w:bottom w:val="single" w:sz="4" w:space="0" w:color="010000"/>
            </w:tcBorders>
            <w:vAlign w:val="center"/>
          </w:tcPr>
          <w:p>
            <w:pPr>
              <w:keepNext/>
              <w:jc w:val="center"/>
            </w:pPr>
            <w:r>
              <w:rPr>
                <w:rFonts w:hint="eastAsia"/>
                <w:b/>
                <w:sz w:val="21"/>
              </w:rPr>
              <w:t>轮次</w:t>
            </w:r>
          </w:p>
        </w:tc>
        <w:tc>
          <w:tcPr>
            <w:tcW w:w="1000" w:type="pct"/>
            <w:tcBorders>
              <w:top w:val="single" w:sz="12" w:space="0" w:color="010000"/>
              <w:bottom w:val="single" w:sz="4" w:space="0" w:color="010000"/>
            </w:tcBorders>
            <w:vAlign w:val="center"/>
          </w:tcPr>
          <w:p>
            <w:pPr>
              <w:keepNext/>
              <w:jc w:val="center"/>
            </w:pPr>
            <w:r>
              <w:rPr>
                <w:rFonts w:hint="eastAsia"/>
                <w:b/>
                <w:sz w:val="21"/>
              </w:rPr>
              <w:t>时间</w:t>
            </w:r>
          </w:p>
        </w:tc>
        <w:tc>
          <w:tcPr>
            <w:tcW w:w="700" w:type="pct"/>
            <w:tcBorders>
              <w:top w:val="single" w:sz="12" w:space="0" w:color="010000"/>
              <w:bottom w:val="single" w:sz="4" w:space="0" w:color="010000"/>
            </w:tcBorders>
            <w:vAlign w:val="center"/>
          </w:tcPr>
          <w:p>
            <w:pPr>
              <w:keepNext/>
              <w:jc w:val="center"/>
            </w:pPr>
            <w:r>
              <w:rPr>
                <w:rFonts w:hint="eastAsia"/>
                <w:b/>
                <w:sz w:val="21"/>
              </w:rPr>
              <w:t>融资金额</w:t>
            </w:r>
          </w:p>
        </w:tc>
        <w:tc>
          <w:tcPr>
            <w:tcW w:w="2800" w:type="pct"/>
            <w:tcBorders>
              <w:top w:val="single" w:sz="12" w:space="0" w:color="010000"/>
              <w:bottom w:val="single" w:sz="4" w:space="0" w:color="010000"/>
            </w:tcBorders>
            <w:vAlign w:val="center"/>
          </w:tcPr>
          <w:p>
            <w:pPr>
              <w:keepNext/>
              <w:jc w:val="center"/>
            </w:pPr>
            <w:r>
              <w:rPr>
                <w:rFonts w:hint="eastAsia"/>
                <w:b/>
                <w:sz w:val="21"/>
              </w:rPr>
              <w:t>投资方</w:t>
            </w:r>
          </w:p>
        </w:tc>
      </w:tr>
      <w:tr>
        <w:trPr>
          <w:cantSplit/>
        </w:trPr>
        <w:tc>
          <w:tcPr>
            <w:tcW w:w="500" w:type="pct"/>
            <w:vAlign w:val="center"/>
          </w:tcPr>
          <w:p>
            <w:pPr>
              <w:keepNext/>
              <w:jc w:val="center"/>
            </w:pPr>
            <w:r>
              <w:rPr>
                <w:rFonts w:hint="eastAsia"/>
                <w:b w:val="0"/>
                <w:sz w:val="21"/>
              </w:rPr>
              <w:t>A轮</w:t>
            </w:r>
          </w:p>
        </w:tc>
        <w:tc>
          <w:tcPr>
            <w:tcW w:w="1000" w:type="pct"/>
            <w:vAlign w:val="center"/>
          </w:tcPr>
          <w:p>
            <w:pPr>
              <w:keepNext/>
              <w:jc w:val="center"/>
            </w:pPr>
            <w:r>
              <w:rPr>
                <w:rFonts w:hint="eastAsia"/>
                <w:b w:val="0"/>
                <w:sz w:val="21"/>
              </w:rPr>
              <w:t>2022-08-19至2023-10-11</w:t>
            </w:r>
          </w:p>
        </w:tc>
        <w:tc>
          <w:tcPr>
            <w:tcW w:w="700" w:type="pct"/>
            <w:vAlign w:val="center"/>
          </w:tcPr>
          <w:p>
            <w:pPr>
              <w:keepNext/>
              <w:jc w:val="center"/>
            </w:pPr>
            <w:r>
              <w:rPr>
                <w:rFonts w:hint="eastAsia"/>
                <w:b w:val="0"/>
                <w:sz w:val="21"/>
              </w:rPr>
              <w:t>未披露</w:t>
            </w:r>
          </w:p>
        </w:tc>
        <w:tc>
          <w:tcPr>
            <w:tcW w:w="2800" w:type="pct"/>
            <w:vAlign w:val="center"/>
          </w:tcPr>
          <w:p>
            <w:pPr>
              <w:keepNext/>
              <w:jc w:val="left"/>
            </w:pPr>
            <w:r>
              <w:rPr>
                <w:rFonts w:hint="eastAsia"/>
                <w:b w:val="0"/>
                <w:sz w:val="21"/>
              </w:rPr>
              <w:t>陕西金控资本、华成智讯、基石资本等</w:t>
            </w:r>
          </w:p>
        </w:tc>
      </w:tr>
      <w:tr>
        <w:trPr>
          <w:cantSplit/>
        </w:trPr>
        <w:tc>
          <w:tcPr>
            <w:tcW w:w="500" w:type="pct"/>
            <w:vAlign w:val="center"/>
          </w:tcPr>
          <w:p>
            <w:pPr>
              <w:keepNext/>
              <w:jc w:val="center"/>
            </w:pPr>
            <w:r>
              <w:rPr>
                <w:rFonts w:hint="eastAsia"/>
                <w:b w:val="0"/>
                <w:sz w:val="21"/>
              </w:rPr>
              <w:t>A+轮</w:t>
            </w:r>
          </w:p>
        </w:tc>
        <w:tc>
          <w:tcPr>
            <w:tcW w:w="1000" w:type="pct"/>
            <w:vAlign w:val="center"/>
          </w:tcPr>
          <w:p>
            <w:pPr>
              <w:keepNext/>
              <w:jc w:val="center"/>
            </w:pPr>
            <w:r>
              <w:rPr>
                <w:rFonts w:hint="eastAsia"/>
                <w:b w:val="0"/>
                <w:sz w:val="21"/>
              </w:rPr>
              <w:t>2024-12-26</w:t>
            </w:r>
          </w:p>
        </w:tc>
        <w:tc>
          <w:tcPr>
            <w:tcW w:w="700" w:type="pct"/>
            <w:vAlign w:val="center"/>
          </w:tcPr>
          <w:p>
            <w:pPr>
              <w:keepNext/>
              <w:jc w:val="center"/>
            </w:pPr>
            <w:r>
              <w:rPr>
                <w:rFonts w:hint="eastAsia"/>
                <w:b w:val="0"/>
                <w:sz w:val="21"/>
              </w:rPr>
              <w:t>3.4亿元</w:t>
            </w:r>
          </w:p>
        </w:tc>
        <w:tc>
          <w:tcPr>
            <w:tcW w:w="2800" w:type="pct"/>
            <w:vAlign w:val="center"/>
          </w:tcPr>
          <w:p>
            <w:pPr>
              <w:keepNext/>
              <w:jc w:val="left"/>
            </w:pPr>
            <w:r>
              <w:rPr>
                <w:rFonts w:hint="eastAsia"/>
                <w:b w:val="0"/>
                <w:sz w:val="21"/>
              </w:rPr>
              <w:t>通宇通讯、昆仑资本、北京市先进制造和智能装备产业投资基金</w:t>
            </w:r>
          </w:p>
        </w:tc>
      </w:tr>
      <w:tr>
        <w:trPr>
          <w:cantSplit/>
        </w:trPr>
        <w:tc>
          <w:tcPr>
            <w:tcW w:w="500" w:type="pct"/>
            <w:vAlign w:val="center"/>
          </w:tcPr>
          <w:p>
            <w:pPr>
              <w:keepNext/>
              <w:jc w:val="center"/>
            </w:pPr>
            <w:r>
              <w:rPr>
                <w:rFonts w:hint="eastAsia"/>
                <w:b w:val="0"/>
                <w:sz w:val="21"/>
              </w:rPr>
              <w:t>A+轮</w:t>
            </w:r>
          </w:p>
        </w:tc>
        <w:tc>
          <w:tcPr>
            <w:tcW w:w="1000" w:type="pct"/>
            <w:vAlign w:val="center"/>
          </w:tcPr>
          <w:p>
            <w:pPr>
              <w:keepNext/>
              <w:jc w:val="center"/>
            </w:pPr>
            <w:r>
              <w:rPr>
                <w:rFonts w:hint="eastAsia"/>
                <w:b w:val="0"/>
                <w:sz w:val="21"/>
              </w:rPr>
              <w:t>2025-01-23</w:t>
            </w:r>
          </w:p>
        </w:tc>
        <w:tc>
          <w:tcPr>
            <w:tcW w:w="700" w:type="pct"/>
            <w:vAlign w:val="center"/>
          </w:tcPr>
          <w:p>
            <w:pPr>
              <w:keepNext/>
              <w:jc w:val="center"/>
            </w:pPr>
            <w:r>
              <w:rPr>
                <w:rFonts w:hint="eastAsia"/>
                <w:b w:val="0"/>
                <w:sz w:val="21"/>
              </w:rPr>
              <w:t>3亿元</w:t>
            </w:r>
          </w:p>
        </w:tc>
        <w:tc>
          <w:tcPr>
            <w:tcW w:w="2800" w:type="pct"/>
            <w:vAlign w:val="center"/>
          </w:tcPr>
          <w:p>
            <w:pPr>
              <w:keepNext/>
              <w:jc w:val="left"/>
            </w:pPr>
            <w:r>
              <w:rPr>
                <w:rFonts w:hint="eastAsia"/>
                <w:b w:val="0"/>
                <w:sz w:val="21"/>
              </w:rPr>
              <w:t>昆仑资本（领投）、白云基金、广电平云资本、北京京国管</w:t>
            </w:r>
          </w:p>
        </w:tc>
      </w:tr>
      <w:tr>
        <w:trPr>
          <w:cantSplit/>
        </w:trPr>
        <w:tc>
          <w:tcPr>
            <w:tcW w:w="500" w:type="pct"/>
            <w:vAlign w:val="center"/>
          </w:tcPr>
          <w:p>
            <w:pPr>
              <w:keepNext/>
              <w:jc w:val="center"/>
            </w:pPr>
            <w:r>
              <w:rPr>
                <w:rFonts w:hint="eastAsia"/>
                <w:b w:val="0"/>
                <w:sz w:val="21"/>
              </w:rPr>
              <w:t>A+轮</w:t>
            </w:r>
          </w:p>
        </w:tc>
        <w:tc>
          <w:tcPr>
            <w:tcW w:w="1000" w:type="pct"/>
            <w:vAlign w:val="center"/>
          </w:tcPr>
          <w:p>
            <w:pPr>
              <w:keepNext/>
              <w:jc w:val="center"/>
            </w:pPr>
            <w:r>
              <w:rPr>
                <w:rFonts w:hint="eastAsia"/>
                <w:b w:val="0"/>
                <w:sz w:val="21"/>
              </w:rPr>
              <w:t>2025-02-11</w:t>
            </w:r>
          </w:p>
        </w:tc>
        <w:tc>
          <w:tcPr>
            <w:tcW w:w="700" w:type="pct"/>
            <w:vAlign w:val="center"/>
          </w:tcPr>
          <w:p>
            <w:pPr>
              <w:keepNext/>
              <w:jc w:val="center"/>
            </w:pPr>
            <w:r>
              <w:rPr>
                <w:rFonts w:hint="eastAsia"/>
                <w:b w:val="0"/>
                <w:sz w:val="21"/>
              </w:rPr>
              <w:t>约1亿元</w:t>
            </w:r>
          </w:p>
        </w:tc>
        <w:tc>
          <w:tcPr>
            <w:tcW w:w="2800" w:type="pct"/>
            <w:vAlign w:val="center"/>
          </w:tcPr>
          <w:p>
            <w:pPr>
              <w:keepNext/>
              <w:jc w:val="left"/>
            </w:pPr>
            <w:r>
              <w:rPr>
                <w:rFonts w:hint="eastAsia"/>
                <w:b w:val="0"/>
                <w:sz w:val="21"/>
              </w:rPr>
              <w:t>雄安科技创新成长股权投资基金</w:t>
            </w:r>
          </w:p>
        </w:tc>
      </w:tr>
      <w:tr>
        <w:trPr>
          <w:cantSplit/>
        </w:trPr>
        <w:tc>
          <w:tcPr>
            <w:tcW w:w="500" w:type="pct"/>
            <w:vAlign w:val="center"/>
          </w:tcPr>
          <w:p>
            <w:pPr>
              <w:keepNext/>
              <w:jc w:val="center"/>
            </w:pPr>
            <w:r>
              <w:rPr>
                <w:rFonts w:hint="eastAsia"/>
                <w:b w:val="0"/>
                <w:sz w:val="21"/>
              </w:rPr>
              <w:t>A+轮</w:t>
            </w:r>
          </w:p>
        </w:tc>
        <w:tc>
          <w:tcPr>
            <w:tcW w:w="1000" w:type="pct"/>
            <w:vAlign w:val="center"/>
          </w:tcPr>
          <w:p>
            <w:pPr>
              <w:keepNext/>
              <w:jc w:val="center"/>
            </w:pPr>
            <w:r>
              <w:rPr>
                <w:rFonts w:hint="eastAsia"/>
                <w:b w:val="0"/>
                <w:sz w:val="21"/>
              </w:rPr>
              <w:t>2025-07-25</w:t>
            </w:r>
          </w:p>
        </w:tc>
        <w:tc>
          <w:tcPr>
            <w:tcW w:w="700" w:type="pct"/>
            <w:vAlign w:val="center"/>
          </w:tcPr>
          <w:p>
            <w:pPr>
              <w:keepNext/>
              <w:jc w:val="center"/>
            </w:pPr>
            <w:r>
              <w:rPr>
                <w:rFonts w:hint="eastAsia"/>
                <w:b w:val="0"/>
                <w:sz w:val="21"/>
              </w:rPr>
              <w:t>未披露</w:t>
            </w:r>
          </w:p>
        </w:tc>
        <w:tc>
          <w:tcPr>
            <w:tcW w:w="2800" w:type="pct"/>
            <w:vAlign w:val="center"/>
          </w:tcPr>
          <w:p>
            <w:pPr>
              <w:keepNext/>
              <w:jc w:val="left"/>
            </w:pPr>
            <w:r>
              <w:rPr>
                <w:rFonts w:hint="eastAsia"/>
                <w:b w:val="0"/>
                <w:sz w:val="21"/>
              </w:rPr>
              <w:t>湖北长江中信科移动通信技术产业投资基金</w:t>
            </w:r>
          </w:p>
        </w:tc>
      </w:tr>
      <w:tr>
        <w:trPr>
          <w:cantSplit/>
        </w:trPr>
        <w:tc>
          <w:tcPr>
            <w:tcW w:w="500" w:type="pct"/>
            <w:vAlign w:val="center"/>
          </w:tcPr>
          <w:p>
            <w:pPr>
              <w:keepNext/>
              <w:jc w:val="center"/>
            </w:pPr>
            <w:r>
              <w:rPr>
                <w:rFonts w:hint="eastAsia"/>
                <w:b w:val="0"/>
                <w:sz w:val="21"/>
              </w:rPr>
              <w:t>A+轮</w:t>
            </w:r>
          </w:p>
        </w:tc>
        <w:tc>
          <w:tcPr>
            <w:tcW w:w="1000" w:type="pct"/>
            <w:vAlign w:val="center"/>
          </w:tcPr>
          <w:p>
            <w:pPr>
              <w:keepNext/>
              <w:jc w:val="center"/>
            </w:pPr>
            <w:r>
              <w:rPr>
                <w:rFonts w:hint="eastAsia"/>
                <w:b w:val="0"/>
                <w:sz w:val="21"/>
              </w:rPr>
              <w:t>2025-12-29</w:t>
            </w:r>
          </w:p>
        </w:tc>
        <w:tc>
          <w:tcPr>
            <w:tcW w:w="700" w:type="pct"/>
            <w:vAlign w:val="center"/>
          </w:tcPr>
          <w:p>
            <w:pPr>
              <w:keepNext/>
              <w:jc w:val="center"/>
            </w:pPr>
            <w:r>
              <w:rPr>
                <w:rFonts w:hint="eastAsia"/>
                <w:b w:val="0"/>
                <w:sz w:val="21"/>
              </w:rPr>
              <w:t>未披露</w:t>
            </w:r>
          </w:p>
        </w:tc>
        <w:tc>
          <w:tcPr>
            <w:tcW w:w="2800" w:type="pct"/>
            <w:vAlign w:val="center"/>
          </w:tcPr>
          <w:p>
            <w:pPr>
              <w:keepNext/>
              <w:jc w:val="left"/>
            </w:pPr>
            <w:r>
              <w:rPr>
                <w:rFonts w:hint="eastAsia"/>
                <w:b w:val="0"/>
                <w:sz w:val="21"/>
              </w:rPr>
              <w:t>北京经开区产业升级股权投资基金二期、北京汇瀛金丰</w:t>
            </w:r>
          </w:p>
        </w:tc>
      </w:tr>
      <w:tr>
        <w:trPr>
          <w:cantSplit/>
        </w:trPr>
        <w:tc>
          <w:tcPr>
            <w:tcW w:w="500" w:type="pct"/>
            <w:tcBorders>
              <w:bottom w:val="single" w:sz="12" w:space="0" w:color="010000"/>
            </w:tcBorders>
            <w:vAlign w:val="center"/>
          </w:tcPr>
          <w:p>
            <w:pPr>
              <w:keepNext/>
              <w:jc w:val="center"/>
            </w:pPr>
            <w:r>
              <w:rPr>
                <w:rFonts w:hint="eastAsia"/>
                <w:b w:val="0"/>
                <w:sz w:val="21"/>
              </w:rPr>
              <w:t>Pre-B轮</w:t>
            </w:r>
          </w:p>
        </w:tc>
        <w:tc>
          <w:tcPr>
            <w:tcW w:w="1000" w:type="pct"/>
            <w:tcBorders>
              <w:bottom w:val="single" w:sz="12" w:space="0" w:color="010000"/>
            </w:tcBorders>
            <w:vAlign w:val="center"/>
          </w:tcPr>
          <w:p>
            <w:pPr>
              <w:keepNext/>
              <w:jc w:val="center"/>
            </w:pPr>
            <w:r>
              <w:rPr>
                <w:rFonts w:hint="eastAsia"/>
                <w:b w:val="0"/>
                <w:sz w:val="21"/>
              </w:rPr>
              <w:t>2026-07-02</w:t>
            </w:r>
          </w:p>
        </w:tc>
        <w:tc>
          <w:tcPr>
            <w:tcW w:w="700" w:type="pct"/>
            <w:tcBorders>
              <w:bottom w:val="single" w:sz="12" w:space="0" w:color="010000"/>
            </w:tcBorders>
            <w:vAlign w:val="center"/>
          </w:tcPr>
          <w:p>
            <w:pPr>
              <w:keepNext/>
              <w:jc w:val="center"/>
            </w:pPr>
            <w:r>
              <w:rPr>
                <w:rFonts w:hint="eastAsia"/>
                <w:b w:val="0"/>
                <w:sz w:val="21"/>
              </w:rPr>
              <w:t>超13亿元</w:t>
            </w:r>
          </w:p>
        </w:tc>
        <w:tc>
          <w:tcPr>
            <w:tcW w:w="2800" w:type="pct"/>
            <w:tcBorders>
              <w:bottom w:val="single" w:sz="12" w:space="0" w:color="010000"/>
            </w:tcBorders>
            <w:vAlign w:val="center"/>
          </w:tcPr>
          <w:p>
            <w:pPr>
              <w:keepNext/>
              <w:jc w:val="left"/>
            </w:pPr>
            <w:r>
              <w:rPr>
                <w:rFonts w:hint="eastAsia"/>
                <w:b w:val="0"/>
                <w:sz w:val="21"/>
              </w:rPr>
              <w:t>建信投资、工银投资、上海金融科技股权投资基金（联合领投），国泰海通、中银证券等共24家</w:t>
            </w:r>
          </w:p>
        </w:tc>
      </w:tr>
    </w:tbl>
    <w:p>
      <w:pPr>
        <w:pStyle w:val="a4"/>
        <w:jc w:val="center"/>
      </w:pPr>
      <w:r>
        <w:rPr>
          <w:rFonts w:hint="eastAsia"/>
          <w:b w:val="0"/>
          <w:sz w:val="11"/>
        </w:rPr>
        <w:t>资料来源：企查查企业信用报告专业版</w:t>
      </w:r>
    </w:p>
    <w:p>
      <w:pPr>
        <w:pStyle w:val="005"/>
      </w:pPr>
      <w:r>
        <w:rPr>
          <w:rFonts w:hint="eastAsia"/>
          <w:b w:val="0"/>
        </w:rPr>
        <w:t>公司累计融资12轮，当前轮次为Pre-B轮，单轮融资金额和累计融资金额均为本材料所列国内同业中最高。</w:t>
      </w:r>
    </w:p>
    <w:p>
      <w:pPr>
        <w:pStyle w:val="005"/>
      </w:pPr>
      <w:r>
        <w:rPr>
          <w:rFonts w:hint="eastAsia"/>
          <w:b w:val="0"/>
        </w:rPr>
        <w:t>估值方面有两个可测算的时点。2025年2月11日一轮，雄安科技创新成长股权投资基金认缴出资额137.4925万元，与当期注册资本增加额完全一致，占增资后注册资本4.5977%，按融资额约1亿元测算，对应投后估值约21.7亿元。2026年7月Pre-B轮新进股东合计持股17.7883%，按融资额13亿元测算，对应投后估值约73亿元。</w:t>
      </w:r>
    </w:p>
    <w:p>
      <w:pPr>
        <w:pStyle w:val="a4"/>
        <w:keepNext/>
        <w:jc w:val="center"/>
      </w:pPr>
      <w:r>
        <w:rPr>
          <w:rFonts w:hint="eastAsia"/>
          <w:b/>
          <w:sz w:val="21"/>
        </w:rPr>
        <w:t>表10  鸿擎科技注册资本变更情况</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变更日期</w:t>
            </w:r>
          </w:p>
        </w:tc>
        <w:tc>
          <w:tcPr>
            <w:tcW w:w="110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15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2021-11-15</w:t>
            </w:r>
          </w:p>
        </w:tc>
        <w:tc>
          <w:tcPr>
            <w:tcW w:w="1100" w:type="pct"/>
            <w:vAlign w:val="center"/>
          </w:tcPr>
          <w:p>
            <w:pPr>
              <w:keepNext/>
              <w:jc w:val="center"/>
            </w:pPr>
            <w:r>
              <w:rPr>
                <w:rFonts w:hint="eastAsia"/>
                <w:b w:val="0"/>
                <w:sz w:val="21"/>
              </w:rPr>
              <w:t>100→1000</w:t>
            </w:r>
          </w:p>
        </w:tc>
        <w:tc>
          <w:tcPr>
            <w:tcW w:w="2150" w:type="pct"/>
            <w:vAlign w:val="center"/>
          </w:tcPr>
          <w:p>
            <w:pPr>
              <w:keepNext/>
              <w:jc w:val="left"/>
            </w:pPr>
            <w:r>
              <w:rPr>
                <w:rFonts w:hint="eastAsia"/>
                <w:b w:val="0"/>
                <w:sz w:val="21"/>
              </w:rPr>
              <w:t>上海星维浩瀚、蓝箭航天</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2022-03-04</w:t>
            </w:r>
          </w:p>
        </w:tc>
        <w:tc>
          <w:tcPr>
            <w:tcW w:w="1100" w:type="pct"/>
            <w:vAlign w:val="center"/>
          </w:tcPr>
          <w:p>
            <w:pPr>
              <w:keepNext/>
              <w:jc w:val="center"/>
            </w:pPr>
            <w:r>
              <w:rPr>
                <w:rFonts w:hint="eastAsia"/>
                <w:b w:val="0"/>
                <w:sz w:val="21"/>
              </w:rPr>
              <w:t>1000→1190.4762</w:t>
            </w:r>
          </w:p>
        </w:tc>
        <w:tc>
          <w:tcPr>
            <w:tcW w:w="2150" w:type="pct"/>
            <w:vAlign w:val="center"/>
          </w:tcPr>
          <w:p>
            <w:pPr>
              <w:keepNext/>
              <w:jc w:val="left"/>
            </w:pPr>
            <w:r>
              <w:rPr>
                <w:rFonts w:hint="eastAsia"/>
                <w:b w:val="0"/>
                <w:sz w:val="21"/>
              </w:rPr>
              <w:t>—</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2022-08-19</w:t>
            </w:r>
          </w:p>
        </w:tc>
        <w:tc>
          <w:tcPr>
            <w:tcW w:w="1100" w:type="pct"/>
            <w:vAlign w:val="center"/>
          </w:tcPr>
          <w:p>
            <w:pPr>
              <w:keepNext/>
              <w:jc w:val="center"/>
            </w:pPr>
            <w:r>
              <w:rPr>
                <w:rFonts w:hint="eastAsia"/>
                <w:b w:val="0"/>
                <w:sz w:val="21"/>
              </w:rPr>
              <w:t>1190.4762→1455.0263</w:t>
            </w:r>
          </w:p>
        </w:tc>
        <w:tc>
          <w:tcPr>
            <w:tcW w:w="2150" w:type="pct"/>
            <w:vAlign w:val="center"/>
          </w:tcPr>
          <w:p>
            <w:pPr>
              <w:keepNext/>
              <w:jc w:val="left"/>
            </w:pPr>
            <w:r>
              <w:rPr>
                <w:rFonts w:hint="eastAsia"/>
                <w:b w:val="0"/>
                <w:sz w:val="21"/>
              </w:rPr>
              <w:t>海南洋浦潜渊天擎、宁波澜溪创新、佛山光晟</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2023-10-11</w:t>
            </w:r>
          </w:p>
        </w:tc>
        <w:tc>
          <w:tcPr>
            <w:tcW w:w="1100" w:type="pct"/>
            <w:vAlign w:val="center"/>
          </w:tcPr>
          <w:p>
            <w:pPr>
              <w:keepNext/>
              <w:jc w:val="center"/>
            </w:pPr>
            <w:r>
              <w:rPr>
                <w:rFonts w:hint="eastAsia"/>
                <w:b w:val="0"/>
                <w:sz w:val="21"/>
              </w:rPr>
              <w:t>1455.0263→1798.5742</w:t>
            </w:r>
          </w:p>
        </w:tc>
        <w:tc>
          <w:tcPr>
            <w:tcW w:w="2150" w:type="pct"/>
            <w:vAlign w:val="center"/>
          </w:tcPr>
          <w:p>
            <w:pPr>
              <w:keepNext/>
              <w:jc w:val="left"/>
            </w:pPr>
            <w:r>
              <w:rPr>
                <w:rFonts w:hint="eastAsia"/>
                <w:b w:val="0"/>
                <w:sz w:val="21"/>
              </w:rPr>
              <w:t>华成智飞、华成智飞伙伴、马鞍山科威基石</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2024-05-11</w:t>
            </w:r>
          </w:p>
        </w:tc>
        <w:tc>
          <w:tcPr>
            <w:tcW w:w="1100" w:type="pct"/>
            <w:vAlign w:val="center"/>
          </w:tcPr>
          <w:p>
            <w:pPr>
              <w:keepNext/>
              <w:jc w:val="center"/>
            </w:pPr>
            <w:r>
              <w:rPr>
                <w:rFonts w:hint="eastAsia"/>
                <w:b w:val="0"/>
                <w:sz w:val="21"/>
              </w:rPr>
              <w:t>1798.5742→2234.2538</w:t>
            </w:r>
          </w:p>
        </w:tc>
        <w:tc>
          <w:tcPr>
            <w:tcW w:w="2150" w:type="pct"/>
            <w:vAlign w:val="center"/>
          </w:tcPr>
          <w:p>
            <w:pPr>
              <w:keepNext/>
              <w:jc w:val="left"/>
            </w:pPr>
            <w:r>
              <w:rPr>
                <w:rFonts w:hint="eastAsia"/>
                <w:b w:val="0"/>
                <w:sz w:val="21"/>
              </w:rPr>
              <w:t>增资与16.73%股权转让并行</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2025-01-16</w:t>
            </w:r>
          </w:p>
        </w:tc>
        <w:tc>
          <w:tcPr>
            <w:tcW w:w="1100" w:type="pct"/>
            <w:vAlign w:val="center"/>
          </w:tcPr>
          <w:p>
            <w:pPr>
              <w:keepNext/>
              <w:jc w:val="center"/>
            </w:pPr>
            <w:r>
              <w:rPr>
                <w:rFonts w:hint="eastAsia"/>
                <w:b w:val="0"/>
                <w:sz w:val="21"/>
              </w:rPr>
              <w:t>2234.2538→2552.2053</w:t>
            </w:r>
          </w:p>
        </w:tc>
        <w:tc>
          <w:tcPr>
            <w:tcW w:w="2150" w:type="pct"/>
            <w:vAlign w:val="center"/>
          </w:tcPr>
          <w:p>
            <w:pPr>
              <w:keepNext/>
              <w:jc w:val="left"/>
            </w:pPr>
            <w:r>
              <w:rPr>
                <w:rFonts w:hint="eastAsia"/>
                <w:b w:val="0"/>
                <w:sz w:val="21"/>
              </w:rPr>
              <w:t>通宇通讯、昆仑资本、北京市先进制造基金</w:t>
            </w:r>
          </w:p>
        </w:tc>
        <w:tc>
          <w:tcPr>
            <w:tcW w:w="1000" w:type="pct"/>
            <w:vAlign w:val="center"/>
          </w:tcPr>
          <w:p>
            <w:pPr>
              <w:keepNext/>
              <w:jc w:val="center"/>
            </w:pPr>
            <w:r>
              <w:rPr>
                <w:rFonts w:hint="eastAsia"/>
                <w:b w:val="0"/>
                <w:sz w:val="21"/>
              </w:rPr>
              <w:t>12.4577%</w:t>
            </w:r>
          </w:p>
        </w:tc>
      </w:tr>
      <w:tr>
        <w:trPr>
          <w:cantSplit/>
        </w:trPr>
        <w:tc>
          <w:tcPr>
            <w:tcW w:w="750" w:type="pct"/>
            <w:vAlign w:val="center"/>
          </w:tcPr>
          <w:p>
            <w:pPr>
              <w:keepNext/>
              <w:jc w:val="center"/>
            </w:pPr>
            <w:r>
              <w:rPr>
                <w:rFonts w:hint="eastAsia"/>
                <w:b w:val="0"/>
                <w:sz w:val="21"/>
              </w:rPr>
              <w:t>2025-02-12</w:t>
            </w:r>
          </w:p>
        </w:tc>
        <w:tc>
          <w:tcPr>
            <w:tcW w:w="1100" w:type="pct"/>
            <w:vAlign w:val="center"/>
          </w:tcPr>
          <w:p>
            <w:pPr>
              <w:keepNext/>
              <w:jc w:val="center"/>
            </w:pPr>
            <w:r>
              <w:rPr>
                <w:rFonts w:hint="eastAsia"/>
                <w:b w:val="0"/>
                <w:sz w:val="21"/>
              </w:rPr>
              <w:t>2552.2053→2852.9703</w:t>
            </w:r>
          </w:p>
        </w:tc>
        <w:tc>
          <w:tcPr>
            <w:tcW w:w="2150" w:type="pct"/>
            <w:vAlign w:val="center"/>
          </w:tcPr>
          <w:p>
            <w:pPr>
              <w:keepNext/>
              <w:jc w:val="left"/>
            </w:pPr>
            <w:r>
              <w:rPr>
                <w:rFonts w:hint="eastAsia"/>
                <w:b w:val="0"/>
                <w:sz w:val="21"/>
              </w:rPr>
              <w:t>白云基金、广电平云资本、北京京国管</w:t>
            </w:r>
          </w:p>
        </w:tc>
        <w:tc>
          <w:tcPr>
            <w:tcW w:w="1000" w:type="pct"/>
            <w:vAlign w:val="center"/>
          </w:tcPr>
          <w:p>
            <w:pPr>
              <w:keepNext/>
              <w:jc w:val="center"/>
            </w:pPr>
            <w:r>
              <w:rPr>
                <w:rFonts w:hint="eastAsia"/>
                <w:b w:val="0"/>
                <w:sz w:val="21"/>
              </w:rPr>
              <w:t>10.5421%</w:t>
            </w:r>
          </w:p>
        </w:tc>
      </w:tr>
      <w:tr>
        <w:trPr>
          <w:cantSplit/>
        </w:trPr>
        <w:tc>
          <w:tcPr>
            <w:tcW w:w="750" w:type="pct"/>
            <w:vAlign w:val="center"/>
          </w:tcPr>
          <w:p>
            <w:pPr>
              <w:keepNext/>
              <w:jc w:val="center"/>
            </w:pPr>
            <w:r>
              <w:rPr>
                <w:rFonts w:hint="eastAsia"/>
                <w:b w:val="0"/>
                <w:sz w:val="21"/>
              </w:rPr>
              <w:t>2025-02-28</w:t>
            </w:r>
          </w:p>
        </w:tc>
        <w:tc>
          <w:tcPr>
            <w:tcW w:w="1100" w:type="pct"/>
            <w:vAlign w:val="center"/>
          </w:tcPr>
          <w:p>
            <w:pPr>
              <w:keepNext/>
              <w:jc w:val="center"/>
            </w:pPr>
            <w:r>
              <w:rPr>
                <w:rFonts w:hint="eastAsia"/>
                <w:b w:val="0"/>
                <w:sz w:val="21"/>
              </w:rPr>
              <w:t>2852.9703→2990.4628</w:t>
            </w:r>
          </w:p>
        </w:tc>
        <w:tc>
          <w:tcPr>
            <w:tcW w:w="2150" w:type="pct"/>
            <w:vAlign w:val="center"/>
          </w:tcPr>
          <w:p>
            <w:pPr>
              <w:keepNext/>
              <w:jc w:val="left"/>
            </w:pPr>
            <w:r>
              <w:rPr>
                <w:rFonts w:hint="eastAsia"/>
                <w:b w:val="0"/>
                <w:sz w:val="21"/>
              </w:rPr>
              <w:t>雄安科技创新成长股权投资基金</w:t>
            </w:r>
          </w:p>
        </w:tc>
        <w:tc>
          <w:tcPr>
            <w:tcW w:w="1000" w:type="pct"/>
            <w:vAlign w:val="center"/>
          </w:tcPr>
          <w:p>
            <w:pPr>
              <w:keepNext/>
              <w:jc w:val="center"/>
            </w:pPr>
            <w:r>
              <w:rPr>
                <w:rFonts w:hint="eastAsia"/>
                <w:b w:val="0"/>
                <w:sz w:val="21"/>
              </w:rPr>
              <w:t>4.5977%</w:t>
            </w:r>
          </w:p>
        </w:tc>
      </w:tr>
      <w:tr>
        <w:trPr>
          <w:cantSplit/>
        </w:trPr>
        <w:tc>
          <w:tcPr>
            <w:tcW w:w="750" w:type="pct"/>
            <w:vAlign w:val="center"/>
          </w:tcPr>
          <w:p>
            <w:pPr>
              <w:keepNext/>
              <w:jc w:val="center"/>
            </w:pPr>
            <w:r>
              <w:rPr>
                <w:rFonts w:hint="eastAsia"/>
                <w:b w:val="0"/>
                <w:sz w:val="21"/>
              </w:rPr>
              <w:t>2025-08-07</w:t>
            </w:r>
          </w:p>
        </w:tc>
        <w:tc>
          <w:tcPr>
            <w:tcW w:w="1100" w:type="pct"/>
            <w:vAlign w:val="center"/>
          </w:tcPr>
          <w:p>
            <w:pPr>
              <w:keepNext/>
              <w:jc w:val="center"/>
            </w:pPr>
            <w:r>
              <w:rPr>
                <w:rFonts w:hint="eastAsia"/>
                <w:b w:val="0"/>
                <w:sz w:val="21"/>
              </w:rPr>
              <w:t>2990.4628→3521.5342</w:t>
            </w:r>
          </w:p>
        </w:tc>
        <w:tc>
          <w:tcPr>
            <w:tcW w:w="2150" w:type="pct"/>
            <w:vAlign w:val="center"/>
          </w:tcPr>
          <w:p>
            <w:pPr>
              <w:keepNext/>
              <w:jc w:val="left"/>
            </w:pPr>
            <w:r>
              <w:rPr>
                <w:rFonts w:hint="eastAsia"/>
                <w:b w:val="0"/>
                <w:sz w:val="21"/>
              </w:rPr>
              <w:t>湖北长江中信科基金</w:t>
            </w:r>
          </w:p>
        </w:tc>
        <w:tc>
          <w:tcPr>
            <w:tcW w:w="1000" w:type="pct"/>
            <w:vAlign w:val="center"/>
          </w:tcPr>
          <w:p>
            <w:pPr>
              <w:keepNext/>
              <w:jc w:val="center"/>
            </w:pPr>
            <w:r>
              <w:rPr>
                <w:rFonts w:hint="eastAsia"/>
                <w:b w:val="0"/>
                <w:sz w:val="21"/>
              </w:rPr>
              <w:t>15.0806%</w:t>
            </w:r>
          </w:p>
        </w:tc>
      </w:tr>
      <w:tr>
        <w:trPr>
          <w:cantSplit/>
        </w:trPr>
        <w:tc>
          <w:tcPr>
            <w:tcW w:w="750" w:type="pct"/>
            <w:vAlign w:val="center"/>
          </w:tcPr>
          <w:p>
            <w:pPr>
              <w:keepNext/>
              <w:jc w:val="center"/>
            </w:pPr>
            <w:r>
              <w:rPr>
                <w:rFonts w:hint="eastAsia"/>
                <w:b w:val="0"/>
                <w:sz w:val="21"/>
              </w:rPr>
              <w:t>2025-12-29</w:t>
            </w:r>
          </w:p>
        </w:tc>
        <w:tc>
          <w:tcPr>
            <w:tcW w:w="1100" w:type="pct"/>
            <w:vAlign w:val="center"/>
          </w:tcPr>
          <w:p>
            <w:pPr>
              <w:keepNext/>
              <w:jc w:val="center"/>
            </w:pPr>
            <w:r>
              <w:rPr>
                <w:rFonts w:hint="eastAsia"/>
                <w:b w:val="0"/>
                <w:sz w:val="21"/>
              </w:rPr>
              <w:t>3521.5342→3848.079</w:t>
            </w:r>
          </w:p>
        </w:tc>
        <w:tc>
          <w:tcPr>
            <w:tcW w:w="2150" w:type="pct"/>
            <w:vAlign w:val="center"/>
          </w:tcPr>
          <w:p>
            <w:pPr>
              <w:keepNext/>
              <w:jc w:val="left"/>
            </w:pPr>
            <w:r>
              <w:rPr>
                <w:rFonts w:hint="eastAsia"/>
                <w:b w:val="0"/>
                <w:sz w:val="21"/>
              </w:rPr>
              <w:t>北京经开区产业升级基金二期、北京汇瀛金丰</w:t>
            </w:r>
          </w:p>
        </w:tc>
        <w:tc>
          <w:tcPr>
            <w:tcW w:w="1000" w:type="pct"/>
            <w:vAlign w:val="center"/>
          </w:tcPr>
          <w:p>
            <w:pPr>
              <w:keepNext/>
              <w:jc w:val="center"/>
            </w:pPr>
            <w:r>
              <w:rPr>
                <w:rFonts w:hint="eastAsia"/>
                <w:b w:val="0"/>
                <w:sz w:val="21"/>
              </w:rPr>
              <w:t>8.4860%</w:t>
            </w:r>
          </w:p>
        </w:tc>
      </w:tr>
      <w:tr>
        <w:trPr>
          <w:cantSplit/>
        </w:trPr>
        <w:tc>
          <w:tcPr>
            <w:tcW w:w="750" w:type="pct"/>
            <w:tcBorders>
              <w:bottom w:val="single" w:sz="12" w:space="0" w:color="010000"/>
            </w:tcBorders>
            <w:vAlign w:val="center"/>
          </w:tcPr>
          <w:p>
            <w:pPr>
              <w:keepNext/>
              <w:jc w:val="center"/>
            </w:pPr>
            <w:r>
              <w:rPr>
                <w:rFonts w:hint="eastAsia"/>
                <w:b w:val="0"/>
                <w:sz w:val="21"/>
              </w:rPr>
              <w:t>2026-06-26</w:t>
            </w:r>
          </w:p>
        </w:tc>
        <w:tc>
          <w:tcPr>
            <w:tcW w:w="1100" w:type="pct"/>
            <w:tcBorders>
              <w:bottom w:val="single" w:sz="12" w:space="0" w:color="010000"/>
            </w:tcBorders>
            <w:vAlign w:val="center"/>
          </w:tcPr>
          <w:p>
            <w:pPr>
              <w:keepNext/>
              <w:jc w:val="center"/>
            </w:pPr>
            <w:r>
              <w:rPr>
                <w:rFonts w:hint="eastAsia"/>
                <w:b w:val="0"/>
                <w:sz w:val="21"/>
              </w:rPr>
              <w:t>3848.079→4680.6916</w:t>
            </w:r>
          </w:p>
        </w:tc>
        <w:tc>
          <w:tcPr>
            <w:tcW w:w="2150" w:type="pct"/>
            <w:tcBorders>
              <w:bottom w:val="single" w:sz="12" w:space="0" w:color="010000"/>
            </w:tcBorders>
            <w:vAlign w:val="center"/>
          </w:tcPr>
          <w:p>
            <w:pPr>
              <w:keepNext/>
              <w:jc w:val="left"/>
            </w:pPr>
            <w:r>
              <w:rPr>
                <w:rFonts w:hint="eastAsia"/>
                <w:b w:val="0"/>
                <w:sz w:val="21"/>
              </w:rPr>
              <w:t>建信投资、工银投资、上海金融科技基金等</w:t>
            </w:r>
          </w:p>
        </w:tc>
        <w:tc>
          <w:tcPr>
            <w:tcW w:w="1000" w:type="pct"/>
            <w:tcBorders>
              <w:bottom w:val="single" w:sz="12" w:space="0" w:color="010000"/>
            </w:tcBorders>
            <w:vAlign w:val="center"/>
          </w:tcPr>
          <w:p>
            <w:pPr>
              <w:keepNext/>
              <w:jc w:val="center"/>
            </w:pPr>
            <w:r>
              <w:rPr>
                <w:rFonts w:hint="eastAsia"/>
                <w:b w:val="0"/>
                <w:sz w:val="21"/>
              </w:rPr>
              <w:t>17.7883%</w:t>
            </w:r>
          </w:p>
        </w:tc>
      </w:tr>
    </w:tbl>
    <w:p>
      <w:pPr>
        <w:pStyle w:val="a4"/>
        <w:jc w:val="center"/>
      </w:pPr>
      <w:r>
        <w:rPr>
          <w:rFonts w:hint="eastAsia"/>
          <w:b w:val="0"/>
          <w:sz w:val="11"/>
        </w:rPr>
        <w:t>资料来源：企查查企业信用报告专业版</w:t>
      </w:r>
    </w:p>
    <w:p>
      <w:pPr>
        <w:pStyle w:val="005"/>
      </w:pPr>
      <w:r>
        <w:rPr>
          <w:rFonts w:hint="eastAsia"/>
          <w:b w:val="0"/>
        </w:rPr>
        <w:t>公司部分轮次同时存在增资与老股转让。例如北京市先进制造和智能装备产业投资基金认缴出资额343.7314万元，高于其进入当期的注册资本增加额317.9515万元，差额部分为受让老股。仅以注册资本增加额测算会低估该轮估值，2025年1月23日与2025年2月11日两轮测算结果的倒挂即源于此。通宇通讯（002792.SZ）为上市公司，2024年12月投资、2026年2月转让退出均应履行公告义务，可据其公告核对交易对价与持股比例。</w:t>
      </w:r>
    </w:p>
    <w:p>
      <w:pPr>
        <w:pStyle w:val="004"/>
      </w:pPr>
      <w:r>
        <w:rPr>
          <w:rFonts w:hint="eastAsia"/>
          <w:b/>
        </w:rPr>
        <w:t>6、往返九霄（同行业公司，动力系统研制阶段）</w:t>
      </w:r>
    </w:p>
    <w:p>
      <w:pPr>
        <w:pStyle w:val="005"/>
      </w:pPr>
      <w:r>
        <w:rPr>
          <w:rFonts w:hint="eastAsia"/>
          <w:b w:val="0"/>
        </w:rPr>
        <w:t>往返九霄为公开资料所列国内三家OTV整机公司之一，另两家为无限宇航与未来宇航。公司以发动机自主研发为切入点，OTV整机尚在研发中，进度落后于前两家。</w:t>
      </w:r>
    </w:p>
    <w:p>
      <w:pPr>
        <w:pStyle w:val="005"/>
      </w:pPr>
      <w:r>
        <w:rPr>
          <w:rFonts w:hint="eastAsia"/>
          <w:b w:val="0"/>
        </w:rPr>
        <w:t>经营主体方面，北京往返九霄航空航天科技有限公司成立于2024年8月，注册资本500万元并已全额实缴，唯一股东为苏州往返九霄航空航天科技有限公司，持股100%。该主体为全资子公司，无独立融资记录，融资发生在苏州母公司层面。</w:t>
      </w:r>
    </w:p>
    <w:p>
      <w:pPr>
        <w:pStyle w:val="005"/>
      </w:pPr>
      <w:r>
        <w:rPr>
          <w:rFonts w:hint="eastAsia"/>
          <w:b w:val="0"/>
        </w:rPr>
        <w:t>经营状况方面，公司2025年报参保人数6人，分支机构参保12人，拥有专利20项、软件著作权10项。公开招聘记录共41条，岗位集中于火箭发动机推力室设计、发动机阀门设计、发动机系统设计、火箭发动机工艺设计，未见飞行器总体设计、导航制导与控制等整机岗位。</w:t>
      </w:r>
    </w:p>
    <w:p>
      <w:pPr>
        <w:pStyle w:val="a4"/>
        <w:keepNext/>
        <w:jc w:val="center"/>
      </w:pPr>
      <w:r>
        <w:rPr>
          <w:rFonts w:hint="eastAsia"/>
          <w:b/>
          <w:sz w:val="21"/>
        </w:rPr>
        <w:t>表11  往返九霄基本情况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4153"/>
        <w:gridCol w:w="4153"/>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3800" w:type="pct"/>
            <w:tcBorders>
              <w:top w:val="single" w:sz="12" w:space="0" w:color="010000"/>
              <w:bottom w:val="single" w:sz="4" w:space="0" w:color="010000"/>
            </w:tcBorders>
            <w:vAlign w:val="center"/>
          </w:tcPr>
          <w:p>
            <w:pPr>
              <w:keepNext/>
              <w:jc w:val="center"/>
            </w:pPr>
            <w:r>
              <w:rPr>
                <w:rFonts w:hint="eastAsia"/>
                <w:b/>
                <w:sz w:val="21"/>
              </w:rPr>
              <w:t>内容</w:t>
            </w:r>
          </w:p>
        </w:tc>
      </w:tr>
      <w:tr>
        <w:trPr>
          <w:cantSplit/>
        </w:trPr>
        <w:tc>
          <w:tcPr>
            <w:tcW w:w="1200" w:type="pct"/>
            <w:vAlign w:val="center"/>
          </w:tcPr>
          <w:p>
            <w:pPr>
              <w:keepNext/>
              <w:jc w:val="center"/>
            </w:pPr>
            <w:r>
              <w:rPr>
                <w:rFonts w:hint="eastAsia"/>
                <w:b w:val="0"/>
                <w:sz w:val="21"/>
              </w:rPr>
              <w:t>成立日期</w:t>
            </w:r>
          </w:p>
        </w:tc>
        <w:tc>
          <w:tcPr>
            <w:tcW w:w="3800" w:type="pct"/>
            <w:vAlign w:val="center"/>
          </w:tcPr>
          <w:p>
            <w:pPr>
              <w:keepNext/>
              <w:jc w:val="left"/>
            </w:pPr>
            <w:r>
              <w:rPr>
                <w:rFonts w:hint="eastAsia"/>
                <w:b w:val="0"/>
                <w:sz w:val="21"/>
              </w:rPr>
              <w:t>2024-08-19</w:t>
            </w:r>
          </w:p>
        </w:tc>
      </w:tr>
      <w:tr>
        <w:trPr>
          <w:cantSplit/>
        </w:trPr>
        <w:tc>
          <w:tcPr>
            <w:tcW w:w="1200" w:type="pct"/>
            <w:vAlign w:val="center"/>
          </w:tcPr>
          <w:p>
            <w:pPr>
              <w:keepNext/>
              <w:jc w:val="center"/>
            </w:pPr>
            <w:r>
              <w:rPr>
                <w:rFonts w:hint="eastAsia"/>
                <w:b w:val="0"/>
                <w:sz w:val="21"/>
              </w:rPr>
              <w:t>注册资本／实缴</w:t>
            </w:r>
          </w:p>
        </w:tc>
        <w:tc>
          <w:tcPr>
            <w:tcW w:w="3800" w:type="pct"/>
            <w:vAlign w:val="center"/>
          </w:tcPr>
          <w:p>
            <w:pPr>
              <w:keepNext/>
              <w:jc w:val="left"/>
            </w:pPr>
            <w:r>
              <w:rPr>
                <w:rFonts w:hint="eastAsia"/>
                <w:b w:val="0"/>
                <w:sz w:val="21"/>
              </w:rPr>
              <w:t>500万元／500万元</w:t>
            </w:r>
          </w:p>
        </w:tc>
      </w:tr>
      <w:tr>
        <w:trPr>
          <w:cantSplit/>
        </w:trPr>
        <w:tc>
          <w:tcPr>
            <w:tcW w:w="1200" w:type="pct"/>
            <w:vAlign w:val="center"/>
          </w:tcPr>
          <w:p>
            <w:pPr>
              <w:keepNext/>
              <w:jc w:val="center"/>
            </w:pPr>
            <w:r>
              <w:rPr>
                <w:rFonts w:hint="eastAsia"/>
                <w:b w:val="0"/>
                <w:sz w:val="21"/>
              </w:rPr>
              <w:t>股东</w:t>
            </w:r>
          </w:p>
        </w:tc>
        <w:tc>
          <w:tcPr>
            <w:tcW w:w="3800" w:type="pct"/>
            <w:vAlign w:val="center"/>
          </w:tcPr>
          <w:p>
            <w:pPr>
              <w:keepNext/>
              <w:jc w:val="left"/>
            </w:pPr>
            <w:r>
              <w:rPr>
                <w:rFonts w:hint="eastAsia"/>
                <w:b w:val="0"/>
                <w:sz w:val="21"/>
              </w:rPr>
              <w:t>苏州往返九霄航空航天科技有限公司，持股100%</w:t>
            </w:r>
          </w:p>
        </w:tc>
      </w:tr>
      <w:tr>
        <w:trPr>
          <w:cantSplit/>
        </w:trPr>
        <w:tc>
          <w:tcPr>
            <w:tcW w:w="1200" w:type="pct"/>
            <w:vAlign w:val="center"/>
          </w:tcPr>
          <w:p>
            <w:pPr>
              <w:keepNext/>
              <w:jc w:val="center"/>
            </w:pPr>
            <w:r>
              <w:rPr>
                <w:rFonts w:hint="eastAsia"/>
                <w:b w:val="0"/>
                <w:sz w:val="21"/>
              </w:rPr>
              <w:t>参保人数</w:t>
            </w:r>
          </w:p>
        </w:tc>
        <w:tc>
          <w:tcPr>
            <w:tcW w:w="3800" w:type="pct"/>
            <w:vAlign w:val="center"/>
          </w:tcPr>
          <w:p>
            <w:pPr>
              <w:keepNext/>
              <w:jc w:val="left"/>
            </w:pPr>
            <w:r>
              <w:rPr>
                <w:rFonts w:hint="eastAsia"/>
                <w:b w:val="0"/>
                <w:sz w:val="21"/>
              </w:rPr>
              <w:t>6人（分支机构12人）</w:t>
            </w:r>
          </w:p>
        </w:tc>
      </w:tr>
      <w:tr>
        <w:trPr>
          <w:cantSplit/>
        </w:trPr>
        <w:tc>
          <w:tcPr>
            <w:tcW w:w="1200" w:type="pct"/>
            <w:vAlign w:val="center"/>
          </w:tcPr>
          <w:p>
            <w:pPr>
              <w:keepNext/>
              <w:jc w:val="center"/>
            </w:pPr>
            <w:r>
              <w:rPr>
                <w:rFonts w:hint="eastAsia"/>
                <w:b w:val="0"/>
                <w:sz w:val="21"/>
              </w:rPr>
              <w:t>融资情况</w:t>
            </w:r>
          </w:p>
        </w:tc>
        <w:tc>
          <w:tcPr>
            <w:tcW w:w="3800" w:type="pct"/>
            <w:vAlign w:val="center"/>
          </w:tcPr>
          <w:p>
            <w:pPr>
              <w:keepNext/>
              <w:jc w:val="left"/>
            </w:pPr>
            <w:r>
              <w:rPr>
                <w:rFonts w:hint="eastAsia"/>
                <w:b w:val="0"/>
                <w:sz w:val="21"/>
              </w:rPr>
              <w:t>该主体无融资记录</w:t>
            </w:r>
          </w:p>
        </w:tc>
      </w:tr>
      <w:tr>
        <w:trPr>
          <w:cantSplit/>
        </w:trPr>
        <w:tc>
          <w:tcPr>
            <w:tcW w:w="1200" w:type="pct"/>
            <w:tcBorders>
              <w:bottom w:val="single" w:sz="12" w:space="0" w:color="010000"/>
            </w:tcBorders>
            <w:vAlign w:val="center"/>
          </w:tcPr>
          <w:p>
            <w:pPr>
              <w:keepNext/>
              <w:jc w:val="center"/>
            </w:pPr>
            <w:r>
              <w:rPr>
                <w:rFonts w:hint="eastAsia"/>
                <w:b w:val="0"/>
                <w:sz w:val="21"/>
              </w:rPr>
              <w:t>知识产权</w:t>
            </w:r>
          </w:p>
        </w:tc>
        <w:tc>
          <w:tcPr>
            <w:tcW w:w="3800" w:type="pct"/>
            <w:tcBorders>
              <w:bottom w:val="single" w:sz="12" w:space="0" w:color="010000"/>
            </w:tcBorders>
            <w:vAlign w:val="center"/>
          </w:tcPr>
          <w:p>
            <w:pPr>
              <w:keepNext/>
              <w:jc w:val="left"/>
            </w:pPr>
            <w:r>
              <w:rPr>
                <w:rFonts w:hint="eastAsia"/>
                <w:b w:val="0"/>
                <w:sz w:val="21"/>
              </w:rPr>
              <w:t>专利20项、软件著作权10项</w:t>
            </w:r>
          </w:p>
        </w:tc>
      </w:tr>
    </w:tbl>
    <w:p>
      <w:pPr>
        <w:pStyle w:val="a4"/>
        <w:jc w:val="center"/>
      </w:pPr>
      <w:r>
        <w:rPr>
          <w:rFonts w:hint="eastAsia"/>
          <w:b w:val="0"/>
          <w:sz w:val="11"/>
        </w:rPr>
        <w:t>资料来源：企查查企业信用报告专业版</w:t>
      </w:r>
    </w:p>
    <w:p>
      <w:pPr>
        <w:pStyle w:val="004"/>
      </w:pPr>
      <w:r>
        <w:rPr>
          <w:rFonts w:hint="eastAsia"/>
          <w:b/>
        </w:rPr>
        <w:t>7、Momentus（同行业公司，美国纳斯达克上市）</w:t>
      </w:r>
    </w:p>
    <w:p>
      <w:pPr>
        <w:pStyle w:val="005"/>
      </w:pPr>
      <w:r>
        <w:rPr>
          <w:rFonts w:hint="eastAsia"/>
          <w:b w:val="0"/>
        </w:rPr>
        <w:t>Momentus与无限宇航的产品形态最为接近，均为轨道转移飞行器整机，且已完成多次在轨任务，其经营数据可用于观察该商业模式的收入实现情况。公司成立于2017年，主要产品为Vigoride系列轨道转移飞行器，2021年8月通过特殊目的收购公司方式在纳斯达克上市，证券代码MNTS。</w:t>
      </w:r>
    </w:p>
    <w:p>
      <w:pPr>
        <w:pStyle w:val="005"/>
      </w:pPr>
      <w:r>
        <w:rPr>
          <w:rFonts w:hint="eastAsia"/>
          <w:b w:val="0"/>
        </w:rPr>
        <w:t>经营状况方面，年报载明2025年度与2024年度收入主要来自美国国防高级研究计划局的NOM4D、BRIDGES项目及太空发展局HALO项目的工程服务。2025年度111.0万美元收入中，90万美元为工程服务收入，20万美元为客户合同到期后没收的定金。2023年度308.9万美元收入中，170万美元来自Vigoride 5与Vigoride 6的客户履约，30万美元为太空发展局工程服务。</w:t>
      </w:r>
    </w:p>
    <w:p>
      <w:pPr>
        <w:pStyle w:val="a4"/>
        <w:keepNext/>
        <w:jc w:val="center"/>
      </w:pPr>
      <w:r>
        <w:rPr>
          <w:rFonts w:hint="eastAsia"/>
          <w:b/>
          <w:sz w:val="21"/>
        </w:rPr>
        <w:t>表12  Momentus融资与资本市场情况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769"/>
        <w:gridCol w:w="2769"/>
        <w:gridCol w:w="2769"/>
      </w:tblGrid>
      <w:tr>
        <w:trPr>
          <w:cantSplit/>
          <w:tblHeader/>
        </w:trPr>
        <w:tc>
          <w:tcPr>
            <w:tcW w:w="800" w:type="pct"/>
            <w:tcBorders>
              <w:top w:val="single" w:sz="12" w:space="0" w:color="010000"/>
              <w:bottom w:val="single" w:sz="4" w:space="0" w:color="010000"/>
            </w:tcBorders>
            <w:vAlign w:val="center"/>
          </w:tcPr>
          <w:p>
            <w:pPr>
              <w:keepNext/>
              <w:jc w:val="center"/>
            </w:pPr>
            <w:r>
              <w:rPr>
                <w:rFonts w:hint="eastAsia"/>
                <w:b/>
                <w:sz w:val="21"/>
              </w:rPr>
              <w:t>时间</w:t>
            </w:r>
          </w:p>
        </w:tc>
        <w:tc>
          <w:tcPr>
            <w:tcW w:w="2700" w:type="pct"/>
            <w:tcBorders>
              <w:top w:val="single" w:sz="12" w:space="0" w:color="010000"/>
              <w:bottom w:val="single" w:sz="4" w:space="0" w:color="010000"/>
            </w:tcBorders>
            <w:vAlign w:val="center"/>
          </w:tcPr>
          <w:p>
            <w:pPr>
              <w:keepNext/>
              <w:jc w:val="center"/>
            </w:pPr>
            <w:r>
              <w:rPr>
                <w:rFonts w:hint="eastAsia"/>
                <w:b/>
                <w:sz w:val="21"/>
              </w:rPr>
              <w:t>事项</w:t>
            </w:r>
          </w:p>
        </w:tc>
        <w:tc>
          <w:tcPr>
            <w:tcW w:w="1500" w:type="pct"/>
            <w:tcBorders>
              <w:top w:val="single" w:sz="12" w:space="0" w:color="010000"/>
              <w:bottom w:val="single" w:sz="4" w:space="0" w:color="010000"/>
            </w:tcBorders>
            <w:vAlign w:val="center"/>
          </w:tcPr>
          <w:p>
            <w:pPr>
              <w:keepNext/>
              <w:jc w:val="center"/>
            </w:pPr>
            <w:r>
              <w:rPr>
                <w:rFonts w:hint="eastAsia"/>
                <w:b/>
                <w:sz w:val="21"/>
              </w:rPr>
              <w:t>金额</w:t>
            </w:r>
          </w:p>
        </w:tc>
      </w:tr>
      <w:tr>
        <w:trPr>
          <w:cantSplit/>
        </w:trPr>
        <w:tc>
          <w:tcPr>
            <w:tcW w:w="800" w:type="pct"/>
            <w:vAlign w:val="center"/>
          </w:tcPr>
          <w:p>
            <w:pPr>
              <w:keepNext/>
              <w:jc w:val="center"/>
            </w:pPr>
            <w:r>
              <w:rPr>
                <w:rFonts w:hint="eastAsia"/>
                <w:b w:val="0"/>
                <w:sz w:val="21"/>
              </w:rPr>
              <w:t>2021年8月</w:t>
            </w:r>
          </w:p>
        </w:tc>
        <w:tc>
          <w:tcPr>
            <w:tcW w:w="2700" w:type="pct"/>
            <w:vAlign w:val="center"/>
          </w:tcPr>
          <w:p>
            <w:pPr>
              <w:keepNext/>
              <w:jc w:val="left"/>
            </w:pPr>
            <w:r>
              <w:rPr>
                <w:rFonts w:hint="eastAsia"/>
                <w:b w:val="0"/>
                <w:sz w:val="21"/>
              </w:rPr>
              <w:t>与Stable Road Acquisition Corp完成SPAC合并，在纳斯达克上市</w:t>
            </w:r>
          </w:p>
        </w:tc>
        <w:tc>
          <w:tcPr>
            <w:tcW w:w="1500" w:type="pct"/>
            <w:vAlign w:val="center"/>
          </w:tcPr>
          <w:p>
            <w:pPr>
              <w:keepNext/>
              <w:jc w:val="left"/>
            </w:pPr>
            <w:r>
              <w:rPr>
                <w:rFonts w:hint="eastAsia"/>
                <w:b w:val="0"/>
                <w:sz w:val="21"/>
              </w:rPr>
              <w:t>—</w:t>
            </w:r>
          </w:p>
        </w:tc>
      </w:tr>
      <w:tr>
        <w:trPr>
          <w:cantSplit/>
        </w:trPr>
        <w:tc>
          <w:tcPr>
            <w:tcW w:w="800" w:type="pct"/>
            <w:tcBorders>
              <w:bottom w:val="single" w:sz="12" w:space="0" w:color="010000"/>
            </w:tcBorders>
            <w:vAlign w:val="center"/>
          </w:tcPr>
          <w:p>
            <w:pPr>
              <w:keepNext/>
              <w:jc w:val="center"/>
            </w:pPr>
            <w:r>
              <w:rPr>
                <w:rFonts w:hint="eastAsia"/>
                <w:b w:val="0"/>
                <w:sz w:val="21"/>
              </w:rPr>
              <w:t>2025年9月</w:t>
            </w:r>
          </w:p>
        </w:tc>
        <w:tc>
          <w:tcPr>
            <w:tcW w:w="2700" w:type="pct"/>
            <w:tcBorders>
              <w:bottom w:val="single" w:sz="12" w:space="0" w:color="010000"/>
            </w:tcBorders>
            <w:vAlign w:val="center"/>
          </w:tcPr>
          <w:p>
            <w:pPr>
              <w:keepNext/>
              <w:jc w:val="left"/>
            </w:pPr>
            <w:r>
              <w:rPr>
                <w:rFonts w:hint="eastAsia"/>
                <w:b w:val="0"/>
                <w:sz w:val="21"/>
              </w:rPr>
              <w:t>发行次级担保可转换债券，年利率8%，转股价19.92美元/股</w:t>
            </w:r>
          </w:p>
        </w:tc>
        <w:tc>
          <w:tcPr>
            <w:tcW w:w="1500" w:type="pct"/>
            <w:tcBorders>
              <w:bottom w:val="single" w:sz="12" w:space="0" w:color="010000"/>
            </w:tcBorders>
            <w:vAlign w:val="center"/>
          </w:tcPr>
          <w:p>
            <w:pPr>
              <w:keepNext/>
              <w:jc w:val="left"/>
            </w:pPr>
            <w:r>
              <w:rPr>
                <w:rFonts w:hint="eastAsia"/>
                <w:b w:val="0"/>
                <w:sz w:val="21"/>
              </w:rPr>
              <w:t>本金160万美元，实际取得约150万美元</w:t>
            </w:r>
          </w:p>
        </w:tc>
      </w:tr>
    </w:tbl>
    <w:p>
      <w:pPr>
        <w:pStyle w:val="a4"/>
        <w:jc w:val="center"/>
      </w:pPr>
      <w:r>
        <w:rPr>
          <w:rFonts w:hint="eastAsia"/>
          <w:b w:val="0"/>
          <w:sz w:val="11"/>
        </w:rPr>
        <w:t>资料来源：Momentus Inc. Form 10-K</w:t>
      </w:r>
    </w:p>
    <w:p>
      <w:pPr>
        <w:pStyle w:val="a4"/>
        <w:keepNext/>
        <w:jc w:val="center"/>
      </w:pPr>
      <w:r>
        <w:rPr>
          <w:rFonts w:hint="eastAsia"/>
          <w:b/>
          <w:sz w:val="21"/>
        </w:rPr>
        <w:t>表13  Momentus财务数据</w:t>
      </w:r>
    </w:p>
    <w:p>
      <w:pPr>
        <w:pStyle w:val="a5"/>
      </w:pPr>
      <w:r>
        <w:rPr>
          <w:rFonts w:hint="eastAsia"/>
          <w:b w:val="0"/>
          <w:sz w:val="21"/>
        </w:rPr>
        <w:t>单位：千美元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950" w:type="pct"/>
            <w:tcBorders>
              <w:top w:val="single" w:sz="12" w:space="0" w:color="010000"/>
              <w:bottom w:val="single" w:sz="4" w:space="0" w:color="010000"/>
            </w:tcBorders>
            <w:vAlign w:val="center"/>
          </w:tcPr>
          <w:p>
            <w:pPr>
              <w:keepNext/>
              <w:jc w:val="center"/>
            </w:pPr>
            <w:r>
              <w:rPr>
                <w:rFonts w:hint="eastAsia"/>
                <w:b/>
                <w:sz w:val="21"/>
              </w:rPr>
              <w:t>2025年度</w:t>
            </w:r>
          </w:p>
        </w:tc>
        <w:tc>
          <w:tcPr>
            <w:tcW w:w="950" w:type="pct"/>
            <w:tcBorders>
              <w:top w:val="single" w:sz="12" w:space="0" w:color="010000"/>
              <w:bottom w:val="single" w:sz="4" w:space="0" w:color="010000"/>
            </w:tcBorders>
            <w:vAlign w:val="center"/>
          </w:tcPr>
          <w:p>
            <w:pPr>
              <w:keepNext/>
              <w:jc w:val="center"/>
            </w:pPr>
            <w:r>
              <w:rPr>
                <w:rFonts w:hint="eastAsia"/>
                <w:b/>
                <w:sz w:val="21"/>
              </w:rPr>
              <w:t>2024年度</w:t>
            </w:r>
          </w:p>
        </w:tc>
        <w:tc>
          <w:tcPr>
            <w:tcW w:w="950" w:type="pct"/>
            <w:tcBorders>
              <w:top w:val="single" w:sz="12" w:space="0" w:color="010000"/>
              <w:bottom w:val="single" w:sz="4" w:space="0" w:color="010000"/>
            </w:tcBorders>
            <w:vAlign w:val="center"/>
          </w:tcPr>
          <w:p>
            <w:pPr>
              <w:keepNext/>
              <w:jc w:val="center"/>
            </w:pPr>
            <w:r>
              <w:rPr>
                <w:rFonts w:hint="eastAsia"/>
                <w:b/>
                <w:sz w:val="21"/>
              </w:rPr>
              <w:t>2023年度</w:t>
            </w:r>
          </w:p>
        </w:tc>
        <w:tc>
          <w:tcPr>
            <w:tcW w:w="950" w:type="pct"/>
            <w:tcBorders>
              <w:top w:val="single" w:sz="12" w:space="0" w:color="010000"/>
              <w:bottom w:val="single" w:sz="4" w:space="0" w:color="010000"/>
            </w:tcBorders>
            <w:vAlign w:val="center"/>
          </w:tcPr>
          <w:p>
            <w:pPr>
              <w:keepNext/>
              <w:jc w:val="center"/>
            </w:pPr>
            <w:r>
              <w:rPr>
                <w:rFonts w:hint="eastAsia"/>
                <w:b/>
                <w:sz w:val="21"/>
              </w:rPr>
              <w:t>2022年度</w:t>
            </w:r>
          </w:p>
        </w:tc>
      </w:tr>
      <w:tr>
        <w:trPr>
          <w:cantSplit/>
        </w:trPr>
        <w:tc>
          <w:tcPr>
            <w:tcW w:w="1200" w:type="pct"/>
            <w:vAlign w:val="center"/>
          </w:tcPr>
          <w:p>
            <w:pPr>
              <w:keepNext/>
              <w:jc w:val="left"/>
            </w:pPr>
            <w:r>
              <w:rPr>
                <w:rFonts w:hint="eastAsia"/>
                <w:b w:val="0"/>
                <w:sz w:val="21"/>
              </w:rPr>
              <w:t>营业收入</w:t>
            </w:r>
          </w:p>
        </w:tc>
        <w:tc>
          <w:tcPr>
            <w:tcW w:w="950" w:type="pct"/>
            <w:vAlign w:val="center"/>
          </w:tcPr>
          <w:p>
            <w:pPr>
              <w:keepNext/>
              <w:jc w:val="center"/>
            </w:pPr>
            <w:r>
              <w:rPr>
                <w:rFonts w:hint="eastAsia"/>
                <w:b w:val="0"/>
                <w:sz w:val="21"/>
              </w:rPr>
              <w:t>1,110</w:t>
            </w:r>
          </w:p>
        </w:tc>
        <w:tc>
          <w:tcPr>
            <w:tcW w:w="950" w:type="pct"/>
            <w:vAlign w:val="center"/>
          </w:tcPr>
          <w:p>
            <w:pPr>
              <w:keepNext/>
              <w:jc w:val="center"/>
            </w:pPr>
            <w:r>
              <w:rPr>
                <w:rFonts w:hint="eastAsia"/>
                <w:b w:val="0"/>
                <w:sz w:val="21"/>
              </w:rPr>
              <w:t>2,114</w:t>
            </w:r>
          </w:p>
        </w:tc>
        <w:tc>
          <w:tcPr>
            <w:tcW w:w="950" w:type="pct"/>
            <w:vAlign w:val="center"/>
          </w:tcPr>
          <w:p>
            <w:pPr>
              <w:keepNext/>
              <w:jc w:val="center"/>
            </w:pPr>
            <w:r>
              <w:rPr>
                <w:rFonts w:hint="eastAsia"/>
                <w:b w:val="0"/>
                <w:sz w:val="21"/>
              </w:rPr>
              <w:t>3,089</w:t>
            </w:r>
          </w:p>
        </w:tc>
        <w:tc>
          <w:tcPr>
            <w:tcW w:w="950" w:type="pct"/>
            <w:vAlign w:val="center"/>
          </w:tcPr>
          <w:p>
            <w:pPr>
              <w:keepNext/>
              <w:jc w:val="center"/>
            </w:pPr>
            <w:r>
              <w:rPr>
                <w:rFonts w:hint="eastAsia"/>
                <w:b w:val="0"/>
                <w:sz w:val="21"/>
              </w:rPr>
              <w:t>299</w:t>
            </w:r>
          </w:p>
        </w:tc>
      </w:tr>
      <w:tr>
        <w:trPr>
          <w:cantSplit/>
        </w:trPr>
        <w:tc>
          <w:tcPr>
            <w:tcW w:w="1200" w:type="pct"/>
            <w:vAlign w:val="center"/>
          </w:tcPr>
          <w:p>
            <w:pPr>
              <w:keepNext/>
              <w:jc w:val="left"/>
            </w:pPr>
            <w:r>
              <w:rPr>
                <w:rFonts w:hint="eastAsia"/>
                <w:b w:val="0"/>
                <w:sz w:val="21"/>
              </w:rPr>
              <w:t>净亏损</w:t>
            </w:r>
          </w:p>
        </w:tc>
        <w:tc>
          <w:tcPr>
            <w:tcW w:w="950" w:type="pct"/>
            <w:vAlign w:val="center"/>
          </w:tcPr>
          <w:p>
            <w:pPr>
              <w:keepNext/>
              <w:jc w:val="center"/>
            </w:pPr>
            <w:r>
              <w:rPr>
                <w:rFonts w:hint="eastAsia"/>
                <w:b w:val="0"/>
                <w:sz w:val="21"/>
              </w:rPr>
              <w:t>(30,468)</w:t>
            </w:r>
          </w:p>
        </w:tc>
        <w:tc>
          <w:tcPr>
            <w:tcW w:w="950" w:type="pct"/>
            <w:vAlign w:val="center"/>
          </w:tcPr>
          <w:p>
            <w:pPr>
              <w:keepNext/>
              <w:jc w:val="center"/>
            </w:pPr>
            <w:r>
              <w:rPr>
                <w:rFonts w:hint="eastAsia"/>
                <w:b w:val="0"/>
                <w:sz w:val="21"/>
              </w:rPr>
              <w:t>(34,946)</w:t>
            </w:r>
          </w:p>
        </w:tc>
        <w:tc>
          <w:tcPr>
            <w:tcW w:w="950" w:type="pct"/>
            <w:vAlign w:val="center"/>
          </w:tcPr>
          <w:p>
            <w:pPr>
              <w:keepNext/>
              <w:jc w:val="center"/>
            </w:pPr>
            <w:r>
              <w:rPr>
                <w:rFonts w:hint="eastAsia"/>
                <w:b w:val="0"/>
                <w:sz w:val="21"/>
              </w:rPr>
              <w:t>(68,920)</w:t>
            </w:r>
          </w:p>
        </w:tc>
        <w:tc>
          <w:tcPr>
            <w:tcW w:w="950" w:type="pct"/>
            <w:vAlign w:val="center"/>
          </w:tcPr>
          <w:p>
            <w:pPr>
              <w:keepNext/>
              <w:jc w:val="center"/>
            </w:pPr>
            <w:r>
              <w:rPr>
                <w:rFonts w:hint="eastAsia"/>
                <w:b w:val="0"/>
                <w:sz w:val="21"/>
              </w:rPr>
              <w:t>(95,444)</w:t>
            </w:r>
          </w:p>
        </w:tc>
      </w:tr>
      <w:tr>
        <w:trPr>
          <w:cantSplit/>
        </w:trPr>
        <w:tc>
          <w:tcPr>
            <w:tcW w:w="1200" w:type="pct"/>
            <w:vAlign w:val="center"/>
          </w:tcPr>
          <w:p>
            <w:pPr>
              <w:keepNext/>
              <w:jc w:val="left"/>
            </w:pPr>
            <w:r>
              <w:rPr>
                <w:rFonts w:hint="eastAsia"/>
                <w:b w:val="0"/>
                <w:sz w:val="21"/>
              </w:rPr>
              <w:t>研发费用</w:t>
            </w:r>
          </w:p>
        </w:tc>
        <w:tc>
          <w:tcPr>
            <w:tcW w:w="950" w:type="pct"/>
            <w:vAlign w:val="center"/>
          </w:tcPr>
          <w:p>
            <w:pPr>
              <w:keepNext/>
              <w:jc w:val="center"/>
            </w:pPr>
            <w:r>
              <w:rPr>
                <w:rFonts w:hint="eastAsia"/>
                <w:b w:val="0"/>
                <w:sz w:val="21"/>
              </w:rPr>
              <w:t>9,190</w:t>
            </w:r>
          </w:p>
        </w:tc>
        <w:tc>
          <w:tcPr>
            <w:tcW w:w="950" w:type="pct"/>
            <w:vAlign w:val="center"/>
          </w:tcPr>
          <w:p>
            <w:pPr>
              <w:keepNext/>
              <w:jc w:val="center"/>
            </w:pPr>
            <w:r>
              <w:rPr>
                <w:rFonts w:hint="eastAsia"/>
                <w:b w:val="0"/>
                <w:sz w:val="21"/>
              </w:rPr>
              <w:t>9,782</w:t>
            </w:r>
          </w:p>
        </w:tc>
        <w:tc>
          <w:tcPr>
            <w:tcW w:w="950" w:type="pct"/>
            <w:vAlign w:val="center"/>
          </w:tcPr>
          <w:p>
            <w:pPr>
              <w:keepNext/>
              <w:jc w:val="center"/>
            </w:pPr>
            <w:r>
              <w:rPr>
                <w:rFonts w:hint="eastAsia"/>
                <w:b w:val="0"/>
                <w:sz w:val="21"/>
              </w:rPr>
              <w:t>34,351</w:t>
            </w:r>
          </w:p>
        </w:tc>
        <w:tc>
          <w:tcPr>
            <w:tcW w:w="950" w:type="pct"/>
            <w:vAlign w:val="center"/>
          </w:tcPr>
          <w:p>
            <w:pPr>
              <w:keepNext/>
              <w:jc w:val="center"/>
            </w:pPr>
            <w:r>
              <w:rPr>
                <w:rFonts w:hint="eastAsia"/>
                <w:b w:val="0"/>
                <w:sz w:val="21"/>
              </w:rPr>
              <w:t>41,721</w:t>
            </w:r>
          </w:p>
        </w:tc>
      </w:tr>
      <w:tr>
        <w:trPr>
          <w:cantSplit/>
        </w:trPr>
        <w:tc>
          <w:tcPr>
            <w:tcW w:w="1200" w:type="pct"/>
            <w:tcBorders>
              <w:bottom w:val="single" w:sz="12" w:space="0" w:color="010000"/>
            </w:tcBorders>
            <w:vAlign w:val="center"/>
          </w:tcPr>
          <w:p>
            <w:pPr>
              <w:keepNext/>
              <w:jc w:val="left"/>
            </w:pPr>
            <w:r>
              <w:rPr>
                <w:rFonts w:hint="eastAsia"/>
                <w:b w:val="0"/>
                <w:sz w:val="21"/>
              </w:rPr>
              <w:t>销售及管理费用</w:t>
            </w:r>
          </w:p>
        </w:tc>
        <w:tc>
          <w:tcPr>
            <w:tcW w:w="950" w:type="pct"/>
            <w:tcBorders>
              <w:bottom w:val="single" w:sz="12" w:space="0" w:color="010000"/>
            </w:tcBorders>
            <w:vAlign w:val="center"/>
          </w:tcPr>
          <w:p>
            <w:pPr>
              <w:keepNext/>
              <w:jc w:val="center"/>
            </w:pPr>
            <w:r>
              <w:rPr>
                <w:rFonts w:hint="eastAsia"/>
                <w:b w:val="0"/>
                <w:sz w:val="21"/>
              </w:rPr>
              <w:t>19,173</w:t>
            </w:r>
          </w:p>
        </w:tc>
        <w:tc>
          <w:tcPr>
            <w:tcW w:w="950" w:type="pct"/>
            <w:tcBorders>
              <w:bottom w:val="single" w:sz="12" w:space="0" w:color="010000"/>
            </w:tcBorders>
            <w:vAlign w:val="center"/>
          </w:tcPr>
          <w:p>
            <w:pPr>
              <w:keepNext/>
              <w:jc w:val="center"/>
            </w:pPr>
            <w:r>
              <w:rPr>
                <w:rFonts w:hint="eastAsia"/>
                <w:b w:val="0"/>
                <w:sz w:val="21"/>
              </w:rPr>
              <w:t>21,949</w:t>
            </w:r>
          </w:p>
        </w:tc>
        <w:tc>
          <w:tcPr>
            <w:tcW w:w="950" w:type="pct"/>
            <w:tcBorders>
              <w:bottom w:val="single" w:sz="12" w:space="0" w:color="010000"/>
            </w:tcBorders>
            <w:vAlign w:val="center"/>
          </w:tcPr>
          <w:p>
            <w:pPr>
              <w:keepNext/>
              <w:jc w:val="center"/>
            </w:pPr>
            <w:r>
              <w:rPr>
                <w:rFonts w:hint="eastAsia"/>
                <w:b w:val="0"/>
                <w:sz w:val="21"/>
              </w:rPr>
              <w:t>36,055</w:t>
            </w:r>
          </w:p>
        </w:tc>
        <w:tc>
          <w:tcPr>
            <w:tcW w:w="950" w:type="pct"/>
            <w:tcBorders>
              <w:bottom w:val="single" w:sz="12" w:space="0" w:color="010000"/>
            </w:tcBorders>
            <w:vAlign w:val="center"/>
          </w:tcPr>
          <w:p>
            <w:pPr>
              <w:keepNext/>
              <w:jc w:val="center"/>
            </w:pPr>
            <w:r>
              <w:rPr>
                <w:rFonts w:hint="eastAsia"/>
                <w:b w:val="0"/>
                <w:sz w:val="21"/>
              </w:rPr>
              <w:t>49,827</w:t>
            </w:r>
          </w:p>
        </w:tc>
      </w:tr>
    </w:tbl>
    <w:p>
      <w:pPr>
        <w:pStyle w:val="a4"/>
        <w:jc w:val="center"/>
      </w:pPr>
      <w:r>
        <w:rPr>
          <w:rFonts w:hint="eastAsia"/>
          <w:b w:val="0"/>
          <w:sz w:val="11"/>
        </w:rPr>
        <w:t>资料来源：Momentus Inc. Form 10-K（FY2025、FY2023），经审计合并利润表</w:t>
      </w:r>
    </w:p>
    <w:p>
      <w:pPr>
        <w:pStyle w:val="005"/>
      </w:pPr>
      <w:r>
        <w:rPr>
          <w:rFonts w:hint="eastAsia"/>
          <w:b w:val="0"/>
        </w:rPr>
        <w:t>公司2022年至2025年累计净亏损2.30亿美元。研发费用由2022年的4172.1万美元降至2025年的919.0万美元，降幅78%；销售及管理费用同期由4982.7万美元降至1917.3万美元。营业收入2023年见顶后连续两年下滑。</w:t>
      </w:r>
    </w:p>
    <w:p>
      <w:pPr>
        <w:pStyle w:val="004"/>
      </w:pPr>
      <w:r>
        <w:rPr>
          <w:rFonts w:hint="eastAsia"/>
          <w:b/>
        </w:rPr>
        <w:t>8、Astroscale（同行业公司，日本东京证券交易所上市）</w:t>
      </w:r>
    </w:p>
    <w:p>
      <w:pPr>
        <w:pStyle w:val="005"/>
      </w:pPr>
      <w:r>
        <w:rPr>
          <w:rFonts w:hint="eastAsia"/>
          <w:b w:val="0"/>
        </w:rPr>
        <w:t>Astroscale与无限宇航规划的在轨维修、加注、碎片清理三条延伸业务对应，是该方向上唯一的上市公司，其收入结构可用于观察这三条业务的付费主体。公司成立于2013年，以空间碎片清理起家，业务延伸至在轨延寿与在轨加注，2024年6月在东京证券交易所成长市场上市，证券代码186A。公司会计年度为每年5月1日至次年4月30日。</w:t>
      </w:r>
    </w:p>
    <w:p>
      <w:pPr>
        <w:pStyle w:val="005"/>
      </w:pPr>
      <w:r>
        <w:rPr>
          <w:rFonts w:hint="eastAsia"/>
          <w:b w:val="0"/>
        </w:rPr>
        <w:t>经营状况方面，公司与日本宇宙航空研究开发机构、英国航天局、美国太空军签署总额上亿美元合同，其中美国太空军在轨加注合同金额2550万美元。2026年1月，公司与法国Exotrail建立战略合作，同年4月签订卫星离轨任务开发合同。</w:t>
      </w:r>
    </w:p>
    <w:p>
      <w:pPr>
        <w:pStyle w:val="a4"/>
        <w:keepNext/>
        <w:jc w:val="center"/>
      </w:pPr>
      <w:r>
        <w:rPr>
          <w:rFonts w:hint="eastAsia"/>
          <w:b/>
          <w:sz w:val="21"/>
        </w:rPr>
        <w:t>表14  Astroscale融资与资本市场情况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4153"/>
        <w:gridCol w:w="4153"/>
      </w:tblGrid>
      <w:tr>
        <w:trPr>
          <w:cantSplit/>
          <w:tblHeader/>
        </w:trPr>
        <w:tc>
          <w:tcPr>
            <w:tcW w:w="1100" w:type="pct"/>
            <w:tcBorders>
              <w:top w:val="single" w:sz="12" w:space="0" w:color="010000"/>
              <w:bottom w:val="single" w:sz="4" w:space="0" w:color="010000"/>
            </w:tcBorders>
            <w:vAlign w:val="center"/>
          </w:tcPr>
          <w:p>
            <w:pPr>
              <w:keepNext/>
              <w:jc w:val="center"/>
            </w:pPr>
            <w:r>
              <w:rPr>
                <w:rFonts w:hint="eastAsia"/>
                <w:b/>
                <w:sz w:val="21"/>
              </w:rPr>
              <w:t>时间</w:t>
            </w:r>
          </w:p>
        </w:tc>
        <w:tc>
          <w:tcPr>
            <w:tcW w:w="3900" w:type="pct"/>
            <w:tcBorders>
              <w:top w:val="single" w:sz="12" w:space="0" w:color="010000"/>
              <w:bottom w:val="single" w:sz="4" w:space="0" w:color="010000"/>
            </w:tcBorders>
            <w:vAlign w:val="center"/>
          </w:tcPr>
          <w:p>
            <w:pPr>
              <w:keepNext/>
              <w:jc w:val="center"/>
            </w:pPr>
            <w:r>
              <w:rPr>
                <w:rFonts w:hint="eastAsia"/>
                <w:b/>
                <w:sz w:val="21"/>
              </w:rPr>
              <w:t>事项</w:t>
            </w:r>
          </w:p>
        </w:tc>
      </w:tr>
      <w:tr>
        <w:trPr>
          <w:cantSplit/>
        </w:trPr>
        <w:tc>
          <w:tcPr>
            <w:tcW w:w="1100" w:type="pct"/>
            <w:vAlign w:val="center"/>
          </w:tcPr>
          <w:p>
            <w:pPr>
              <w:keepNext/>
              <w:jc w:val="center"/>
            </w:pPr>
            <w:r>
              <w:rPr>
                <w:rFonts w:hint="eastAsia"/>
                <w:b w:val="0"/>
                <w:sz w:val="21"/>
              </w:rPr>
              <w:t>上市前</w:t>
            </w:r>
          </w:p>
        </w:tc>
        <w:tc>
          <w:tcPr>
            <w:tcW w:w="3900" w:type="pct"/>
            <w:vAlign w:val="center"/>
          </w:tcPr>
          <w:p>
            <w:pPr>
              <w:keepNext/>
              <w:jc w:val="left"/>
            </w:pPr>
            <w:r>
              <w:rPr>
                <w:rFonts w:hint="eastAsia"/>
                <w:b w:val="0"/>
                <w:sz w:val="21"/>
              </w:rPr>
              <w:t>完成A种至G种优先股多轮融资</w:t>
            </w:r>
          </w:p>
        </w:tc>
      </w:tr>
      <w:tr>
        <w:trPr>
          <w:cantSplit/>
        </w:trPr>
        <w:tc>
          <w:tcPr>
            <w:tcW w:w="1100" w:type="pct"/>
            <w:vAlign w:val="center"/>
          </w:tcPr>
          <w:p>
            <w:pPr>
              <w:keepNext/>
              <w:jc w:val="center"/>
            </w:pPr>
            <w:r>
              <w:rPr>
                <w:rFonts w:hint="eastAsia"/>
                <w:b w:val="0"/>
                <w:sz w:val="21"/>
              </w:rPr>
              <w:t>2024年6月</w:t>
            </w:r>
          </w:p>
        </w:tc>
        <w:tc>
          <w:tcPr>
            <w:tcW w:w="3900" w:type="pct"/>
            <w:vAlign w:val="center"/>
          </w:tcPr>
          <w:p>
            <w:pPr>
              <w:keepNext/>
              <w:jc w:val="left"/>
            </w:pPr>
            <w:r>
              <w:rPr>
                <w:rFonts w:hint="eastAsia"/>
                <w:b w:val="0"/>
                <w:sz w:val="21"/>
              </w:rPr>
              <w:t>在东京证券交易所成长市场上市，公开发行募集资金</w:t>
            </w:r>
          </w:p>
        </w:tc>
      </w:tr>
      <w:tr>
        <w:trPr>
          <w:cantSplit/>
        </w:trPr>
        <w:tc>
          <w:tcPr>
            <w:tcW w:w="1100" w:type="pct"/>
            <w:vAlign w:val="center"/>
          </w:tcPr>
          <w:p>
            <w:pPr>
              <w:keepNext/>
              <w:jc w:val="center"/>
            </w:pPr>
            <w:r>
              <w:rPr>
                <w:rFonts w:hint="eastAsia"/>
                <w:b w:val="0"/>
                <w:sz w:val="21"/>
              </w:rPr>
              <w:t>2025年5月</w:t>
            </w:r>
          </w:p>
        </w:tc>
        <w:tc>
          <w:tcPr>
            <w:tcW w:w="3900" w:type="pct"/>
            <w:vAlign w:val="center"/>
          </w:tcPr>
          <w:p>
            <w:pPr>
              <w:keepNext/>
              <w:jc w:val="left"/>
            </w:pPr>
            <w:r>
              <w:rPr>
                <w:rFonts w:hint="eastAsia"/>
                <w:b w:val="0"/>
                <w:sz w:val="21"/>
              </w:rPr>
              <w:t>实施海外公开发行</w:t>
            </w:r>
          </w:p>
        </w:tc>
      </w:tr>
      <w:tr>
        <w:trPr>
          <w:cantSplit/>
        </w:trPr>
        <w:tc>
          <w:tcPr>
            <w:tcW w:w="1100" w:type="pct"/>
            <w:tcBorders>
              <w:bottom w:val="single" w:sz="12" w:space="0" w:color="010000"/>
            </w:tcBorders>
            <w:vAlign w:val="center"/>
          </w:tcPr>
          <w:p>
            <w:pPr>
              <w:keepNext/>
              <w:jc w:val="center"/>
            </w:pPr>
            <w:r>
              <w:rPr>
                <w:rFonts w:hint="eastAsia"/>
                <w:b w:val="0"/>
                <w:sz w:val="21"/>
              </w:rPr>
              <w:t>2026年5月</w:t>
            </w:r>
          </w:p>
        </w:tc>
        <w:tc>
          <w:tcPr>
            <w:tcW w:w="3900" w:type="pct"/>
            <w:tcBorders>
              <w:bottom w:val="single" w:sz="12" w:space="0" w:color="010000"/>
            </w:tcBorders>
            <w:vAlign w:val="center"/>
          </w:tcPr>
          <w:p>
            <w:pPr>
              <w:keepNext/>
              <w:jc w:val="left"/>
            </w:pPr>
            <w:r>
              <w:rPr>
                <w:rFonts w:hint="eastAsia"/>
                <w:b w:val="0"/>
                <w:sz w:val="21"/>
              </w:rPr>
              <w:t>实施海外一般募集及第三方配售</w:t>
            </w:r>
          </w:p>
        </w:tc>
      </w:tr>
    </w:tbl>
    <w:p>
      <w:pPr>
        <w:pStyle w:val="a4"/>
        <w:jc w:val="center"/>
      </w:pPr>
      <w:r>
        <w:rPr>
          <w:rFonts w:hint="eastAsia"/>
          <w:b w:val="0"/>
          <w:sz w:val="11"/>
        </w:rPr>
        <w:t>资料来源：Astroscale Holdings Inc. 有価証券報告書</w:t>
      </w:r>
    </w:p>
    <w:p>
      <w:pPr>
        <w:pStyle w:val="a4"/>
        <w:keepNext/>
        <w:jc w:val="center"/>
      </w:pPr>
      <w:r>
        <w:rPr>
          <w:rFonts w:hint="eastAsia"/>
          <w:b/>
          <w:sz w:val="21"/>
        </w:rPr>
        <w:t>表15  Astroscale财务数据</w:t>
      </w:r>
    </w:p>
    <w:p>
      <w:pPr>
        <w:pStyle w:val="a5"/>
      </w:pPr>
      <w:r>
        <w:rPr>
          <w:rFonts w:hint="eastAsia"/>
          <w:b w:val="0"/>
          <w:sz w:val="21"/>
        </w:rPr>
        <w:t>单位：千日元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950" w:type="pct"/>
            <w:tcBorders>
              <w:top w:val="single" w:sz="12" w:space="0" w:color="010000"/>
              <w:bottom w:val="single" w:sz="4" w:space="0" w:color="010000"/>
            </w:tcBorders>
            <w:vAlign w:val="center"/>
          </w:tcPr>
          <w:p>
            <w:pPr>
              <w:keepNext/>
              <w:jc w:val="center"/>
            </w:pPr>
            <w:r>
              <w:rPr>
                <w:rFonts w:hint="eastAsia"/>
                <w:b/>
                <w:sz w:val="21"/>
              </w:rPr>
              <w:t>2026年4月期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2025年4月期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2024年4月期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2023年4月期</w:t>
            </w:r>
          </w:p>
        </w:tc>
      </w:tr>
      <w:tr>
        <w:trPr>
          <w:cantSplit/>
        </w:trPr>
        <w:tc>
          <w:tcPr>
            <w:tcW w:w="1200" w:type="pct"/>
            <w:vAlign w:val="center"/>
          </w:tcPr>
          <w:p>
            <w:pPr>
              <w:keepNext/>
              <w:jc w:val="left"/>
            </w:pPr>
            <w:r>
              <w:rPr>
                <w:rFonts w:hint="eastAsia"/>
                <w:b w:val="0"/>
                <w:sz w:val="21"/>
              </w:rPr>
              <w:t>营业收入</w:t>
            </w:r>
          </w:p>
        </w:tc>
        <w:tc>
          <w:tcPr>
            <w:tcW w:w="950" w:type="pct"/>
            <w:vAlign w:val="center"/>
          </w:tcPr>
          <w:p>
            <w:pPr>
              <w:keepNext/>
              <w:jc w:val="center"/>
            </w:pPr>
            <w:r>
              <w:rPr>
                <w:rFonts w:hint="eastAsia"/>
                <w:b w:val="0"/>
                <w:sz w:val="21"/>
              </w:rPr>
              <w:t>5,940,615</w:t>
            </w:r>
          </w:p>
        </w:tc>
        <w:tc>
          <w:tcPr>
            <w:tcW w:w="950" w:type="pct"/>
            <w:vAlign w:val="center"/>
          </w:tcPr>
          <w:p>
            <w:pPr>
              <w:keepNext/>
              <w:jc w:val="center"/>
            </w:pPr>
            <w:r>
              <w:rPr>
                <w:rFonts w:hint="eastAsia"/>
                <w:b w:val="0"/>
                <w:sz w:val="21"/>
              </w:rPr>
              <w:t>2,456,956</w:t>
            </w:r>
          </w:p>
        </w:tc>
        <w:tc>
          <w:tcPr>
            <w:tcW w:w="950" w:type="pct"/>
            <w:vAlign w:val="center"/>
          </w:tcPr>
          <w:p>
            <w:pPr>
              <w:keepNext/>
              <w:jc w:val="center"/>
            </w:pPr>
            <w:r>
              <w:rPr>
                <w:rFonts w:hint="eastAsia"/>
                <w:b w:val="0"/>
                <w:sz w:val="21"/>
              </w:rPr>
              <w:t>2,852,561</w:t>
            </w:r>
          </w:p>
        </w:tc>
        <w:tc>
          <w:tcPr>
            <w:tcW w:w="950" w:type="pct"/>
            <w:vAlign w:val="center"/>
          </w:tcPr>
          <w:p>
            <w:pPr>
              <w:keepNext/>
              <w:jc w:val="center"/>
            </w:pPr>
            <w:r>
              <w:rPr>
                <w:rFonts w:hint="eastAsia"/>
                <w:b w:val="0"/>
                <w:sz w:val="21"/>
              </w:rPr>
              <w:t>1,792,991</w:t>
            </w:r>
          </w:p>
        </w:tc>
      </w:tr>
      <w:tr>
        <w:trPr>
          <w:cantSplit/>
        </w:trPr>
        <w:tc>
          <w:tcPr>
            <w:tcW w:w="1200" w:type="pct"/>
            <w:vAlign w:val="center"/>
          </w:tcPr>
          <w:p>
            <w:pPr>
              <w:keepNext/>
              <w:jc w:val="left"/>
            </w:pPr>
            <w:r>
              <w:rPr>
                <w:rFonts w:hint="eastAsia"/>
                <w:b w:val="0"/>
                <w:sz w:val="21"/>
              </w:rPr>
              <w:t>归母净亏损</w:t>
            </w:r>
          </w:p>
        </w:tc>
        <w:tc>
          <w:tcPr>
            <w:tcW w:w="950" w:type="pct"/>
            <w:vAlign w:val="center"/>
          </w:tcPr>
          <w:p>
            <w:pPr>
              <w:keepNext/>
              <w:jc w:val="center"/>
            </w:pPr>
            <w:r>
              <w:rPr>
                <w:rFonts w:hint="eastAsia"/>
                <w:b w:val="0"/>
                <w:sz w:val="21"/>
              </w:rPr>
              <w:t>(7,114,985)</w:t>
            </w:r>
          </w:p>
        </w:tc>
        <w:tc>
          <w:tcPr>
            <w:tcW w:w="950" w:type="pct"/>
            <w:vAlign w:val="center"/>
          </w:tcPr>
          <w:p>
            <w:pPr>
              <w:keepNext/>
              <w:jc w:val="center"/>
            </w:pPr>
            <w:r>
              <w:rPr>
                <w:rFonts w:hint="eastAsia"/>
                <w:b w:val="0"/>
                <w:sz w:val="21"/>
              </w:rPr>
              <w:t>(21,551,603)</w:t>
            </w:r>
          </w:p>
        </w:tc>
        <w:tc>
          <w:tcPr>
            <w:tcW w:w="950" w:type="pct"/>
            <w:vAlign w:val="center"/>
          </w:tcPr>
          <w:p>
            <w:pPr>
              <w:keepNext/>
              <w:jc w:val="center"/>
            </w:pPr>
            <w:r>
              <w:rPr>
                <w:rFonts w:hint="eastAsia"/>
                <w:b w:val="0"/>
                <w:sz w:val="21"/>
              </w:rPr>
              <w:t>(9,181,329)</w:t>
            </w:r>
          </w:p>
        </w:tc>
        <w:tc>
          <w:tcPr>
            <w:tcW w:w="950" w:type="pct"/>
            <w:vAlign w:val="center"/>
          </w:tcPr>
          <w:p>
            <w:pPr>
              <w:keepNext/>
              <w:jc w:val="center"/>
            </w:pPr>
            <w:r>
              <w:rPr>
                <w:rFonts w:hint="eastAsia"/>
                <w:b w:val="0"/>
                <w:sz w:val="21"/>
              </w:rPr>
              <w:t>(9,264,266)</w:t>
            </w:r>
          </w:p>
        </w:tc>
      </w:tr>
      <w:tr>
        <w:trPr>
          <w:cantSplit/>
        </w:trPr>
        <w:tc>
          <w:tcPr>
            <w:tcW w:w="1200" w:type="pct"/>
            <w:vAlign w:val="center"/>
          </w:tcPr>
          <w:p>
            <w:pPr>
              <w:keepNext/>
              <w:jc w:val="left"/>
            </w:pPr>
            <w:r>
              <w:rPr>
                <w:rFonts w:hint="eastAsia"/>
                <w:b w:val="0"/>
                <w:sz w:val="21"/>
              </w:rPr>
              <w:t>研发费用</w:t>
            </w:r>
          </w:p>
        </w:tc>
        <w:tc>
          <w:tcPr>
            <w:tcW w:w="950" w:type="pct"/>
            <w:vAlign w:val="center"/>
          </w:tcPr>
          <w:p>
            <w:pPr>
              <w:keepNext/>
              <w:jc w:val="center"/>
            </w:pPr>
            <w:r>
              <w:rPr>
                <w:rFonts w:hint="eastAsia"/>
                <w:b w:val="0"/>
                <w:sz w:val="21"/>
              </w:rPr>
              <w:t>7,533,569</w:t>
            </w:r>
          </w:p>
        </w:tc>
        <w:tc>
          <w:tcPr>
            <w:tcW w:w="950" w:type="pct"/>
            <w:vAlign w:val="center"/>
          </w:tcPr>
          <w:p>
            <w:pPr>
              <w:keepNext/>
              <w:jc w:val="center"/>
            </w:pPr>
            <w:r>
              <w:rPr>
                <w:rFonts w:hint="eastAsia"/>
                <w:b w:val="0"/>
                <w:sz w:val="21"/>
              </w:rPr>
              <w:t>10,923,701</w:t>
            </w:r>
          </w:p>
        </w:tc>
        <w:tc>
          <w:tcPr>
            <w:tcW w:w="950" w:type="pct"/>
            <w:vAlign w:val="center"/>
          </w:tcPr>
          <w:p>
            <w:pPr>
              <w:keepNext/>
              <w:jc w:val="center"/>
            </w:pPr>
            <w:r>
              <w:rPr>
                <w:rFonts w:hint="eastAsia"/>
                <w:b w:val="0"/>
                <w:sz w:val="21"/>
              </w:rPr>
              <w:t>5,001,878</w:t>
            </w:r>
          </w:p>
        </w:tc>
        <w:tc>
          <w:tcPr>
            <w:tcW w:w="950" w:type="pct"/>
            <w:vAlign w:val="center"/>
          </w:tcPr>
          <w:p>
            <w:pPr>
              <w:keepNext/>
              <w:jc w:val="center"/>
            </w:pPr>
            <w:r>
              <w:rPr>
                <w:rFonts w:hint="eastAsia"/>
                <w:b w:val="0"/>
                <w:sz w:val="21"/>
              </w:rPr>
              <w:t>2,861,203</w:t>
            </w:r>
          </w:p>
        </w:tc>
      </w:tr>
      <w:tr>
        <w:trPr>
          <w:cantSplit/>
        </w:trPr>
        <w:tc>
          <w:tcPr>
            <w:tcW w:w="1200" w:type="pct"/>
            <w:tcBorders>
              <w:bottom w:val="single" w:sz="12" w:space="0" w:color="010000"/>
            </w:tcBorders>
            <w:vAlign w:val="center"/>
          </w:tcPr>
          <w:p>
            <w:pPr>
              <w:keepNext/>
              <w:jc w:val="left"/>
            </w:pPr>
            <w:r>
              <w:rPr>
                <w:rFonts w:hint="eastAsia"/>
                <w:b w:val="0"/>
                <w:sz w:val="21"/>
              </w:rPr>
              <w:t>员工人数（人）</w:t>
            </w:r>
          </w:p>
        </w:tc>
        <w:tc>
          <w:tcPr>
            <w:tcW w:w="950" w:type="pct"/>
            <w:tcBorders>
              <w:bottom w:val="single" w:sz="12" w:space="0" w:color="010000"/>
            </w:tcBorders>
            <w:vAlign w:val="center"/>
          </w:tcPr>
          <w:p>
            <w:pPr>
              <w:keepNext/>
              <w:jc w:val="center"/>
            </w:pPr>
            <w:r>
              <w:rPr>
                <w:rFonts w:hint="eastAsia"/>
                <w:b w:val="0"/>
                <w:sz w:val="21"/>
              </w:rPr>
              <w:t>593</w:t>
            </w:r>
          </w:p>
        </w:tc>
        <w:tc>
          <w:tcPr>
            <w:tcW w:w="950" w:type="pct"/>
            <w:tcBorders>
              <w:bottom w:val="single" w:sz="12" w:space="0" w:color="010000"/>
            </w:tcBorders>
            <w:vAlign w:val="center"/>
          </w:tcPr>
          <w:p>
            <w:pPr>
              <w:keepNext/>
              <w:jc w:val="center"/>
            </w:pPr>
            <w:r>
              <w:rPr>
                <w:rFonts w:hint="eastAsia"/>
                <w:b w:val="0"/>
                <w:sz w:val="21"/>
              </w:rPr>
              <w:t>577</w:t>
            </w:r>
          </w:p>
        </w:tc>
        <w:tc>
          <w:tcPr>
            <w:tcW w:w="950" w:type="pct"/>
            <w:tcBorders>
              <w:bottom w:val="single" w:sz="12" w:space="0" w:color="010000"/>
            </w:tcBorders>
            <w:vAlign w:val="center"/>
          </w:tcPr>
          <w:p>
            <w:pPr>
              <w:keepNext/>
              <w:jc w:val="center"/>
            </w:pPr>
            <w:r>
              <w:rPr>
                <w:rFonts w:hint="eastAsia"/>
                <w:b w:val="0"/>
                <w:sz w:val="21"/>
              </w:rPr>
              <w:t>494</w:t>
            </w:r>
          </w:p>
        </w:tc>
        <w:tc>
          <w:tcPr>
            <w:tcW w:w="950" w:type="pct"/>
            <w:tcBorders>
              <w:bottom w:val="single" w:sz="12" w:space="0" w:color="010000"/>
            </w:tcBorders>
            <w:vAlign w:val="center"/>
          </w:tcPr>
          <w:p>
            <w:pPr>
              <w:keepNext/>
              <w:jc w:val="center"/>
            </w:pPr>
            <w:r>
              <w:rPr>
                <w:rFonts w:hint="eastAsia"/>
                <w:b w:val="0"/>
                <w:sz w:val="21"/>
              </w:rPr>
              <w:t>394</w:t>
            </w:r>
          </w:p>
        </w:tc>
      </w:tr>
    </w:tbl>
    <w:p>
      <w:pPr>
        <w:pStyle w:val="a4"/>
        <w:jc w:val="center"/>
      </w:pPr>
      <w:r>
        <w:rPr>
          <w:rFonts w:hint="eastAsia"/>
          <w:b w:val="0"/>
          <w:sz w:val="11"/>
        </w:rPr>
        <w:t>资料来源：Astroscale Holdings Inc. 有価証券報告書（第八期、第六期），国际财务报告准则合并数据</w:t>
      </w:r>
    </w:p>
    <w:p>
      <w:pPr>
        <w:pStyle w:val="005"/>
      </w:pPr>
      <w:r>
        <w:rPr>
          <w:rFonts w:hint="eastAsia"/>
          <w:b w:val="0"/>
        </w:rPr>
        <w:t>最新会计年度营业收入59.41亿日元，同比增长141.8%；归母净亏损71.15亿日元，较上一年度的215.52亿日元大幅收窄。四个年度中，研发费用均高于营业收入，倍数区间为1.3倍至4.4倍。</w:t>
      </w:r>
    </w:p>
    <w:p>
      <w:pPr>
        <w:pStyle w:val="005"/>
      </w:pPr>
      <w:r>
        <w:rPr>
          <w:rFonts w:hint="eastAsia"/>
          <w:b w:val="0"/>
        </w:rPr>
        <w:t>研发费用口径需注意两点。其一，公司自2026年4月期起将延寿服务卫星首发星LEXI-P的开发费用资本化，计入费用的研发额较上一年度下降，为会计处理变化。其二，2026年4月期研发费用75.34亿日元中，68.93亿日元为政府补助金项目的开发费用，2.58亿日元为未接单的先行开发费用，3.83亿日元为其他自主研发费用。</w:t>
      </w:r>
    </w:p>
    <w:p>
      <w:pPr>
        <w:pStyle w:val="004"/>
      </w:pPr>
      <w:r>
        <w:rPr>
          <w:rFonts w:hint="eastAsia"/>
          <w:b/>
        </w:rPr>
        <w:t>9、D-Orbit（同行业公司，意大利，未上市）</w:t>
      </w:r>
    </w:p>
    <w:p>
      <w:pPr>
        <w:pStyle w:val="005"/>
      </w:pPr>
      <w:r>
        <w:rPr>
          <w:rFonts w:hint="eastAsia"/>
          <w:b w:val="0"/>
        </w:rPr>
        <w:t>D-Orbit的业务模式与无限宇航的太空巴士一致，均为批量采购火箭拼车席位后提供在轨分发服务，是该模式下全球任务次数最多、收入规模最大的公司。</w:t>
      </w:r>
    </w:p>
    <w:p>
      <w:pPr>
        <w:pStyle w:val="005"/>
      </w:pPr>
      <w:r>
        <w:rPr>
          <w:rFonts w:hint="eastAsia"/>
          <w:b w:val="0"/>
        </w:rPr>
        <w:t>产品方面，核心产品ION飞行器采用模块化、可堆叠设计，可适配不同火箭载荷接口和卫星类型，深度绑定SpaceX的Transporter拼车任务。经营状况方面，截至2026年4月，公司已执行22次轨道运输任务，累计部署141颗卫星、79台托管载荷。公司披露其服务可使卫星发射成本降低约40%，从发射到在轨运行的时间缩短85%。2025年，公司与意大利Planetek集团合并。</w:t>
      </w:r>
    </w:p>
    <w:p>
      <w:pPr>
        <w:pStyle w:val="a4"/>
        <w:keepNext/>
        <w:jc w:val="center"/>
      </w:pPr>
      <w:r>
        <w:rPr>
          <w:rFonts w:hint="eastAsia"/>
          <w:b/>
          <w:sz w:val="21"/>
        </w:rPr>
        <w:t>表16  D-Orbit融资情况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600" w:type="pct"/>
            <w:tcBorders>
              <w:top w:val="single" w:sz="12" w:space="0" w:color="010000"/>
              <w:bottom w:val="single" w:sz="4" w:space="0" w:color="010000"/>
            </w:tcBorders>
            <w:vAlign w:val="center"/>
          </w:tcPr>
          <w:p>
            <w:pPr>
              <w:keepNext/>
              <w:jc w:val="center"/>
            </w:pPr>
            <w:r>
              <w:rPr>
                <w:rFonts w:hint="eastAsia"/>
                <w:b/>
                <w:sz w:val="21"/>
              </w:rPr>
              <w:t>轮次</w:t>
            </w:r>
          </w:p>
        </w:tc>
        <w:tc>
          <w:tcPr>
            <w:tcW w:w="700" w:type="pct"/>
            <w:tcBorders>
              <w:top w:val="single" w:sz="12" w:space="0" w:color="010000"/>
              <w:bottom w:val="single" w:sz="4" w:space="0" w:color="010000"/>
            </w:tcBorders>
            <w:vAlign w:val="center"/>
          </w:tcPr>
          <w:p>
            <w:pPr>
              <w:keepNext/>
              <w:jc w:val="center"/>
            </w:pPr>
            <w:r>
              <w:rPr>
                <w:rFonts w:hint="eastAsia"/>
                <w:b/>
                <w:sz w:val="21"/>
              </w:rPr>
              <w:t>时间</w:t>
            </w:r>
          </w:p>
        </w:tc>
        <w:tc>
          <w:tcPr>
            <w:tcW w:w="2400" w:type="pct"/>
            <w:tcBorders>
              <w:top w:val="single" w:sz="12" w:space="0" w:color="010000"/>
              <w:bottom w:val="single" w:sz="4" w:space="0" w:color="010000"/>
            </w:tcBorders>
            <w:vAlign w:val="center"/>
          </w:tcPr>
          <w:p>
            <w:pPr>
              <w:keepNext/>
              <w:jc w:val="center"/>
            </w:pPr>
            <w:r>
              <w:rPr>
                <w:rFonts w:hint="eastAsia"/>
                <w:b/>
                <w:sz w:val="21"/>
              </w:rPr>
              <w:t>融资金额</w:t>
            </w:r>
          </w:p>
        </w:tc>
        <w:tc>
          <w:tcPr>
            <w:tcW w:w="1300" w:type="pct"/>
            <w:tcBorders>
              <w:top w:val="single" w:sz="12" w:space="0" w:color="010000"/>
              <w:bottom w:val="single" w:sz="4" w:space="0" w:color="010000"/>
            </w:tcBorders>
            <w:vAlign w:val="center"/>
          </w:tcPr>
          <w:p>
            <w:pPr>
              <w:keepNext/>
              <w:jc w:val="center"/>
            </w:pPr>
            <w:r>
              <w:rPr>
                <w:rFonts w:hint="eastAsia"/>
                <w:b/>
                <w:sz w:val="21"/>
              </w:rPr>
              <w:t>投资方</w:t>
            </w:r>
          </w:p>
        </w:tc>
      </w:tr>
      <w:tr>
        <w:trPr>
          <w:cantSplit/>
        </w:trPr>
        <w:tc>
          <w:tcPr>
            <w:tcW w:w="600" w:type="pct"/>
            <w:vAlign w:val="center"/>
          </w:tcPr>
          <w:p>
            <w:pPr>
              <w:keepNext/>
              <w:jc w:val="center"/>
            </w:pPr>
            <w:r>
              <w:rPr>
                <w:rFonts w:hint="eastAsia"/>
                <w:b w:val="0"/>
                <w:sz w:val="21"/>
              </w:rPr>
              <w:t>C轮</w:t>
            </w:r>
          </w:p>
        </w:tc>
        <w:tc>
          <w:tcPr>
            <w:tcW w:w="700" w:type="pct"/>
            <w:vAlign w:val="center"/>
          </w:tcPr>
          <w:p>
            <w:pPr>
              <w:keepNext/>
              <w:jc w:val="center"/>
            </w:pPr>
            <w:r>
              <w:rPr>
                <w:rFonts w:hint="eastAsia"/>
                <w:b w:val="0"/>
                <w:sz w:val="21"/>
              </w:rPr>
              <w:t>2024年</w:t>
            </w:r>
          </w:p>
        </w:tc>
        <w:tc>
          <w:tcPr>
            <w:tcW w:w="2400" w:type="pct"/>
            <w:vAlign w:val="center"/>
          </w:tcPr>
          <w:p>
            <w:pPr>
              <w:keepNext/>
              <w:jc w:val="left"/>
            </w:pPr>
            <w:r>
              <w:rPr>
                <w:rFonts w:hint="eastAsia"/>
                <w:b w:val="0"/>
                <w:sz w:val="21"/>
              </w:rPr>
              <w:t>1.68亿美元</w:t>
            </w:r>
          </w:p>
        </w:tc>
        <w:tc>
          <w:tcPr>
            <w:tcW w:w="1300" w:type="pct"/>
            <w:vAlign w:val="center"/>
          </w:tcPr>
          <w:p>
            <w:pPr>
              <w:keepNext/>
              <w:jc w:val="left"/>
            </w:pPr>
            <w:r>
              <w:rPr>
                <w:rFonts w:hint="eastAsia"/>
                <w:b w:val="0"/>
                <w:sz w:val="21"/>
              </w:rPr>
              <w:t>未披露</w:t>
            </w:r>
          </w:p>
        </w:tc>
      </w:tr>
      <w:tr>
        <w:trPr>
          <w:cantSplit/>
        </w:trPr>
        <w:tc>
          <w:tcPr>
            <w:tcW w:w="600" w:type="pct"/>
            <w:tcBorders>
              <w:bottom w:val="single" w:sz="12" w:space="0" w:color="010000"/>
            </w:tcBorders>
            <w:vAlign w:val="center"/>
          </w:tcPr>
          <w:p>
            <w:pPr>
              <w:keepNext/>
              <w:jc w:val="center"/>
            </w:pPr>
            <w:r>
              <w:rPr>
                <w:rFonts w:hint="eastAsia"/>
                <w:b w:val="0"/>
                <w:sz w:val="21"/>
              </w:rPr>
              <w:t>D轮首笔</w:t>
            </w:r>
          </w:p>
        </w:tc>
        <w:tc>
          <w:tcPr>
            <w:tcW w:w="700" w:type="pct"/>
            <w:tcBorders>
              <w:bottom w:val="single" w:sz="12" w:space="0" w:color="010000"/>
            </w:tcBorders>
            <w:vAlign w:val="center"/>
          </w:tcPr>
          <w:p>
            <w:pPr>
              <w:keepNext/>
              <w:jc w:val="center"/>
            </w:pPr>
            <w:r>
              <w:rPr>
                <w:rFonts w:hint="eastAsia"/>
                <w:b w:val="0"/>
                <w:sz w:val="21"/>
              </w:rPr>
              <w:t>2026年1月</w:t>
            </w:r>
          </w:p>
        </w:tc>
        <w:tc>
          <w:tcPr>
            <w:tcW w:w="2400" w:type="pct"/>
            <w:tcBorders>
              <w:bottom w:val="single" w:sz="12" w:space="0" w:color="010000"/>
            </w:tcBorders>
            <w:vAlign w:val="center"/>
          </w:tcPr>
          <w:p>
            <w:pPr>
              <w:keepNext/>
              <w:jc w:val="left"/>
            </w:pPr>
            <w:r>
              <w:rPr>
                <w:rFonts w:hint="eastAsia"/>
                <w:b w:val="0"/>
                <w:sz w:val="21"/>
              </w:rPr>
              <w:t>1.28亿美元（其中5300万美元为新增融资，7500万美元为受让老股）</w:t>
            </w:r>
          </w:p>
        </w:tc>
        <w:tc>
          <w:tcPr>
            <w:tcW w:w="1300" w:type="pct"/>
            <w:tcBorders>
              <w:bottom w:val="single" w:sz="12" w:space="0" w:color="010000"/>
            </w:tcBorders>
            <w:vAlign w:val="center"/>
          </w:tcPr>
          <w:p>
            <w:pPr>
              <w:keepNext/>
              <w:jc w:val="left"/>
            </w:pPr>
            <w:r>
              <w:rPr>
                <w:rFonts w:hint="eastAsia"/>
                <w:b w:val="0"/>
                <w:sz w:val="21"/>
              </w:rPr>
              <w:t>意大利Azimut集团</w:t>
            </w:r>
          </w:p>
        </w:tc>
      </w:tr>
    </w:tbl>
    <w:p>
      <w:pPr>
        <w:pStyle w:val="a4"/>
        <w:jc w:val="center"/>
      </w:pPr>
      <w:r>
        <w:rPr>
          <w:rFonts w:hint="eastAsia"/>
          <w:b w:val="0"/>
          <w:sz w:val="11"/>
        </w:rPr>
        <w:t>资料来源：公开报道</w:t>
      </w:r>
    </w:p>
    <w:p>
      <w:pPr>
        <w:pStyle w:val="005"/>
      </w:pPr>
      <w:r>
        <w:rPr>
          <w:rFonts w:hint="eastAsia"/>
          <w:b w:val="0"/>
        </w:rPr>
        <w:t>累计融资金额各来源口径不一致：公司资料口径为3.3亿美元，PitchBook口径为4.08亿美元，CB Insights口径为3.0984亿美元。三者统计范围与截止时点不同，此处并列列示，未作合并或取平均。</w:t>
      </w:r>
    </w:p>
    <w:p>
      <w:pPr>
        <w:pStyle w:val="a4"/>
        <w:keepNext/>
        <w:jc w:val="center"/>
      </w:pPr>
      <w:r>
        <w:rPr>
          <w:rFonts w:hint="eastAsia"/>
          <w:b/>
          <w:sz w:val="21"/>
        </w:rPr>
        <w:t>表17  D-Orbit经营数据</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1400" w:type="pct"/>
            <w:tcBorders>
              <w:top w:val="single" w:sz="12" w:space="0" w:color="010000"/>
              <w:bottom w:val="single" w:sz="4" w:space="0" w:color="010000"/>
            </w:tcBorders>
            <w:vAlign w:val="center"/>
          </w:tcPr>
          <w:p>
            <w:pPr>
              <w:keepNext/>
              <w:jc w:val="center"/>
            </w:pPr>
            <w:r>
              <w:rPr>
                <w:rFonts w:hint="eastAsia"/>
                <w:b/>
                <w:sz w:val="21"/>
              </w:rPr>
              <w:t>项目</w:t>
            </w:r>
          </w:p>
        </w:tc>
        <w:tc>
          <w:tcPr>
            <w:tcW w:w="1300" w:type="pct"/>
            <w:tcBorders>
              <w:top w:val="single" w:sz="12" w:space="0" w:color="010000"/>
              <w:bottom w:val="single" w:sz="4" w:space="0" w:color="010000"/>
            </w:tcBorders>
            <w:vAlign w:val="center"/>
          </w:tcPr>
          <w:p>
            <w:pPr>
              <w:keepNext/>
              <w:jc w:val="center"/>
            </w:pPr>
            <w:r>
              <w:rPr>
                <w:rFonts w:hint="eastAsia"/>
                <w:b/>
                <w:sz w:val="21"/>
              </w:rPr>
              <w:t>2024年</w:t>
            </w:r>
          </w:p>
        </w:tc>
        <w:tc>
          <w:tcPr>
            <w:tcW w:w="1200" w:type="pct"/>
            <w:tcBorders>
              <w:top w:val="single" w:sz="12" w:space="0" w:color="010000"/>
              <w:bottom w:val="single" w:sz="4" w:space="0" w:color="010000"/>
            </w:tcBorders>
            <w:vAlign w:val="center"/>
          </w:tcPr>
          <w:p>
            <w:pPr>
              <w:keepNext/>
              <w:jc w:val="center"/>
            </w:pPr>
            <w:r>
              <w:rPr>
                <w:rFonts w:hint="eastAsia"/>
                <w:b/>
                <w:sz w:val="21"/>
              </w:rPr>
              <w:t>2020年</w:t>
            </w:r>
          </w:p>
        </w:tc>
        <w:tc>
          <w:tcPr>
            <w:tcW w:w="1100" w:type="pct"/>
            <w:tcBorders>
              <w:top w:val="single" w:sz="12" w:space="0" w:color="010000"/>
              <w:bottom w:val="single" w:sz="4" w:space="0" w:color="010000"/>
            </w:tcBorders>
            <w:vAlign w:val="center"/>
          </w:tcPr>
          <w:p>
            <w:pPr>
              <w:keepNext/>
              <w:jc w:val="center"/>
            </w:pPr>
            <w:r>
              <w:rPr>
                <w:rFonts w:hint="eastAsia"/>
                <w:b/>
                <w:sz w:val="21"/>
              </w:rPr>
              <w:t>年复合增长率</w:t>
            </w:r>
          </w:p>
        </w:tc>
      </w:tr>
      <w:tr>
        <w:trPr>
          <w:cantSplit/>
        </w:trPr>
        <w:tc>
          <w:tcPr>
            <w:tcW w:w="1400" w:type="pct"/>
            <w:vAlign w:val="center"/>
          </w:tcPr>
          <w:p>
            <w:pPr>
              <w:keepNext/>
              <w:jc w:val="left"/>
            </w:pPr>
            <w:r>
              <w:rPr>
                <w:rFonts w:hint="eastAsia"/>
                <w:b w:val="0"/>
                <w:sz w:val="21"/>
              </w:rPr>
              <w:t>营业收入</w:t>
            </w:r>
          </w:p>
        </w:tc>
        <w:tc>
          <w:tcPr>
            <w:tcW w:w="1300" w:type="pct"/>
            <w:vAlign w:val="center"/>
          </w:tcPr>
          <w:p>
            <w:pPr>
              <w:keepNext/>
              <w:jc w:val="center"/>
            </w:pPr>
            <w:r>
              <w:rPr>
                <w:rFonts w:hint="eastAsia"/>
                <w:b w:val="0"/>
                <w:sz w:val="21"/>
              </w:rPr>
              <w:t>1963万美元</w:t>
            </w:r>
          </w:p>
        </w:tc>
        <w:tc>
          <w:tcPr>
            <w:tcW w:w="1200" w:type="pct"/>
            <w:vAlign w:val="center"/>
          </w:tcPr>
          <w:p>
            <w:pPr>
              <w:keepNext/>
              <w:jc w:val="center"/>
            </w:pPr>
            <w:r>
              <w:rPr>
                <w:rFonts w:hint="eastAsia"/>
                <w:b w:val="0"/>
                <w:sz w:val="21"/>
              </w:rPr>
              <w:t>123万美元</w:t>
            </w:r>
          </w:p>
        </w:tc>
        <w:tc>
          <w:tcPr>
            <w:tcW w:w="1100" w:type="pct"/>
            <w:vAlign w:val="center"/>
          </w:tcPr>
          <w:p>
            <w:pPr>
              <w:keepNext/>
              <w:jc w:val="center"/>
            </w:pPr>
            <w:r>
              <w:rPr>
                <w:rFonts w:hint="eastAsia"/>
                <w:b w:val="0"/>
                <w:sz w:val="21"/>
              </w:rPr>
              <w:t>99.9%</w:t>
            </w:r>
          </w:p>
        </w:tc>
      </w:tr>
      <w:tr>
        <w:trPr>
          <w:cantSplit/>
        </w:trPr>
        <w:tc>
          <w:tcPr>
            <w:tcW w:w="1400" w:type="pct"/>
            <w:vAlign w:val="center"/>
          </w:tcPr>
          <w:p>
            <w:pPr>
              <w:keepNext/>
              <w:jc w:val="left"/>
            </w:pPr>
            <w:r>
              <w:rPr>
                <w:rFonts w:hint="eastAsia"/>
                <w:b w:val="0"/>
                <w:sz w:val="21"/>
              </w:rPr>
              <w:t>累计任务次数</w:t>
            </w:r>
          </w:p>
        </w:tc>
        <w:tc>
          <w:tcPr>
            <w:tcW w:w="1300" w:type="pct"/>
            <w:vAlign w:val="center"/>
          </w:tcPr>
          <w:p>
            <w:pPr>
              <w:keepNext/>
              <w:jc w:val="center"/>
            </w:pPr>
            <w:r>
              <w:rPr>
                <w:rFonts w:hint="eastAsia"/>
                <w:b w:val="0"/>
                <w:sz w:val="21"/>
              </w:rPr>
              <w:t>22次（截至2026年4月）</w:t>
            </w:r>
          </w:p>
        </w:tc>
        <w:tc>
          <w:tcPr>
            <w:tcW w:w="1200" w:type="pct"/>
            <w:vAlign w:val="center"/>
          </w:tcPr>
          <w:p>
            <w:pPr>
              <w:keepNext/>
              <w:jc w:val="center"/>
            </w:pPr>
            <w:r>
              <w:rPr>
                <w:rFonts w:hint="eastAsia"/>
                <w:b w:val="0"/>
                <w:sz w:val="21"/>
              </w:rPr>
              <w:t>—</w:t>
            </w:r>
          </w:p>
        </w:tc>
        <w:tc>
          <w:tcPr>
            <w:tcW w:w="1100" w:type="pct"/>
            <w:vAlign w:val="center"/>
          </w:tcPr>
          <w:p>
            <w:pPr>
              <w:keepNext/>
              <w:jc w:val="center"/>
            </w:pPr>
            <w:r>
              <w:rPr>
                <w:rFonts w:hint="eastAsia"/>
                <w:b w:val="0"/>
                <w:sz w:val="21"/>
              </w:rPr>
              <w:t>—</w:t>
            </w:r>
          </w:p>
        </w:tc>
      </w:tr>
      <w:tr>
        <w:trPr>
          <w:cantSplit/>
        </w:trPr>
        <w:tc>
          <w:tcPr>
            <w:tcW w:w="1400" w:type="pct"/>
            <w:tcBorders>
              <w:bottom w:val="single" w:sz="12" w:space="0" w:color="010000"/>
            </w:tcBorders>
            <w:vAlign w:val="center"/>
          </w:tcPr>
          <w:p>
            <w:pPr>
              <w:keepNext/>
              <w:jc w:val="left"/>
            </w:pPr>
            <w:r>
              <w:rPr>
                <w:rFonts w:hint="eastAsia"/>
                <w:b w:val="0"/>
                <w:sz w:val="21"/>
              </w:rPr>
              <w:t>累计部署卫星</w:t>
            </w:r>
          </w:p>
        </w:tc>
        <w:tc>
          <w:tcPr>
            <w:tcW w:w="1300" w:type="pct"/>
            <w:tcBorders>
              <w:bottom w:val="single" w:sz="12" w:space="0" w:color="010000"/>
            </w:tcBorders>
            <w:vAlign w:val="center"/>
          </w:tcPr>
          <w:p>
            <w:pPr>
              <w:keepNext/>
              <w:jc w:val="center"/>
            </w:pPr>
            <w:r>
              <w:rPr>
                <w:rFonts w:hint="eastAsia"/>
                <w:b w:val="0"/>
                <w:sz w:val="21"/>
              </w:rPr>
              <w:t>141颗（截至2026年4月）</w:t>
            </w:r>
          </w:p>
        </w:tc>
        <w:tc>
          <w:tcPr>
            <w:tcW w:w="1200" w:type="pct"/>
            <w:tcBorders>
              <w:bottom w:val="single" w:sz="12" w:space="0" w:color="010000"/>
            </w:tcBorders>
            <w:vAlign w:val="center"/>
          </w:tcPr>
          <w:p>
            <w:pPr>
              <w:keepNext/>
              <w:jc w:val="center"/>
            </w:pPr>
            <w:r>
              <w:rPr>
                <w:rFonts w:hint="eastAsia"/>
                <w:b w:val="0"/>
                <w:sz w:val="21"/>
              </w:rPr>
              <w:t>—</w:t>
            </w:r>
          </w:p>
        </w:tc>
        <w:tc>
          <w:tcPr>
            <w:tcW w:w="1100" w:type="pct"/>
            <w:tcBorders>
              <w:bottom w:val="single" w:sz="12" w:space="0" w:color="010000"/>
            </w:tcBorders>
            <w:vAlign w:val="center"/>
          </w:tcPr>
          <w:p>
            <w:pPr>
              <w:keepNext/>
              <w:jc w:val="center"/>
            </w:pPr>
            <w:r>
              <w:rPr>
                <w:rFonts w:hint="eastAsia"/>
                <w:b w:val="0"/>
                <w:sz w:val="21"/>
              </w:rPr>
              <w:t>—</w:t>
            </w:r>
          </w:p>
        </w:tc>
      </w:tr>
    </w:tbl>
    <w:p>
      <w:pPr>
        <w:pStyle w:val="a4"/>
        <w:jc w:val="center"/>
      </w:pPr>
      <w:r>
        <w:rPr>
          <w:rFonts w:hint="eastAsia"/>
          <w:b w:val="0"/>
          <w:sz w:val="11"/>
        </w:rPr>
        <w:t>资料来源：公开报道，未经审计</w:t>
      </w:r>
    </w:p>
    <w:p>
      <w:pPr>
        <w:pStyle w:val="004"/>
      </w:pPr>
      <w:r>
        <w:rPr>
          <w:rFonts w:hint="eastAsia"/>
          <w:b/>
        </w:rPr>
        <w:t>10、Impulse Space（同行业公司，美国，未上市）</w:t>
      </w:r>
    </w:p>
    <w:p>
      <w:pPr>
        <w:pStyle w:val="005"/>
      </w:pPr>
      <w:r>
        <w:rPr>
          <w:rFonts w:hint="eastAsia"/>
          <w:b w:val="0"/>
        </w:rPr>
        <w:t>Impulse Space与无限宇航同为化学推进技术路线，是该路线上估值最高的公司。公司由SpaceX创始成员汤姆·穆勒创立。</w:t>
      </w:r>
    </w:p>
    <w:p>
      <w:pPr>
        <w:pStyle w:val="005"/>
      </w:pPr>
      <w:r>
        <w:rPr>
          <w:rFonts w:hint="eastAsia"/>
          <w:b w:val="0"/>
        </w:rPr>
        <w:t>产品方面，其Helios飞行器为高能上面级与轨道转移飞行器的融合产品，可在24小时之内将多个载荷从近地轨道送至地球静止轨道。经营状况方面，公司于2023年首飞，截至2025年11月完成3次飞行任务，订单规模2亿美元。</w:t>
      </w:r>
    </w:p>
    <w:p>
      <w:pPr>
        <w:pStyle w:val="a4"/>
        <w:keepNext/>
        <w:jc w:val="center"/>
      </w:pPr>
      <w:r>
        <w:rPr>
          <w:rFonts w:hint="eastAsia"/>
          <w:b/>
          <w:sz w:val="21"/>
        </w:rPr>
        <w:t>表18  Impulse Space融资情况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00" w:type="pct"/>
            <w:tcBorders>
              <w:top w:val="single" w:sz="12" w:space="0" w:color="010000"/>
              <w:bottom w:val="single" w:sz="4" w:space="0" w:color="010000"/>
            </w:tcBorders>
            <w:vAlign w:val="center"/>
          </w:tcPr>
          <w:p>
            <w:pPr>
              <w:keepNext/>
              <w:jc w:val="center"/>
            </w:pPr>
            <w:r>
              <w:rPr>
                <w:rFonts w:hint="eastAsia"/>
                <w:b/>
                <w:sz w:val="21"/>
              </w:rPr>
              <w:t>轮次</w:t>
            </w:r>
          </w:p>
        </w:tc>
        <w:tc>
          <w:tcPr>
            <w:tcW w:w="1000" w:type="pct"/>
            <w:tcBorders>
              <w:top w:val="single" w:sz="12" w:space="0" w:color="010000"/>
              <w:bottom w:val="single" w:sz="4" w:space="0" w:color="010000"/>
            </w:tcBorders>
            <w:vAlign w:val="center"/>
          </w:tcPr>
          <w:p>
            <w:pPr>
              <w:keepNext/>
              <w:jc w:val="center"/>
            </w:pPr>
            <w:r>
              <w:rPr>
                <w:rFonts w:hint="eastAsia"/>
                <w:b/>
                <w:sz w:val="21"/>
              </w:rPr>
              <w:t>时间</w:t>
            </w:r>
          </w:p>
        </w:tc>
        <w:tc>
          <w:tcPr>
            <w:tcW w:w="1600" w:type="pct"/>
            <w:tcBorders>
              <w:top w:val="single" w:sz="12" w:space="0" w:color="010000"/>
              <w:bottom w:val="single" w:sz="4" w:space="0" w:color="010000"/>
            </w:tcBorders>
            <w:vAlign w:val="center"/>
          </w:tcPr>
          <w:p>
            <w:pPr>
              <w:keepNext/>
              <w:jc w:val="center"/>
            </w:pPr>
            <w:r>
              <w:rPr>
                <w:rFonts w:hint="eastAsia"/>
                <w:b/>
                <w:sz w:val="21"/>
              </w:rPr>
              <w:t>融资金额</w:t>
            </w:r>
          </w:p>
        </w:tc>
        <w:tc>
          <w:tcPr>
            <w:tcW w:w="1600" w:type="pct"/>
            <w:tcBorders>
              <w:top w:val="single" w:sz="12" w:space="0" w:color="010000"/>
              <w:bottom w:val="single" w:sz="4" w:space="0" w:color="010000"/>
            </w:tcBorders>
            <w:vAlign w:val="center"/>
          </w:tcPr>
          <w:p>
            <w:pPr>
              <w:keepNext/>
              <w:jc w:val="center"/>
            </w:pPr>
            <w:r>
              <w:rPr>
                <w:rFonts w:hint="eastAsia"/>
                <w:b/>
                <w:sz w:val="21"/>
              </w:rPr>
              <w:t>投后估值</w:t>
            </w:r>
          </w:p>
        </w:tc>
      </w:tr>
      <w:tr>
        <w:trPr>
          <w:cantSplit/>
        </w:trPr>
        <w:tc>
          <w:tcPr>
            <w:tcW w:w="800" w:type="pct"/>
            <w:tcBorders>
              <w:bottom w:val="single" w:sz="12" w:space="0" w:color="010000"/>
            </w:tcBorders>
            <w:vAlign w:val="center"/>
          </w:tcPr>
          <w:p>
            <w:pPr>
              <w:keepNext/>
              <w:jc w:val="center"/>
            </w:pPr>
            <w:r>
              <w:rPr>
                <w:rFonts w:hint="eastAsia"/>
                <w:b w:val="0"/>
                <w:sz w:val="21"/>
              </w:rPr>
              <w:t>D轮</w:t>
            </w:r>
          </w:p>
        </w:tc>
        <w:tc>
          <w:tcPr>
            <w:tcW w:w="1000" w:type="pct"/>
            <w:tcBorders>
              <w:bottom w:val="single" w:sz="12" w:space="0" w:color="010000"/>
            </w:tcBorders>
            <w:vAlign w:val="center"/>
          </w:tcPr>
          <w:p>
            <w:pPr>
              <w:keepNext/>
              <w:jc w:val="center"/>
            </w:pPr>
            <w:r>
              <w:rPr>
                <w:rFonts w:hint="eastAsia"/>
                <w:b w:val="0"/>
                <w:sz w:val="21"/>
              </w:rPr>
              <w:t>2026年</w:t>
            </w:r>
          </w:p>
        </w:tc>
        <w:tc>
          <w:tcPr>
            <w:tcW w:w="1600" w:type="pct"/>
            <w:tcBorders>
              <w:bottom w:val="single" w:sz="12" w:space="0" w:color="010000"/>
            </w:tcBorders>
            <w:vAlign w:val="center"/>
          </w:tcPr>
          <w:p>
            <w:pPr>
              <w:keepNext/>
              <w:jc w:val="center"/>
            </w:pPr>
            <w:r>
              <w:rPr>
                <w:rFonts w:hint="eastAsia"/>
                <w:b w:val="0"/>
                <w:sz w:val="21"/>
              </w:rPr>
              <w:t>5亿美元</w:t>
            </w:r>
          </w:p>
        </w:tc>
        <w:tc>
          <w:tcPr>
            <w:tcW w:w="1600" w:type="pct"/>
            <w:tcBorders>
              <w:bottom w:val="single" w:sz="12" w:space="0" w:color="010000"/>
            </w:tcBorders>
            <w:vAlign w:val="center"/>
          </w:tcPr>
          <w:p>
            <w:pPr>
              <w:keepNext/>
              <w:jc w:val="center"/>
            </w:pPr>
            <w:r>
              <w:rPr>
                <w:rFonts w:hint="eastAsia"/>
                <w:b w:val="0"/>
                <w:sz w:val="21"/>
              </w:rPr>
              <w:t>42.6亿美元</w:t>
            </w:r>
          </w:p>
        </w:tc>
      </w:tr>
    </w:tbl>
    <w:p>
      <w:pPr>
        <w:pStyle w:val="a4"/>
        <w:jc w:val="center"/>
      </w:pPr>
      <w:r>
        <w:rPr>
          <w:rFonts w:hint="eastAsia"/>
          <w:b w:val="0"/>
          <w:sz w:val="11"/>
        </w:rPr>
        <w:t>资料来源：公开报道</w:t>
      </w:r>
    </w:p>
    <w:p>
      <w:pPr>
        <w:pStyle w:val="004"/>
      </w:pPr>
      <w:r>
        <w:rPr>
          <w:rFonts w:hint="eastAsia"/>
          <w:b/>
        </w:rPr>
        <w:t>附：无限宇航融资与注册资本变更情况</w:t>
      </w:r>
    </w:p>
    <w:p>
      <w:pPr>
        <w:pStyle w:val="005"/>
      </w:pPr>
      <w:r>
        <w:rPr>
          <w:rFonts w:hint="eastAsia"/>
          <w:b w:val="0"/>
        </w:rPr>
        <w:t>北京无限宇航科技有限公司工商登记成立日期为2019年3月20日，曾用名北京尚享煦航科技有限公司。2023年3月31日，李健入股并出任法定代表人，公司同日完成名称变更，经营范围变更为火箭发动机研发与制造、火箭控制系统研发、微小卫星生产制造等。公司注册资本739.6027万元，实缴270.672733万元，2025年报参保人数21人。注册地址于2024年12月18日由北京经济技术开发区变更至北京市海淀区。</w:t>
      </w:r>
    </w:p>
    <w:p>
      <w:pPr>
        <w:pStyle w:val="a4"/>
        <w:keepNext/>
        <w:jc w:val="center"/>
      </w:pPr>
      <w:r>
        <w:rPr>
          <w:rFonts w:hint="eastAsia"/>
          <w:b/>
          <w:sz w:val="21"/>
        </w:rPr>
        <w:t>表19  无限宇航融资情况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550" w:type="pct"/>
            <w:tcBorders>
              <w:top w:val="single" w:sz="12" w:space="0" w:color="010000"/>
              <w:bottom w:val="single" w:sz="4" w:space="0" w:color="010000"/>
            </w:tcBorders>
            <w:vAlign w:val="center"/>
          </w:tcPr>
          <w:p>
            <w:pPr>
              <w:keepNext/>
              <w:jc w:val="center"/>
            </w:pPr>
            <w:r>
              <w:rPr>
                <w:rFonts w:hint="eastAsia"/>
                <w:b/>
                <w:sz w:val="21"/>
              </w:rPr>
              <w:t>轮次</w:t>
            </w:r>
          </w:p>
        </w:tc>
        <w:tc>
          <w:tcPr>
            <w:tcW w:w="700" w:type="pct"/>
            <w:tcBorders>
              <w:top w:val="single" w:sz="12" w:space="0" w:color="010000"/>
              <w:bottom w:val="single" w:sz="4" w:space="0" w:color="010000"/>
            </w:tcBorders>
            <w:vAlign w:val="center"/>
          </w:tcPr>
          <w:p>
            <w:pPr>
              <w:keepNext/>
              <w:jc w:val="center"/>
            </w:pPr>
            <w:r>
              <w:rPr>
                <w:rFonts w:hint="eastAsia"/>
                <w:b/>
                <w:sz w:val="21"/>
              </w:rPr>
              <w:t>时间</w:t>
            </w:r>
          </w:p>
        </w:tc>
        <w:tc>
          <w:tcPr>
            <w:tcW w:w="850" w:type="pct"/>
            <w:tcBorders>
              <w:top w:val="single" w:sz="12" w:space="0" w:color="010000"/>
              <w:bottom w:val="single" w:sz="4" w:space="0" w:color="010000"/>
            </w:tcBorders>
            <w:vAlign w:val="center"/>
          </w:tcPr>
          <w:p>
            <w:pPr>
              <w:keepNext/>
              <w:jc w:val="center"/>
            </w:pPr>
            <w:r>
              <w:rPr>
                <w:rFonts w:hint="eastAsia"/>
                <w:b/>
                <w:sz w:val="21"/>
              </w:rPr>
              <w:t>融资金额</w:t>
            </w:r>
          </w:p>
        </w:tc>
        <w:tc>
          <w:tcPr>
            <w:tcW w:w="2900" w:type="pct"/>
            <w:tcBorders>
              <w:top w:val="single" w:sz="12" w:space="0" w:color="010000"/>
              <w:bottom w:val="single" w:sz="4" w:space="0" w:color="010000"/>
            </w:tcBorders>
            <w:vAlign w:val="center"/>
          </w:tcPr>
          <w:p>
            <w:pPr>
              <w:keepNext/>
              <w:jc w:val="center"/>
            </w:pPr>
            <w:r>
              <w:rPr>
                <w:rFonts w:hint="eastAsia"/>
                <w:b/>
                <w:sz w:val="21"/>
              </w:rPr>
              <w:t>投资方</w:t>
            </w:r>
          </w:p>
        </w:tc>
      </w:tr>
      <w:tr>
        <w:trPr>
          <w:cantSplit/>
        </w:trPr>
        <w:tc>
          <w:tcPr>
            <w:tcW w:w="550" w:type="pct"/>
            <w:vAlign w:val="center"/>
          </w:tcPr>
          <w:p>
            <w:pPr>
              <w:keepNext/>
              <w:jc w:val="center"/>
            </w:pPr>
            <w:r>
              <w:rPr>
                <w:rFonts w:hint="eastAsia"/>
                <w:b w:val="0"/>
                <w:sz w:val="21"/>
              </w:rPr>
              <w:t>股权转让</w:t>
            </w:r>
          </w:p>
        </w:tc>
        <w:tc>
          <w:tcPr>
            <w:tcW w:w="700" w:type="pct"/>
            <w:vAlign w:val="center"/>
          </w:tcPr>
          <w:p>
            <w:pPr>
              <w:keepNext/>
              <w:jc w:val="center"/>
            </w:pPr>
            <w:r>
              <w:rPr>
                <w:rFonts w:hint="eastAsia"/>
                <w:b w:val="0"/>
                <w:sz w:val="21"/>
              </w:rPr>
              <w:t>2024-12-18</w:t>
            </w:r>
          </w:p>
        </w:tc>
        <w:tc>
          <w:tcPr>
            <w:tcW w:w="850" w:type="pct"/>
            <w:vAlign w:val="center"/>
          </w:tcPr>
          <w:p>
            <w:pPr>
              <w:keepNext/>
              <w:jc w:val="center"/>
            </w:pPr>
            <w:r>
              <w:rPr>
                <w:rFonts w:hint="eastAsia"/>
                <w:b w:val="0"/>
                <w:sz w:val="21"/>
              </w:rPr>
              <w:t>未披露（交易股权4.76%）</w:t>
            </w:r>
          </w:p>
        </w:tc>
        <w:tc>
          <w:tcPr>
            <w:tcW w:w="2900" w:type="pct"/>
            <w:vAlign w:val="center"/>
          </w:tcPr>
          <w:p>
            <w:pPr>
              <w:keepNext/>
              <w:jc w:val="left"/>
            </w:pPr>
            <w:r>
              <w:rPr>
                <w:rFonts w:hint="eastAsia"/>
                <w:b w:val="0"/>
                <w:sz w:val="21"/>
              </w:rPr>
              <w:t>广州市溪航科技（溪山天使会）</w:t>
            </w:r>
          </w:p>
        </w:tc>
      </w:tr>
      <w:tr>
        <w:trPr>
          <w:cantSplit/>
        </w:trPr>
        <w:tc>
          <w:tcPr>
            <w:tcW w:w="550" w:type="pct"/>
            <w:vAlign w:val="center"/>
          </w:tcPr>
          <w:p>
            <w:pPr>
              <w:keepNext/>
              <w:jc w:val="center"/>
            </w:pPr>
            <w:r>
              <w:rPr>
                <w:rFonts w:hint="eastAsia"/>
                <w:b w:val="0"/>
                <w:sz w:val="21"/>
              </w:rPr>
              <w:t>天使轮</w:t>
            </w:r>
          </w:p>
        </w:tc>
        <w:tc>
          <w:tcPr>
            <w:tcW w:w="700" w:type="pct"/>
            <w:vAlign w:val="center"/>
          </w:tcPr>
          <w:p>
            <w:pPr>
              <w:keepNext/>
              <w:jc w:val="center"/>
            </w:pPr>
            <w:r>
              <w:rPr>
                <w:rFonts w:hint="eastAsia"/>
                <w:b w:val="0"/>
                <w:sz w:val="21"/>
              </w:rPr>
              <w:t>2025-03-21</w:t>
            </w:r>
          </w:p>
        </w:tc>
        <w:tc>
          <w:tcPr>
            <w:tcW w:w="850" w:type="pct"/>
            <w:vAlign w:val="center"/>
          </w:tcPr>
          <w:p>
            <w:pPr>
              <w:keepNext/>
              <w:jc w:val="center"/>
            </w:pPr>
            <w:r>
              <w:rPr>
                <w:rFonts w:hint="eastAsia"/>
                <w:b w:val="0"/>
                <w:sz w:val="21"/>
              </w:rPr>
              <w:t>数千万元</w:t>
            </w:r>
          </w:p>
        </w:tc>
        <w:tc>
          <w:tcPr>
            <w:tcW w:w="2900" w:type="pct"/>
            <w:vAlign w:val="center"/>
          </w:tcPr>
          <w:p>
            <w:pPr>
              <w:keepNext/>
              <w:jc w:val="left"/>
            </w:pPr>
            <w:r>
              <w:rPr>
                <w:rFonts w:hint="eastAsia"/>
                <w:b w:val="0"/>
                <w:sz w:val="21"/>
              </w:rPr>
              <w:t>北京九合深宏（领投）、深圳英诺科技创新</w:t>
            </w:r>
          </w:p>
        </w:tc>
      </w:tr>
      <w:tr>
        <w:trPr>
          <w:cantSplit/>
        </w:trPr>
        <w:tc>
          <w:tcPr>
            <w:tcW w:w="550" w:type="pct"/>
            <w:vAlign w:val="center"/>
          </w:tcPr>
          <w:p>
            <w:pPr>
              <w:keepNext/>
              <w:jc w:val="center"/>
            </w:pPr>
            <w:r>
              <w:rPr>
                <w:rFonts w:hint="eastAsia"/>
                <w:b w:val="0"/>
                <w:sz w:val="21"/>
              </w:rPr>
              <w:t>Pre-A轮</w:t>
            </w:r>
          </w:p>
        </w:tc>
        <w:tc>
          <w:tcPr>
            <w:tcW w:w="700" w:type="pct"/>
            <w:vAlign w:val="center"/>
          </w:tcPr>
          <w:p>
            <w:pPr>
              <w:keepNext/>
              <w:jc w:val="center"/>
            </w:pPr>
            <w:r>
              <w:rPr>
                <w:rFonts w:hint="eastAsia"/>
                <w:b w:val="0"/>
                <w:sz w:val="21"/>
              </w:rPr>
              <w:t>2025-10-31</w:t>
            </w:r>
          </w:p>
        </w:tc>
        <w:tc>
          <w:tcPr>
            <w:tcW w:w="850" w:type="pct"/>
            <w:vAlign w:val="center"/>
          </w:tcPr>
          <w:p>
            <w:pPr>
              <w:keepNext/>
              <w:jc w:val="center"/>
            </w:pPr>
            <w:r>
              <w:rPr>
                <w:rFonts w:hint="eastAsia"/>
                <w:b w:val="0"/>
                <w:sz w:val="21"/>
              </w:rPr>
              <w:t>数千万元</w:t>
            </w:r>
          </w:p>
        </w:tc>
        <w:tc>
          <w:tcPr>
            <w:tcW w:w="2900" w:type="pct"/>
            <w:vAlign w:val="center"/>
          </w:tcPr>
          <w:p>
            <w:pPr>
              <w:keepNext/>
              <w:jc w:val="left"/>
            </w:pPr>
            <w:r>
              <w:rPr>
                <w:rFonts w:hint="eastAsia"/>
                <w:b w:val="0"/>
                <w:sz w:val="21"/>
              </w:rPr>
              <w:t>深圳中小担创投（领投）、深圳红灰十一号、湖州南浔启真、深圳市天使二号、台州守仁共创</w:t>
            </w:r>
          </w:p>
        </w:tc>
      </w:tr>
      <w:tr>
        <w:trPr>
          <w:cantSplit/>
        </w:trPr>
        <w:tc>
          <w:tcPr>
            <w:tcW w:w="550" w:type="pct"/>
            <w:vAlign w:val="center"/>
          </w:tcPr>
          <w:p>
            <w:pPr>
              <w:keepNext/>
              <w:jc w:val="center"/>
            </w:pPr>
            <w:r>
              <w:rPr>
                <w:rFonts w:hint="eastAsia"/>
                <w:b w:val="0"/>
                <w:sz w:val="21"/>
              </w:rPr>
              <w:t>Pre-A轮</w:t>
            </w:r>
          </w:p>
        </w:tc>
        <w:tc>
          <w:tcPr>
            <w:tcW w:w="700" w:type="pct"/>
            <w:vAlign w:val="center"/>
          </w:tcPr>
          <w:p>
            <w:pPr>
              <w:keepNext/>
              <w:jc w:val="center"/>
            </w:pPr>
            <w:r>
              <w:rPr>
                <w:rFonts w:hint="eastAsia"/>
                <w:b w:val="0"/>
                <w:sz w:val="21"/>
              </w:rPr>
              <w:t>2026-01-27</w:t>
            </w:r>
          </w:p>
        </w:tc>
        <w:tc>
          <w:tcPr>
            <w:tcW w:w="850" w:type="pct"/>
            <w:vAlign w:val="center"/>
          </w:tcPr>
          <w:p>
            <w:pPr>
              <w:keepNext/>
              <w:jc w:val="center"/>
            </w:pPr>
            <w:r>
              <w:rPr>
                <w:rFonts w:hint="eastAsia"/>
                <w:b w:val="0"/>
                <w:sz w:val="21"/>
              </w:rPr>
              <w:t>未披露</w:t>
            </w:r>
          </w:p>
        </w:tc>
        <w:tc>
          <w:tcPr>
            <w:tcW w:w="2900" w:type="pct"/>
            <w:vAlign w:val="center"/>
          </w:tcPr>
          <w:p>
            <w:pPr>
              <w:keepNext/>
              <w:jc w:val="left"/>
            </w:pPr>
            <w:r>
              <w:rPr>
                <w:rFonts w:hint="eastAsia"/>
                <w:b w:val="0"/>
                <w:sz w:val="21"/>
              </w:rPr>
              <w:t>固安泽润新兴技术产业投资基金</w:t>
            </w:r>
          </w:p>
        </w:tc>
      </w:tr>
      <w:tr>
        <w:trPr>
          <w:cantSplit/>
        </w:trPr>
        <w:tc>
          <w:tcPr>
            <w:tcW w:w="550" w:type="pct"/>
            <w:tcBorders>
              <w:bottom w:val="single" w:sz="12" w:space="0" w:color="010000"/>
            </w:tcBorders>
            <w:vAlign w:val="center"/>
          </w:tcPr>
          <w:p>
            <w:pPr>
              <w:keepNext/>
              <w:jc w:val="center"/>
            </w:pPr>
            <w:r>
              <w:rPr>
                <w:rFonts w:hint="eastAsia"/>
                <w:b w:val="0"/>
                <w:sz w:val="21"/>
              </w:rPr>
              <w:t>A轮</w:t>
            </w:r>
          </w:p>
        </w:tc>
        <w:tc>
          <w:tcPr>
            <w:tcW w:w="700" w:type="pct"/>
            <w:tcBorders>
              <w:bottom w:val="single" w:sz="12" w:space="0" w:color="010000"/>
            </w:tcBorders>
            <w:vAlign w:val="center"/>
          </w:tcPr>
          <w:p>
            <w:pPr>
              <w:keepNext/>
              <w:jc w:val="center"/>
            </w:pPr>
            <w:r>
              <w:rPr>
                <w:rFonts w:hint="eastAsia"/>
                <w:b w:val="0"/>
                <w:sz w:val="21"/>
              </w:rPr>
              <w:t>2026-08-12</w:t>
            </w:r>
          </w:p>
        </w:tc>
        <w:tc>
          <w:tcPr>
            <w:tcW w:w="850" w:type="pct"/>
            <w:tcBorders>
              <w:bottom w:val="single" w:sz="12" w:space="0" w:color="010000"/>
            </w:tcBorders>
            <w:vAlign w:val="center"/>
          </w:tcPr>
          <w:p>
            <w:pPr>
              <w:keepNext/>
              <w:jc w:val="center"/>
            </w:pPr>
            <w:r>
              <w:rPr>
                <w:rFonts w:hint="eastAsia"/>
                <w:b w:val="0"/>
                <w:sz w:val="21"/>
              </w:rPr>
              <w:t>约亿元</w:t>
            </w:r>
          </w:p>
        </w:tc>
        <w:tc>
          <w:tcPr>
            <w:tcW w:w="2900" w:type="pct"/>
            <w:tcBorders>
              <w:bottom w:val="single" w:sz="12" w:space="0" w:color="010000"/>
            </w:tcBorders>
            <w:vAlign w:val="center"/>
          </w:tcPr>
          <w:p>
            <w:pPr>
              <w:keepNext/>
              <w:jc w:val="left"/>
            </w:pPr>
            <w:r>
              <w:rPr>
                <w:rFonts w:hint="eastAsia"/>
                <w:b w:val="0"/>
                <w:sz w:val="21"/>
              </w:rPr>
              <w:t>鼎峰科创（领投）、云鼎资本、泰亚投资、深圳担保、松禾资本、台州守仁共创</w:t>
            </w:r>
          </w:p>
        </w:tc>
      </w:tr>
    </w:tbl>
    <w:p>
      <w:pPr>
        <w:pStyle w:val="a4"/>
        <w:jc w:val="center"/>
      </w:pPr>
      <w:r>
        <w:rPr>
          <w:rFonts w:hint="eastAsia"/>
          <w:b w:val="0"/>
          <w:sz w:val="11"/>
        </w:rPr>
        <w:t>资料来源：企查查企业信用报告专业版</w:t>
      </w:r>
    </w:p>
    <w:p>
      <w:pPr>
        <w:pStyle w:val="005"/>
      </w:pPr>
      <w:r>
        <w:rPr>
          <w:rFonts w:hint="eastAsia"/>
          <w:b w:val="0"/>
        </w:rPr>
        <w:t>公司累计融资5次，当前轮次为A轮。天使轮新进股东在增资后合计持股14.5297%，Pre-A轮两次增资的新进股东合计持股13.7457%。2026年8月12日披露的A轮融资近亿元，截至本材料出具日尚未办理工商变更，最新核准日期为2026年1月27日，股权比例未体现，无法据工商登记测算估值。</w:t>
      </w:r>
    </w:p>
    <w:p>
      <w:pPr>
        <w:pStyle w:val="a4"/>
        <w:keepNext/>
        <w:jc w:val="center"/>
      </w:pPr>
      <w:r>
        <w:rPr>
          <w:rFonts w:hint="eastAsia"/>
          <w:b/>
          <w:sz w:val="21"/>
        </w:rPr>
        <w:t>表20  无限宇航注册资本变更情况</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900" w:type="pct"/>
            <w:tcBorders>
              <w:top w:val="single" w:sz="12" w:space="0" w:color="010000"/>
              <w:bottom w:val="single" w:sz="4" w:space="0" w:color="010000"/>
            </w:tcBorders>
            <w:vAlign w:val="center"/>
          </w:tcPr>
          <w:p>
            <w:pPr>
              <w:keepNext/>
              <w:jc w:val="center"/>
            </w:pPr>
            <w:r>
              <w:rPr>
                <w:rFonts w:hint="eastAsia"/>
                <w:b/>
                <w:sz w:val="21"/>
              </w:rPr>
              <w:t>变更日期</w:t>
            </w:r>
          </w:p>
        </w:tc>
        <w:tc>
          <w:tcPr>
            <w:tcW w:w="100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1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900" w:type="pct"/>
            <w:vAlign w:val="center"/>
          </w:tcPr>
          <w:p>
            <w:pPr>
              <w:keepNext/>
              <w:jc w:val="center"/>
            </w:pPr>
            <w:r>
              <w:rPr>
                <w:rFonts w:hint="eastAsia"/>
                <w:b w:val="0"/>
                <w:sz w:val="21"/>
              </w:rPr>
              <w:t>2023-09-01至2023-10-08</w:t>
            </w:r>
          </w:p>
        </w:tc>
        <w:tc>
          <w:tcPr>
            <w:tcW w:w="1000" w:type="pct"/>
            <w:vAlign w:val="center"/>
          </w:tcPr>
          <w:p>
            <w:pPr>
              <w:keepNext/>
              <w:jc w:val="center"/>
            </w:pPr>
            <w:r>
              <w:rPr>
                <w:rFonts w:hint="eastAsia"/>
                <w:b w:val="0"/>
                <w:sz w:val="21"/>
              </w:rPr>
              <w:t>100→510.2041</w:t>
            </w:r>
          </w:p>
        </w:tc>
        <w:tc>
          <w:tcPr>
            <w:tcW w:w="2100" w:type="pct"/>
            <w:vAlign w:val="center"/>
          </w:tcPr>
          <w:p>
            <w:pPr>
              <w:keepNext/>
              <w:jc w:val="left"/>
            </w:pPr>
            <w:r>
              <w:rPr>
                <w:rFonts w:hint="eastAsia"/>
                <w:b w:val="0"/>
                <w:sz w:val="21"/>
              </w:rPr>
              <w:t>无为空间、无相空间、无界空间、何佳丽、霍甲</w:t>
            </w:r>
          </w:p>
        </w:tc>
        <w:tc>
          <w:tcPr>
            <w:tcW w:w="1000" w:type="pct"/>
            <w:vAlign w:val="center"/>
          </w:tcPr>
          <w:p>
            <w:pPr>
              <w:keepNext/>
              <w:jc w:val="center"/>
            </w:pPr>
            <w:r>
              <w:rPr>
                <w:rFonts w:hint="eastAsia"/>
                <w:b w:val="0"/>
                <w:sz w:val="21"/>
              </w:rPr>
              <w:t>51.0000%</w:t>
            </w:r>
          </w:p>
        </w:tc>
      </w:tr>
      <w:tr>
        <w:trPr>
          <w:cantSplit/>
        </w:trPr>
        <w:tc>
          <w:tcPr>
            <w:tcW w:w="900" w:type="pct"/>
            <w:vAlign w:val="center"/>
          </w:tcPr>
          <w:p>
            <w:pPr>
              <w:keepNext/>
              <w:jc w:val="center"/>
            </w:pPr>
            <w:r>
              <w:rPr>
                <w:rFonts w:hint="eastAsia"/>
                <w:b w:val="0"/>
                <w:sz w:val="21"/>
              </w:rPr>
              <w:t>2024-06-11</w:t>
            </w:r>
          </w:p>
        </w:tc>
        <w:tc>
          <w:tcPr>
            <w:tcW w:w="1000" w:type="pct"/>
            <w:vAlign w:val="center"/>
          </w:tcPr>
          <w:p>
            <w:pPr>
              <w:keepNext/>
              <w:jc w:val="center"/>
            </w:pPr>
            <w:r>
              <w:rPr>
                <w:rFonts w:hint="eastAsia"/>
                <w:b w:val="0"/>
                <w:sz w:val="21"/>
              </w:rPr>
              <w:t>510.2041→535.7143</w:t>
            </w:r>
          </w:p>
        </w:tc>
        <w:tc>
          <w:tcPr>
            <w:tcW w:w="2100" w:type="pct"/>
            <w:vAlign w:val="center"/>
          </w:tcPr>
          <w:p>
            <w:pPr>
              <w:keepNext/>
              <w:jc w:val="left"/>
            </w:pPr>
            <w:r>
              <w:rPr>
                <w:rFonts w:hint="eastAsia"/>
                <w:b w:val="0"/>
                <w:sz w:val="21"/>
              </w:rPr>
              <w:t>广州溪航科技</w:t>
            </w:r>
          </w:p>
        </w:tc>
        <w:tc>
          <w:tcPr>
            <w:tcW w:w="1000" w:type="pct"/>
            <w:vAlign w:val="center"/>
          </w:tcPr>
          <w:p>
            <w:pPr>
              <w:keepNext/>
              <w:jc w:val="center"/>
            </w:pPr>
            <w:r>
              <w:rPr>
                <w:rFonts w:hint="eastAsia"/>
                <w:b w:val="0"/>
                <w:sz w:val="21"/>
              </w:rPr>
              <w:t>4.7619%</w:t>
            </w:r>
          </w:p>
        </w:tc>
      </w:tr>
      <w:tr>
        <w:trPr>
          <w:cantSplit/>
        </w:trPr>
        <w:tc>
          <w:tcPr>
            <w:tcW w:w="900" w:type="pct"/>
            <w:vAlign w:val="center"/>
          </w:tcPr>
          <w:p>
            <w:pPr>
              <w:keepNext/>
              <w:jc w:val="center"/>
            </w:pPr>
            <w:r>
              <w:rPr>
                <w:rFonts w:hint="eastAsia"/>
                <w:b w:val="0"/>
                <w:sz w:val="21"/>
              </w:rPr>
              <w:t>2024-12-31</w:t>
            </w:r>
          </w:p>
        </w:tc>
        <w:tc>
          <w:tcPr>
            <w:tcW w:w="1000" w:type="pct"/>
            <w:vAlign w:val="center"/>
          </w:tcPr>
          <w:p>
            <w:pPr>
              <w:keepNext/>
              <w:jc w:val="center"/>
            </w:pPr>
            <w:r>
              <w:rPr>
                <w:rFonts w:hint="eastAsia"/>
                <w:b w:val="0"/>
                <w:sz w:val="21"/>
              </w:rPr>
              <w:t>535.7143→589.2857</w:t>
            </w:r>
          </w:p>
        </w:tc>
        <w:tc>
          <w:tcPr>
            <w:tcW w:w="2100" w:type="pct"/>
            <w:vAlign w:val="center"/>
          </w:tcPr>
          <w:p>
            <w:pPr>
              <w:keepNext/>
              <w:jc w:val="left"/>
            </w:pPr>
            <w:r>
              <w:rPr>
                <w:rFonts w:hint="eastAsia"/>
                <w:b w:val="0"/>
                <w:sz w:val="21"/>
              </w:rPr>
              <w:t>北京九合深宏</w:t>
            </w:r>
          </w:p>
        </w:tc>
        <w:tc>
          <w:tcPr>
            <w:tcW w:w="1000" w:type="pct"/>
            <w:vAlign w:val="center"/>
          </w:tcPr>
          <w:p>
            <w:pPr>
              <w:keepNext/>
              <w:jc w:val="center"/>
            </w:pPr>
            <w:r>
              <w:rPr>
                <w:rFonts w:hint="eastAsia"/>
                <w:b w:val="0"/>
                <w:sz w:val="21"/>
              </w:rPr>
              <w:t>9.0909%</w:t>
            </w:r>
          </w:p>
        </w:tc>
      </w:tr>
      <w:tr>
        <w:trPr>
          <w:cantSplit/>
        </w:trPr>
        <w:tc>
          <w:tcPr>
            <w:tcW w:w="900" w:type="pct"/>
            <w:vAlign w:val="center"/>
          </w:tcPr>
          <w:p>
            <w:pPr>
              <w:keepNext/>
              <w:jc w:val="center"/>
            </w:pPr>
            <w:r>
              <w:rPr>
                <w:rFonts w:hint="eastAsia"/>
                <w:b w:val="0"/>
                <w:sz w:val="21"/>
              </w:rPr>
              <w:t>2025-03-21</w:t>
            </w:r>
          </w:p>
        </w:tc>
        <w:tc>
          <w:tcPr>
            <w:tcW w:w="1000" w:type="pct"/>
            <w:vAlign w:val="center"/>
          </w:tcPr>
          <w:p>
            <w:pPr>
              <w:keepNext/>
              <w:jc w:val="center"/>
            </w:pPr>
            <w:r>
              <w:rPr>
                <w:rFonts w:hint="eastAsia"/>
                <w:b w:val="0"/>
                <w:sz w:val="21"/>
              </w:rPr>
              <w:t>589.2857→626.7857</w:t>
            </w:r>
          </w:p>
        </w:tc>
        <w:tc>
          <w:tcPr>
            <w:tcW w:w="2100" w:type="pct"/>
            <w:vAlign w:val="center"/>
          </w:tcPr>
          <w:p>
            <w:pPr>
              <w:keepNext/>
              <w:jc w:val="left"/>
            </w:pPr>
            <w:r>
              <w:rPr>
                <w:rFonts w:hint="eastAsia"/>
                <w:b w:val="0"/>
                <w:sz w:val="21"/>
              </w:rPr>
              <w:t>深圳英诺科技创新</w:t>
            </w:r>
          </w:p>
        </w:tc>
        <w:tc>
          <w:tcPr>
            <w:tcW w:w="1000" w:type="pct"/>
            <w:vAlign w:val="center"/>
          </w:tcPr>
          <w:p>
            <w:pPr>
              <w:keepNext/>
              <w:jc w:val="center"/>
            </w:pPr>
            <w:r>
              <w:rPr>
                <w:rFonts w:hint="eastAsia"/>
                <w:b w:val="0"/>
                <w:sz w:val="21"/>
              </w:rPr>
              <w:t>5.9829%</w:t>
            </w:r>
          </w:p>
        </w:tc>
      </w:tr>
      <w:tr>
        <w:trPr>
          <w:cantSplit/>
        </w:trPr>
        <w:tc>
          <w:tcPr>
            <w:tcW w:w="900" w:type="pct"/>
            <w:vAlign w:val="center"/>
          </w:tcPr>
          <w:p>
            <w:pPr>
              <w:keepNext/>
              <w:jc w:val="center"/>
            </w:pPr>
            <w:r>
              <w:rPr>
                <w:rFonts w:hint="eastAsia"/>
                <w:b w:val="0"/>
                <w:sz w:val="21"/>
              </w:rPr>
              <w:t>2025-10-31</w:t>
            </w:r>
          </w:p>
        </w:tc>
        <w:tc>
          <w:tcPr>
            <w:tcW w:w="1000" w:type="pct"/>
            <w:vAlign w:val="center"/>
          </w:tcPr>
          <w:p>
            <w:pPr>
              <w:keepNext/>
              <w:jc w:val="center"/>
            </w:pPr>
            <w:r>
              <w:rPr>
                <w:rFonts w:hint="eastAsia"/>
                <w:b w:val="0"/>
                <w:sz w:val="21"/>
              </w:rPr>
              <w:t>626.7857→683.7663</w:t>
            </w:r>
          </w:p>
        </w:tc>
        <w:tc>
          <w:tcPr>
            <w:tcW w:w="2100" w:type="pct"/>
            <w:vAlign w:val="center"/>
          </w:tcPr>
          <w:p>
            <w:pPr>
              <w:keepNext/>
              <w:jc w:val="left"/>
            </w:pPr>
            <w:r>
              <w:rPr>
                <w:rFonts w:hint="eastAsia"/>
                <w:b w:val="0"/>
                <w:sz w:val="21"/>
              </w:rPr>
              <w:t>台州守仁共创、深圳红灰十一号、深圳中小担创投</w:t>
            </w:r>
          </w:p>
        </w:tc>
        <w:tc>
          <w:tcPr>
            <w:tcW w:w="1000" w:type="pct"/>
            <w:vAlign w:val="center"/>
          </w:tcPr>
          <w:p>
            <w:pPr>
              <w:keepNext/>
              <w:jc w:val="center"/>
            </w:pPr>
            <w:r>
              <w:rPr>
                <w:rFonts w:hint="eastAsia"/>
                <w:b w:val="0"/>
                <w:sz w:val="21"/>
              </w:rPr>
              <w:t>8.3333%</w:t>
            </w:r>
          </w:p>
        </w:tc>
      </w:tr>
      <w:tr>
        <w:trPr>
          <w:cantSplit/>
        </w:trPr>
        <w:tc>
          <w:tcPr>
            <w:tcW w:w="900" w:type="pct"/>
            <w:vAlign w:val="center"/>
          </w:tcPr>
          <w:p>
            <w:pPr>
              <w:keepNext/>
              <w:jc w:val="center"/>
            </w:pPr>
            <w:r>
              <w:rPr>
                <w:rFonts w:hint="eastAsia"/>
                <w:b w:val="0"/>
                <w:sz w:val="21"/>
              </w:rPr>
              <w:t>2025-11-13</w:t>
            </w:r>
          </w:p>
        </w:tc>
        <w:tc>
          <w:tcPr>
            <w:tcW w:w="1000" w:type="pct"/>
            <w:vAlign w:val="center"/>
          </w:tcPr>
          <w:p>
            <w:pPr>
              <w:keepNext/>
              <w:jc w:val="center"/>
            </w:pPr>
            <w:r>
              <w:rPr>
                <w:rFonts w:hint="eastAsia"/>
                <w:b w:val="0"/>
                <w:sz w:val="21"/>
              </w:rPr>
              <w:t>683.7663→726.6726</w:t>
            </w:r>
          </w:p>
        </w:tc>
        <w:tc>
          <w:tcPr>
            <w:tcW w:w="2100" w:type="pct"/>
            <w:vAlign w:val="center"/>
          </w:tcPr>
          <w:p>
            <w:pPr>
              <w:keepNext/>
              <w:jc w:val="left"/>
            </w:pPr>
            <w:r>
              <w:rPr>
                <w:rFonts w:hint="eastAsia"/>
                <w:b w:val="0"/>
                <w:sz w:val="21"/>
              </w:rPr>
              <w:t>天使共赢二号、深圳市天使二号、湖州南浔启真</w:t>
            </w:r>
          </w:p>
        </w:tc>
        <w:tc>
          <w:tcPr>
            <w:tcW w:w="1000" w:type="pct"/>
            <w:vAlign w:val="center"/>
          </w:tcPr>
          <w:p>
            <w:pPr>
              <w:keepNext/>
              <w:jc w:val="center"/>
            </w:pPr>
            <w:r>
              <w:rPr>
                <w:rFonts w:hint="eastAsia"/>
                <w:b w:val="0"/>
                <w:sz w:val="21"/>
              </w:rPr>
              <w:t>5.9044%</w:t>
            </w:r>
          </w:p>
        </w:tc>
      </w:tr>
      <w:tr>
        <w:trPr>
          <w:cantSplit/>
        </w:trPr>
        <w:tc>
          <w:tcPr>
            <w:tcW w:w="900" w:type="pct"/>
            <w:vAlign w:val="center"/>
          </w:tcPr>
          <w:p>
            <w:pPr>
              <w:keepNext/>
              <w:jc w:val="center"/>
            </w:pPr>
            <w:r>
              <w:rPr>
                <w:rFonts w:hint="eastAsia"/>
                <w:b w:val="0"/>
                <w:sz w:val="21"/>
              </w:rPr>
              <w:t>2026-01-27</w:t>
            </w:r>
          </w:p>
        </w:tc>
        <w:tc>
          <w:tcPr>
            <w:tcW w:w="1000" w:type="pct"/>
            <w:vAlign w:val="center"/>
          </w:tcPr>
          <w:p>
            <w:pPr>
              <w:keepNext/>
              <w:jc w:val="center"/>
            </w:pPr>
            <w:r>
              <w:rPr>
                <w:rFonts w:hint="eastAsia"/>
                <w:b w:val="0"/>
                <w:sz w:val="21"/>
              </w:rPr>
              <w:t>726.6726→739.6027</w:t>
            </w:r>
          </w:p>
        </w:tc>
        <w:tc>
          <w:tcPr>
            <w:tcW w:w="2100" w:type="pct"/>
            <w:vAlign w:val="center"/>
          </w:tcPr>
          <w:p>
            <w:pPr>
              <w:keepNext/>
              <w:jc w:val="left"/>
            </w:pPr>
            <w:r>
              <w:rPr>
                <w:rFonts w:hint="eastAsia"/>
                <w:b w:val="0"/>
                <w:sz w:val="21"/>
              </w:rPr>
              <w:t>厉延琳、刘建奇、固安泽润</w:t>
            </w:r>
          </w:p>
        </w:tc>
        <w:tc>
          <w:tcPr>
            <w:tcW w:w="1000" w:type="pct"/>
            <w:vAlign w:val="center"/>
          </w:tcPr>
          <w:p>
            <w:pPr>
              <w:keepNext/>
              <w:jc w:val="center"/>
            </w:pPr>
            <w:r>
              <w:rPr>
                <w:rFonts w:hint="eastAsia"/>
                <w:b w:val="0"/>
                <w:sz w:val="21"/>
              </w:rPr>
              <w:t>1.7482%</w:t>
            </w:r>
          </w:p>
        </w:tc>
      </w:tr>
      <w:tr>
        <w:trPr>
          <w:cantSplit/>
        </w:trPr>
        <w:tc>
          <w:tcPr>
            <w:tcW w:w="900" w:type="pct"/>
            <w:tcBorders>
              <w:bottom w:val="single" w:sz="12" w:space="0" w:color="010000"/>
            </w:tcBorders>
            <w:vAlign w:val="center"/>
          </w:tcPr>
          <w:p>
            <w:pPr>
              <w:keepNext/>
              <w:jc w:val="center"/>
            </w:pPr>
            <w:r>
              <w:rPr>
                <w:rFonts w:hint="eastAsia"/>
                <w:b w:val="0"/>
                <w:sz w:val="21"/>
              </w:rPr>
              <w:t>2026-08-12</w:t>
            </w:r>
          </w:p>
        </w:tc>
        <w:tc>
          <w:tcPr>
            <w:tcW w:w="1000" w:type="pct"/>
            <w:tcBorders>
              <w:bottom w:val="single" w:sz="12" w:space="0" w:color="010000"/>
            </w:tcBorders>
            <w:vAlign w:val="center"/>
          </w:tcPr>
          <w:p>
            <w:pPr>
              <w:keepNext/>
              <w:jc w:val="center"/>
            </w:pPr>
            <w:r>
              <w:rPr>
                <w:rFonts w:hint="eastAsia"/>
                <w:b w:val="0"/>
                <w:sz w:val="21"/>
              </w:rPr>
              <w:t>尚未变更</w:t>
            </w:r>
          </w:p>
        </w:tc>
        <w:tc>
          <w:tcPr>
            <w:tcW w:w="2100" w:type="pct"/>
            <w:tcBorders>
              <w:bottom w:val="single" w:sz="12" w:space="0" w:color="010000"/>
            </w:tcBorders>
            <w:vAlign w:val="center"/>
          </w:tcPr>
          <w:p>
            <w:pPr>
              <w:keepNext/>
              <w:jc w:val="left"/>
            </w:pPr>
            <w:r>
              <w:rPr>
                <w:rFonts w:hint="eastAsia"/>
                <w:b w:val="0"/>
                <w:sz w:val="21"/>
              </w:rPr>
              <w:t>鼎峰科创等A轮投资方</w:t>
            </w:r>
          </w:p>
        </w:tc>
        <w:tc>
          <w:tcPr>
            <w:tcW w:w="1000" w:type="pct"/>
            <w:tcBorders>
              <w:bottom w:val="single" w:sz="12" w:space="0" w:color="010000"/>
            </w:tcBorders>
            <w:vAlign w:val="center"/>
          </w:tcPr>
          <w:p>
            <w:pPr>
              <w:keepNext/>
              <w:jc w:val="center"/>
            </w:pPr>
            <w:r>
              <w:rPr>
                <w:rFonts w:hint="eastAsia"/>
                <w:b w:val="0"/>
                <w:sz w:val="21"/>
              </w:rPr>
              <w:t>—</w:t>
            </w:r>
          </w:p>
        </w:tc>
      </w:tr>
    </w:tbl>
    <w:p>
      <w:pPr>
        <w:pStyle w:val="a4"/>
        <w:jc w:val="center"/>
      </w:pPr>
      <w:r>
        <w:rPr>
          <w:rFonts w:hint="eastAsia"/>
          <w:b w:val="0"/>
          <w:sz w:val="11"/>
        </w:rPr>
        <w:t>资料来源：企查查企业信用报告专业版</w:t>
      </w:r>
    </w:p>
    <w:p>
      <w:pPr>
        <w:pStyle w:val="005"/>
      </w:pPr>
      <w:r>
        <w:rPr>
          <w:rFonts w:hint="eastAsia"/>
          <w:b w:val="0"/>
        </w:rPr>
        <w:t>2023年9月至10月的三次增资为创始团队与员工持股平台搭建，五方在增资完成后按最终注册资本510.2041万元计算合计持股51.0000%，同期李健持股49%。2026年1月增资的新进方含两名自然人，该部分是否属于融资尚需确认。</w:t>
      </w:r>
    </w:p>
    <w:p>
      <w:pPr>
        <w:pStyle w:val="004"/>
      </w:pPr>
      <w:r>
        <w:rPr>
          <w:rFonts w:hint="eastAsia"/>
          <w:b/>
        </w:rPr>
        <w:t>资料来源与口径说明</w:t>
      </w:r>
    </w:p>
    <w:p>
      <w:pPr>
        <w:pStyle w:val="005"/>
      </w:pPr>
      <w:r>
        <w:rPr>
          <w:rFonts w:hint="eastAsia"/>
          <w:b w:val="0"/>
        </w:rPr>
        <w:t>一、国内公司的成立日期、注册资本、实缴资本、股东持股比例、注册资本变更记录、参保人数、招投标与招聘记录，取自企查查企业信用报告专业版，报告生成日期为2026年8月27日。</w:t>
      </w:r>
    </w:p>
    <w:p>
      <w:pPr>
        <w:pStyle w:val="005"/>
      </w:pPr>
      <w:r>
        <w:rPr>
          <w:rFonts w:hint="eastAsia"/>
          <w:b w:val="0"/>
        </w:rPr>
        <w:t>二、投后估值的测算方法为：投后估值等于本轮融资金额除以本轮新进股东合计持股比例。该方法假设本轮为纯增资、无老股转让，且新进股东出资全部计入本次注册资本增加额。存在增资与老股转让并行的情形时，测算结果会低估估值。凡以该方法得出的数值，文中均注明为测算值。</w:t>
      </w:r>
    </w:p>
    <w:p>
      <w:pPr>
        <w:pStyle w:val="005"/>
      </w:pPr>
      <w:r>
        <w:rPr>
          <w:rFonts w:hint="eastAsia"/>
          <w:b w:val="0"/>
        </w:rPr>
        <w:t>三、Momentus财务数据取自其Form 10-K（FY2025、FY2023），为经审计合并利润表数据。Astroscale财务数据取自其有価証券報告書（第八期、第六期），为国际财务报告准则合并数据，会计年度为5月1日至次年4月30日，与国内公司的自然年口径不同，未作换算或合并。</w:t>
      </w:r>
    </w:p>
    <w:p>
      <w:pPr>
        <w:pStyle w:val="005"/>
      </w:pPr>
      <w:r>
        <w:rPr>
          <w:rFonts w:hint="eastAsia"/>
          <w:b w:val="0"/>
        </w:rPr>
        <w:t>四、D-Orbit与Impulse Space的经营与融资数据取自公开报道，未经审计。D-Orbit累计融资金额存在三个不同来源口径，已并列列示并说明差异，未取平均值。</w:t>
      </w:r>
    </w:p>
    <w:p>
      <w:pPr>
        <w:pStyle w:val="005"/>
      </w:pPr>
      <w:r>
        <w:rPr>
          <w:rFonts w:hint="eastAsia"/>
          <w:b w:val="0"/>
        </w:rPr>
        <w:t>五、未来宇航的估值取自2026年4月媒体报道，为公司在产品发布会期间的表述，未经审计或公告确认。</w:t>
      </w:r>
    </w:p>
    <w:sectPr w:rsidR="00D608E7" w:rsidRPr="007723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3317B" w14:textId="77777777" w:rsidR="00B26CD7" w:rsidRDefault="00B26CD7" w:rsidP="00032B45">
      <w:r>
        <w:separator/>
      </w:r>
    </w:p>
  </w:endnote>
  <w:endnote w:type="continuationSeparator" w:id="0">
    <w:p w14:paraId="2AB520D0" w14:textId="77777777" w:rsidR="00B26CD7" w:rsidRDefault="00B26CD7" w:rsidP="00032B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03673" w14:textId="77777777" w:rsidR="00B26CD7" w:rsidRDefault="00B26CD7" w:rsidP="00032B45">
      <w:r>
        <w:separator/>
      </w:r>
    </w:p>
  </w:footnote>
  <w:footnote w:type="continuationSeparator" w:id="0">
    <w:p w14:paraId="0532037D" w14:textId="77777777" w:rsidR="00B26CD7" w:rsidRDefault="00B26CD7" w:rsidP="00032B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E2CC6"/>
    <w:multiLevelType w:val="multilevel"/>
    <w:tmpl w:val="85243032"/>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hint="default"/>
        <w:b w:val="0"/>
        <w:i w:val="0"/>
        <w:sz w:val="28"/>
      </w:rPr>
    </w:lvl>
    <w:lvl w:ilvl="2">
      <w:start w:val="1"/>
      <w:numFmt w:val="chineseCounting"/>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nothing"/>
      <w:lvlText w:val="%4、"/>
      <w:lvlJc w:val="left"/>
      <w:pPr>
        <w:ind w:left="0" w:firstLine="0"/>
      </w:pPr>
      <w:rPr>
        <w:rFonts w:ascii="Times New Roman" w:hAnsi="Times New Roman" w:cs="Times New Roman" w:hint="default"/>
        <w:b/>
        <w:i w:val="0"/>
        <w:sz w:val="24"/>
      </w:rPr>
    </w:lvl>
    <w:lvl w:ilvl="4">
      <w:start w:val="1"/>
      <w:numFmt w:val="decimal"/>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699164594">
    <w:abstractNumId w:val="0"/>
  </w:num>
  <w:num w:numId="2" w16cid:durableId="339822164">
    <w:abstractNumId w:val="0"/>
  </w:num>
  <w:num w:numId="3" w16cid:durableId="1134715502">
    <w:abstractNumId w:val="0"/>
  </w:num>
  <w:num w:numId="4" w16cid:durableId="638071662">
    <w:abstractNumId w:val="0"/>
  </w:num>
  <w:num w:numId="5" w16cid:durableId="1859539850">
    <w:abstractNumId w:val="0"/>
  </w:num>
  <w:num w:numId="6" w16cid:durableId="963076571">
    <w:abstractNumId w:val="0"/>
  </w:num>
  <w:num w:numId="7" w16cid:durableId="1411731689">
    <w:abstractNumId w:val="0"/>
  </w:num>
  <w:num w:numId="8" w16cid:durableId="1902323912">
    <w:abstractNumId w:val="0"/>
  </w:num>
  <w:num w:numId="9" w16cid:durableId="2026051146">
    <w:abstractNumId w:val="0"/>
  </w:num>
  <w:num w:numId="10" w16cid:durableId="1991711474">
    <w:abstractNumId w:val="0"/>
  </w:num>
  <w:num w:numId="11" w16cid:durableId="1323922385">
    <w:abstractNumId w:val="0"/>
  </w:num>
  <w:num w:numId="12" w16cid:durableId="1659920292">
    <w:abstractNumId w:val="0"/>
  </w:num>
  <w:num w:numId="13" w16cid:durableId="353461354">
    <w:abstractNumId w:val="0"/>
  </w:num>
  <w:num w:numId="14" w16cid:durableId="1726875278">
    <w:abstractNumId w:val="0"/>
  </w:num>
  <w:num w:numId="15" w16cid:durableId="203090871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B45"/>
    <w:rsid w:val="00003434"/>
    <w:rsid w:val="00012CE2"/>
    <w:rsid w:val="00032B45"/>
    <w:rsid w:val="0003667D"/>
    <w:rsid w:val="00047D7D"/>
    <w:rsid w:val="00056BA6"/>
    <w:rsid w:val="00075A78"/>
    <w:rsid w:val="00087737"/>
    <w:rsid w:val="000A4048"/>
    <w:rsid w:val="00120D4F"/>
    <w:rsid w:val="0012597C"/>
    <w:rsid w:val="00157F98"/>
    <w:rsid w:val="001A2596"/>
    <w:rsid w:val="001D5664"/>
    <w:rsid w:val="001E7971"/>
    <w:rsid w:val="002003CE"/>
    <w:rsid w:val="002117AC"/>
    <w:rsid w:val="00221BF8"/>
    <w:rsid w:val="002275FA"/>
    <w:rsid w:val="00252422"/>
    <w:rsid w:val="002919E1"/>
    <w:rsid w:val="002A5932"/>
    <w:rsid w:val="002B1F84"/>
    <w:rsid w:val="00301862"/>
    <w:rsid w:val="00307FFA"/>
    <w:rsid w:val="0031037B"/>
    <w:rsid w:val="00323F3C"/>
    <w:rsid w:val="00324F72"/>
    <w:rsid w:val="00331DDE"/>
    <w:rsid w:val="00340763"/>
    <w:rsid w:val="00370753"/>
    <w:rsid w:val="003778B0"/>
    <w:rsid w:val="00382926"/>
    <w:rsid w:val="003A3C28"/>
    <w:rsid w:val="003C1E07"/>
    <w:rsid w:val="003D363D"/>
    <w:rsid w:val="003E2E84"/>
    <w:rsid w:val="00425BB5"/>
    <w:rsid w:val="00426C91"/>
    <w:rsid w:val="004317BB"/>
    <w:rsid w:val="00460ACC"/>
    <w:rsid w:val="004A09A3"/>
    <w:rsid w:val="004B1074"/>
    <w:rsid w:val="004D142A"/>
    <w:rsid w:val="004E5CB3"/>
    <w:rsid w:val="00510AEF"/>
    <w:rsid w:val="00543AA2"/>
    <w:rsid w:val="00556977"/>
    <w:rsid w:val="0056049C"/>
    <w:rsid w:val="00565C78"/>
    <w:rsid w:val="0058586B"/>
    <w:rsid w:val="00586D7E"/>
    <w:rsid w:val="005A592B"/>
    <w:rsid w:val="005D2F41"/>
    <w:rsid w:val="00614719"/>
    <w:rsid w:val="00617713"/>
    <w:rsid w:val="00630214"/>
    <w:rsid w:val="00647EBA"/>
    <w:rsid w:val="00651980"/>
    <w:rsid w:val="00697992"/>
    <w:rsid w:val="006A2E9F"/>
    <w:rsid w:val="006A3ECA"/>
    <w:rsid w:val="006A3ECB"/>
    <w:rsid w:val="006B6478"/>
    <w:rsid w:val="006C17A0"/>
    <w:rsid w:val="006C23CC"/>
    <w:rsid w:val="006D4DBB"/>
    <w:rsid w:val="006E0FD6"/>
    <w:rsid w:val="006E15DD"/>
    <w:rsid w:val="006F29C5"/>
    <w:rsid w:val="006F5EA9"/>
    <w:rsid w:val="00701130"/>
    <w:rsid w:val="007279B8"/>
    <w:rsid w:val="00734BE6"/>
    <w:rsid w:val="00746AB1"/>
    <w:rsid w:val="0076144B"/>
    <w:rsid w:val="007650DC"/>
    <w:rsid w:val="00772338"/>
    <w:rsid w:val="00797315"/>
    <w:rsid w:val="007C0D6A"/>
    <w:rsid w:val="007E13FD"/>
    <w:rsid w:val="007E1548"/>
    <w:rsid w:val="007F11C3"/>
    <w:rsid w:val="007F3296"/>
    <w:rsid w:val="008308A2"/>
    <w:rsid w:val="00836BBC"/>
    <w:rsid w:val="00842733"/>
    <w:rsid w:val="008778C5"/>
    <w:rsid w:val="0088215C"/>
    <w:rsid w:val="008B42A3"/>
    <w:rsid w:val="008C2120"/>
    <w:rsid w:val="008C54B6"/>
    <w:rsid w:val="008E4294"/>
    <w:rsid w:val="00914A2B"/>
    <w:rsid w:val="00934D41"/>
    <w:rsid w:val="0096788A"/>
    <w:rsid w:val="009B1F00"/>
    <w:rsid w:val="009B4D25"/>
    <w:rsid w:val="009B7F1B"/>
    <w:rsid w:val="009D1834"/>
    <w:rsid w:val="009E33F5"/>
    <w:rsid w:val="00A0229E"/>
    <w:rsid w:val="00A10F3E"/>
    <w:rsid w:val="00A21B70"/>
    <w:rsid w:val="00A3142C"/>
    <w:rsid w:val="00A36504"/>
    <w:rsid w:val="00A41BDE"/>
    <w:rsid w:val="00A548F4"/>
    <w:rsid w:val="00A54B60"/>
    <w:rsid w:val="00A57224"/>
    <w:rsid w:val="00A615D0"/>
    <w:rsid w:val="00A730E8"/>
    <w:rsid w:val="00A73D06"/>
    <w:rsid w:val="00AA47C9"/>
    <w:rsid w:val="00AB2B57"/>
    <w:rsid w:val="00AC7233"/>
    <w:rsid w:val="00AD0821"/>
    <w:rsid w:val="00AF2045"/>
    <w:rsid w:val="00B06A78"/>
    <w:rsid w:val="00B16710"/>
    <w:rsid w:val="00B26CD7"/>
    <w:rsid w:val="00B339CB"/>
    <w:rsid w:val="00B45C73"/>
    <w:rsid w:val="00B62C71"/>
    <w:rsid w:val="00B9703A"/>
    <w:rsid w:val="00BA65E3"/>
    <w:rsid w:val="00BB37A4"/>
    <w:rsid w:val="00C1198B"/>
    <w:rsid w:val="00C33045"/>
    <w:rsid w:val="00C43905"/>
    <w:rsid w:val="00C97EBD"/>
    <w:rsid w:val="00CB4A41"/>
    <w:rsid w:val="00CB5808"/>
    <w:rsid w:val="00CB6D32"/>
    <w:rsid w:val="00CD2729"/>
    <w:rsid w:val="00CE5A5C"/>
    <w:rsid w:val="00CF567A"/>
    <w:rsid w:val="00D0340A"/>
    <w:rsid w:val="00D21F90"/>
    <w:rsid w:val="00D370BC"/>
    <w:rsid w:val="00D608E7"/>
    <w:rsid w:val="00D72A84"/>
    <w:rsid w:val="00D96BA1"/>
    <w:rsid w:val="00DA0CEA"/>
    <w:rsid w:val="00DB61BD"/>
    <w:rsid w:val="00DB6713"/>
    <w:rsid w:val="00DC5D00"/>
    <w:rsid w:val="00DE236F"/>
    <w:rsid w:val="00E05704"/>
    <w:rsid w:val="00E3283D"/>
    <w:rsid w:val="00E37D3F"/>
    <w:rsid w:val="00E80272"/>
    <w:rsid w:val="00E93E8C"/>
    <w:rsid w:val="00E96A8C"/>
    <w:rsid w:val="00EA14F1"/>
    <w:rsid w:val="00EE0117"/>
    <w:rsid w:val="00F02DE8"/>
    <w:rsid w:val="00F03CE5"/>
    <w:rsid w:val="00F05EF2"/>
    <w:rsid w:val="00F1454F"/>
    <w:rsid w:val="00F14848"/>
    <w:rsid w:val="00F22152"/>
    <w:rsid w:val="00F576E7"/>
    <w:rsid w:val="00FA36D7"/>
    <w:rsid w:val="00FC5D63"/>
    <w:rsid w:val="00FD666B"/>
    <w:rsid w:val="00FE3A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1CD0A"/>
  <w15:chartTrackingRefBased/>
  <w15:docId w15:val="{CA2E4DCE-AB1B-47DF-957A-D9B2802F4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2B45"/>
    <w:pPr>
      <w:widowControl w:val="0"/>
      <w:jc w:val="both"/>
    </w:pPr>
  </w:style>
  <w:style w:type="paragraph" w:styleId="1">
    <w:name w:val="heading 1"/>
    <w:next w:val="a0"/>
    <w:link w:val="10"/>
    <w:autoRedefine/>
    <w:uiPriority w:val="1"/>
    <w:qFormat/>
    <w:rsid w:val="00630214"/>
    <w:pPr>
      <w:keepNext/>
      <w:keepLines/>
      <w:pageBreakBefore/>
      <w:spacing w:beforeLines="50" w:before="50" w:afterLines="50" w:after="50" w:line="360" w:lineRule="auto"/>
      <w:jc w:val="center"/>
      <w:outlineLvl w:val="0"/>
    </w:pPr>
    <w:rPr>
      <w:rFonts w:eastAsia="黑体" w:cs="Times New Roman"/>
      <w:bCs/>
      <w:kern w:val="0"/>
      <w:sz w:val="32"/>
      <w:szCs w:val="44"/>
    </w:rPr>
  </w:style>
  <w:style w:type="paragraph" w:styleId="2">
    <w:name w:val="heading 2"/>
    <w:next w:val="a0"/>
    <w:link w:val="20"/>
    <w:autoRedefine/>
    <w:uiPriority w:val="1"/>
    <w:qFormat/>
    <w:rsid w:val="00630214"/>
    <w:pPr>
      <w:keepNext/>
      <w:keepLines/>
      <w:spacing w:beforeLines="50" w:before="50" w:afterLines="50" w:line="360" w:lineRule="auto"/>
      <w:jc w:val="both"/>
      <w:outlineLvl w:val="1"/>
    </w:pPr>
    <w:rPr>
      <w:rFonts w:eastAsia="黑体" w:cs="Times New Roman"/>
      <w:bCs/>
      <w:sz w:val="28"/>
      <w:szCs w:val="32"/>
    </w:rPr>
  </w:style>
  <w:style w:type="paragraph" w:styleId="3">
    <w:name w:val="heading 3"/>
    <w:next w:val="a0"/>
    <w:link w:val="30"/>
    <w:autoRedefine/>
    <w:uiPriority w:val="1"/>
    <w:qFormat/>
    <w:rsid w:val="00630214"/>
    <w:pPr>
      <w:keepNext/>
      <w:keepLines/>
      <w:spacing w:beforeLines="50" w:before="50" w:afterLines="50" w:line="360" w:lineRule="auto"/>
      <w:jc w:val="both"/>
      <w:outlineLvl w:val="2"/>
    </w:pPr>
    <w:rPr>
      <w:rFonts w:eastAsia="黑体" w:cs="Times New Roman"/>
      <w:bCs/>
      <w:color w:val="000000"/>
      <w:kern w:val="0"/>
      <w:szCs w:val="24"/>
      <w:lang w:eastAsia="ar-SA"/>
    </w:rPr>
  </w:style>
  <w:style w:type="paragraph" w:styleId="4">
    <w:name w:val="heading 4"/>
    <w:next w:val="a0"/>
    <w:link w:val="40"/>
    <w:autoRedefine/>
    <w:uiPriority w:val="1"/>
    <w:qFormat/>
    <w:rsid w:val="00630214"/>
    <w:pPr>
      <w:keepNext/>
      <w:keepLines/>
      <w:spacing w:beforeLines="50" w:before="50" w:afterLines="50" w:after="50" w:line="360" w:lineRule="auto"/>
      <w:jc w:val="both"/>
      <w:outlineLvl w:val="3"/>
    </w:pPr>
    <w:rPr>
      <w:rFonts w:cs="Times New Roman"/>
      <w:b/>
      <w:bCs/>
      <w:szCs w:val="28"/>
    </w:rPr>
  </w:style>
  <w:style w:type="paragraph" w:styleId="5">
    <w:name w:val="heading 5"/>
    <w:next w:val="a0"/>
    <w:link w:val="50"/>
    <w:autoRedefine/>
    <w:uiPriority w:val="1"/>
    <w:qFormat/>
    <w:rsid w:val="00630214"/>
    <w:pPr>
      <w:keepNext/>
      <w:keepLines/>
      <w:spacing w:beforeLines="50" w:before="50" w:afterLines="50" w:after="50" w:line="360" w:lineRule="auto"/>
      <w:outlineLvl w:val="4"/>
    </w:pPr>
    <w:rPr>
      <w:rFonts w:cs="Times New Roman"/>
      <w:bCs/>
      <w:szCs w:val="28"/>
    </w:rPr>
  </w:style>
  <w:style w:type="paragraph" w:styleId="6">
    <w:name w:val="heading 6"/>
    <w:next w:val="a0"/>
    <w:link w:val="60"/>
    <w:autoRedefine/>
    <w:uiPriority w:val="1"/>
    <w:qFormat/>
    <w:rsid w:val="00630214"/>
    <w:pPr>
      <w:spacing w:beforeLines="50" w:before="50" w:afterLines="50" w:after="50" w:line="360" w:lineRule="auto"/>
      <w:jc w:val="both"/>
      <w:outlineLvl w:val="5"/>
    </w:pPr>
    <w:rPr>
      <w:rFonts w:cs="Times New Roman"/>
      <w:bCs/>
      <w:szCs w:val="24"/>
    </w:rPr>
  </w:style>
  <w:style w:type="paragraph" w:styleId="7">
    <w:name w:val="heading 7"/>
    <w:next w:val="a0"/>
    <w:link w:val="70"/>
    <w:autoRedefine/>
    <w:uiPriority w:val="2"/>
    <w:unhideWhenUsed/>
    <w:qFormat/>
    <w:rsid w:val="00630214"/>
    <w:pPr>
      <w:keepNext/>
      <w:keepLines/>
      <w:spacing w:beforeLines="50" w:before="50" w:afterLines="50" w:after="50" w:line="360" w:lineRule="auto"/>
      <w:outlineLvl w:val="6"/>
    </w:pPr>
    <w:rPr>
      <w:rFonts w:cs="Times New Roman"/>
      <w:bCs/>
      <w:szCs w:val="24"/>
    </w:rPr>
  </w:style>
  <w:style w:type="paragraph" w:styleId="8">
    <w:name w:val="heading 8"/>
    <w:basedOn w:val="a"/>
    <w:next w:val="a"/>
    <w:link w:val="80"/>
    <w:uiPriority w:val="9"/>
    <w:semiHidden/>
    <w:unhideWhenUsed/>
    <w:qFormat/>
    <w:rsid w:val="00032B45"/>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032B45"/>
    <w:pPr>
      <w:keepNext/>
      <w:keepLines/>
      <w:outlineLvl w:val="8"/>
    </w:pPr>
    <w:rPr>
      <w:rFonts w:asciiTheme="minorHAnsi" w:eastAsiaTheme="majorEastAsia" w:hAnsiTheme="minorHAnsi"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1"/>
    <w:rsid w:val="009D1834"/>
    <w:rPr>
      <w:rFonts w:ascii="Times New Roman" w:eastAsia="黑体" w:hAnsi="Times New Roman" w:cs="Times New Roman"/>
      <w:bCs/>
      <w:kern w:val="0"/>
      <w:sz w:val="32"/>
      <w:szCs w:val="44"/>
    </w:rPr>
  </w:style>
  <w:style w:type="paragraph" w:styleId="a0">
    <w:name w:val="Normal Indent"/>
    <w:autoRedefine/>
    <w:qFormat/>
    <w:rsid w:val="00003434"/>
    <w:pPr>
      <w:spacing w:beforeLines="50" w:before="50" w:line="360" w:lineRule="auto"/>
      <w:ind w:firstLineChars="200" w:firstLine="200"/>
      <w:jc w:val="both"/>
    </w:pPr>
    <w:rPr>
      <w:rFonts w:cs="Times New Roman"/>
      <w:szCs w:val="23"/>
    </w:rPr>
  </w:style>
  <w:style w:type="character" w:customStyle="1" w:styleId="20">
    <w:name w:val="标题 2 字符"/>
    <w:basedOn w:val="a1"/>
    <w:link w:val="2"/>
    <w:uiPriority w:val="1"/>
    <w:rsid w:val="009D1834"/>
    <w:rPr>
      <w:rFonts w:ascii="Times New Roman" w:eastAsia="黑体" w:hAnsi="Times New Roman" w:cs="Times New Roman"/>
      <w:bCs/>
      <w:sz w:val="28"/>
      <w:szCs w:val="32"/>
    </w:rPr>
  </w:style>
  <w:style w:type="character" w:customStyle="1" w:styleId="30">
    <w:name w:val="标题 3 字符"/>
    <w:basedOn w:val="a1"/>
    <w:link w:val="3"/>
    <w:uiPriority w:val="1"/>
    <w:rsid w:val="009D1834"/>
    <w:rPr>
      <w:rFonts w:ascii="Times New Roman" w:eastAsia="黑体" w:hAnsi="Times New Roman" w:cs="Times New Roman"/>
      <w:bCs/>
      <w:color w:val="000000"/>
      <w:kern w:val="0"/>
      <w:sz w:val="24"/>
      <w:szCs w:val="24"/>
      <w:lang w:eastAsia="ar-SA"/>
    </w:rPr>
  </w:style>
  <w:style w:type="character" w:customStyle="1" w:styleId="40">
    <w:name w:val="标题 4 字符"/>
    <w:basedOn w:val="a1"/>
    <w:link w:val="4"/>
    <w:uiPriority w:val="1"/>
    <w:rsid w:val="00340763"/>
    <w:rPr>
      <w:rFonts w:ascii="Times New Roman" w:eastAsia="宋体" w:hAnsi="Times New Roman" w:cs="Times New Roman"/>
      <w:b/>
      <w:bCs/>
      <w:sz w:val="24"/>
      <w:szCs w:val="28"/>
    </w:rPr>
  </w:style>
  <w:style w:type="character" w:customStyle="1" w:styleId="50">
    <w:name w:val="标题 5 字符"/>
    <w:basedOn w:val="a1"/>
    <w:link w:val="5"/>
    <w:uiPriority w:val="1"/>
    <w:rsid w:val="00630214"/>
    <w:rPr>
      <w:rFonts w:ascii="Times New Roman" w:eastAsia="宋体" w:hAnsi="Times New Roman" w:cs="Times New Roman"/>
      <w:bCs/>
      <w:sz w:val="24"/>
      <w:szCs w:val="28"/>
    </w:rPr>
  </w:style>
  <w:style w:type="character" w:customStyle="1" w:styleId="60">
    <w:name w:val="标题 6 字符"/>
    <w:basedOn w:val="a1"/>
    <w:link w:val="6"/>
    <w:uiPriority w:val="1"/>
    <w:rsid w:val="009E33F5"/>
    <w:rPr>
      <w:rFonts w:ascii="Times New Roman" w:eastAsia="宋体" w:hAnsi="Times New Roman" w:cs="Times New Roman"/>
      <w:bCs/>
      <w:sz w:val="24"/>
      <w:szCs w:val="24"/>
    </w:rPr>
  </w:style>
  <w:style w:type="character" w:customStyle="1" w:styleId="70">
    <w:name w:val="标题 7 字符"/>
    <w:basedOn w:val="a1"/>
    <w:link w:val="7"/>
    <w:uiPriority w:val="2"/>
    <w:rsid w:val="009D1834"/>
    <w:rPr>
      <w:rFonts w:ascii="Times New Roman" w:eastAsia="宋体" w:hAnsi="Times New Roman" w:cs="Times New Roman"/>
      <w:bCs/>
      <w:sz w:val="24"/>
      <w:szCs w:val="24"/>
    </w:rPr>
  </w:style>
  <w:style w:type="paragraph" w:customStyle="1" w:styleId="a4">
    <w:name w:val="表格后说明"/>
    <w:next w:val="a0"/>
    <w:autoRedefine/>
    <w:uiPriority w:val="3"/>
    <w:qFormat/>
    <w:rsid w:val="00F03CE5"/>
    <w:pPr>
      <w:jc w:val="both"/>
    </w:pPr>
    <w:rPr>
      <w:rFonts w:cs="Times New Roman"/>
      <w:szCs w:val="24"/>
    </w:rPr>
  </w:style>
  <w:style w:type="paragraph" w:customStyle="1" w:styleId="a5">
    <w:name w:val="表格前单位"/>
    <w:next w:val="a0"/>
    <w:autoRedefine/>
    <w:uiPriority w:val="2"/>
    <w:qFormat/>
    <w:rsid w:val="003778B0"/>
    <w:pPr>
      <w:keepNext/>
      <w:jc w:val="right"/>
    </w:pPr>
    <w:rPr>
      <w:rFonts w:cs="Times New Roman"/>
      <w:sz w:val="21"/>
    </w:rPr>
  </w:style>
  <w:style w:type="table" w:customStyle="1" w:styleId="a6">
    <w:name w:val="报告表格"/>
    <w:basedOn w:val="a2"/>
    <w:uiPriority w:val="99"/>
    <w:rsid w:val="00F22152"/>
    <w:rPr>
      <w:sz w:val="18"/>
    </w:rPr>
    <w:tblPr/>
  </w:style>
  <w:style w:type="paragraph" w:styleId="TOC">
    <w:name w:val="TOC Heading"/>
    <w:basedOn w:val="1"/>
    <w:next w:val="a"/>
    <w:uiPriority w:val="39"/>
    <w:unhideWhenUsed/>
    <w:qFormat/>
    <w:rsid w:val="00EE0117"/>
    <w:pPr>
      <w:pageBreakBefore w:val="0"/>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EE0117"/>
    <w:rPr>
      <w:rFonts w:eastAsia="黑体"/>
    </w:rPr>
  </w:style>
  <w:style w:type="paragraph" w:styleId="TOC2">
    <w:name w:val="toc 2"/>
    <w:basedOn w:val="a"/>
    <w:next w:val="a"/>
    <w:autoRedefine/>
    <w:uiPriority w:val="39"/>
    <w:unhideWhenUsed/>
    <w:rsid w:val="00EE0117"/>
    <w:pPr>
      <w:ind w:leftChars="200" w:left="420"/>
    </w:pPr>
    <w:rPr>
      <w:rFonts w:eastAsia="黑体"/>
    </w:rPr>
  </w:style>
  <w:style w:type="paragraph" w:styleId="TOC3">
    <w:name w:val="toc 3"/>
    <w:basedOn w:val="a"/>
    <w:next w:val="a"/>
    <w:autoRedefine/>
    <w:uiPriority w:val="39"/>
    <w:unhideWhenUsed/>
    <w:rsid w:val="00EE0117"/>
    <w:pPr>
      <w:ind w:leftChars="400" w:left="840"/>
    </w:pPr>
    <w:rPr>
      <w:rFonts w:eastAsia="黑体"/>
    </w:rPr>
  </w:style>
  <w:style w:type="paragraph" w:styleId="a7">
    <w:name w:val="Body Text"/>
    <w:basedOn w:val="a"/>
    <w:link w:val="a8"/>
    <w:autoRedefine/>
    <w:qFormat/>
    <w:rsid w:val="00DB6713"/>
    <w:pPr>
      <w:widowControl/>
      <w:spacing w:before="100" w:beforeAutospacing="1" w:after="100" w:afterAutospacing="1"/>
    </w:pPr>
    <w:rPr>
      <w:rFonts w:ascii="Garamond" w:hAnsi="Garamond" w:cs="Times New Roman"/>
      <w:bCs/>
      <w:color w:val="000000"/>
      <w:kern w:val="0"/>
      <w:sz w:val="21"/>
      <w:szCs w:val="20"/>
      <w:lang w:val="zh-CN"/>
    </w:rPr>
  </w:style>
  <w:style w:type="character" w:customStyle="1" w:styleId="a8">
    <w:name w:val="正文文本 字符"/>
    <w:basedOn w:val="a1"/>
    <w:link w:val="a7"/>
    <w:rsid w:val="00DB6713"/>
    <w:rPr>
      <w:rFonts w:ascii="Garamond" w:hAnsi="Garamond" w:cs="Times New Roman"/>
      <w:bCs/>
      <w:color w:val="000000"/>
      <w:kern w:val="0"/>
      <w:sz w:val="21"/>
      <w:szCs w:val="20"/>
      <w:lang w:val="zh-CN"/>
    </w:rPr>
  </w:style>
  <w:style w:type="character" w:customStyle="1" w:styleId="80">
    <w:name w:val="标题 8 字符"/>
    <w:basedOn w:val="a1"/>
    <w:link w:val="8"/>
    <w:uiPriority w:val="9"/>
    <w:semiHidden/>
    <w:rsid w:val="00032B45"/>
    <w:rPr>
      <w:rFonts w:asciiTheme="minorHAnsi" w:eastAsiaTheme="minorEastAsia" w:hAnsiTheme="minorHAnsi" w:cstheme="majorBidi"/>
      <w:color w:val="595959" w:themeColor="text1" w:themeTint="A6"/>
    </w:rPr>
  </w:style>
  <w:style w:type="character" w:customStyle="1" w:styleId="90">
    <w:name w:val="标题 9 字符"/>
    <w:basedOn w:val="a1"/>
    <w:link w:val="9"/>
    <w:uiPriority w:val="9"/>
    <w:semiHidden/>
    <w:rsid w:val="00032B45"/>
    <w:rPr>
      <w:rFonts w:asciiTheme="minorHAnsi" w:eastAsiaTheme="majorEastAsia" w:hAnsiTheme="minorHAnsi" w:cstheme="majorBidi"/>
      <w:color w:val="595959" w:themeColor="text1" w:themeTint="A6"/>
    </w:rPr>
  </w:style>
  <w:style w:type="paragraph" w:styleId="a9">
    <w:name w:val="Title"/>
    <w:basedOn w:val="a"/>
    <w:next w:val="a"/>
    <w:link w:val="aa"/>
    <w:uiPriority w:val="10"/>
    <w:qFormat/>
    <w:rsid w:val="00032B45"/>
    <w:pPr>
      <w:spacing w:after="80"/>
      <w:contextualSpacing/>
      <w:jc w:val="center"/>
    </w:pPr>
    <w:rPr>
      <w:rFonts w:asciiTheme="majorHAnsi" w:eastAsiaTheme="majorEastAsia" w:hAnsiTheme="majorHAnsi" w:cstheme="majorBidi"/>
      <w:spacing w:val="-10"/>
      <w:kern w:val="28"/>
      <w:sz w:val="56"/>
      <w:szCs w:val="56"/>
    </w:rPr>
  </w:style>
  <w:style w:type="character" w:customStyle="1" w:styleId="aa">
    <w:name w:val="标题 字符"/>
    <w:basedOn w:val="a1"/>
    <w:link w:val="a9"/>
    <w:uiPriority w:val="10"/>
    <w:rsid w:val="00032B45"/>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032B4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1"/>
    <w:link w:val="ab"/>
    <w:uiPriority w:val="11"/>
    <w:rsid w:val="00032B45"/>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rsid w:val="00032B45"/>
    <w:pPr>
      <w:spacing w:before="160" w:after="160"/>
      <w:jc w:val="center"/>
    </w:pPr>
    <w:rPr>
      <w:i/>
      <w:iCs/>
      <w:color w:val="404040" w:themeColor="text1" w:themeTint="BF"/>
    </w:rPr>
  </w:style>
  <w:style w:type="character" w:customStyle="1" w:styleId="ae">
    <w:name w:val="引用 字符"/>
    <w:basedOn w:val="a1"/>
    <w:link w:val="ad"/>
    <w:uiPriority w:val="29"/>
    <w:rsid w:val="00032B45"/>
    <w:rPr>
      <w:i/>
      <w:iCs/>
      <w:color w:val="404040" w:themeColor="text1" w:themeTint="BF"/>
    </w:rPr>
  </w:style>
  <w:style w:type="paragraph" w:styleId="af">
    <w:name w:val="List Paragraph"/>
    <w:basedOn w:val="a"/>
    <w:uiPriority w:val="34"/>
    <w:qFormat/>
    <w:rsid w:val="00032B45"/>
    <w:pPr>
      <w:ind w:left="720"/>
      <w:contextualSpacing/>
    </w:pPr>
  </w:style>
  <w:style w:type="character" w:styleId="af0">
    <w:name w:val="Intense Emphasis"/>
    <w:basedOn w:val="a1"/>
    <w:uiPriority w:val="21"/>
    <w:qFormat/>
    <w:rsid w:val="00032B45"/>
    <w:rPr>
      <w:i/>
      <w:iCs/>
      <w:color w:val="0F4761" w:themeColor="accent1" w:themeShade="BF"/>
    </w:rPr>
  </w:style>
  <w:style w:type="paragraph" w:styleId="af1">
    <w:name w:val="Intense Quote"/>
    <w:basedOn w:val="a"/>
    <w:next w:val="a"/>
    <w:link w:val="af2"/>
    <w:uiPriority w:val="30"/>
    <w:qFormat/>
    <w:rsid w:val="00032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1"/>
    <w:link w:val="af1"/>
    <w:uiPriority w:val="30"/>
    <w:rsid w:val="00032B45"/>
    <w:rPr>
      <w:i/>
      <w:iCs/>
      <w:color w:val="0F4761" w:themeColor="accent1" w:themeShade="BF"/>
    </w:rPr>
  </w:style>
  <w:style w:type="character" w:styleId="af3">
    <w:name w:val="Intense Reference"/>
    <w:basedOn w:val="a1"/>
    <w:uiPriority w:val="32"/>
    <w:qFormat/>
    <w:rsid w:val="00032B45"/>
    <w:rPr>
      <w:b/>
      <w:bCs/>
      <w:smallCaps/>
      <w:color w:val="0F4761" w:themeColor="accent1" w:themeShade="BF"/>
      <w:spacing w:val="5"/>
    </w:rPr>
  </w:style>
  <w:style w:type="paragraph" w:customStyle="1" w:styleId="005">
    <w:name w:val="005正文"/>
    <w:qFormat/>
    <w:rsid w:val="00032B45"/>
    <w:pPr>
      <w:widowControl w:val="0"/>
      <w:spacing w:beforeLines="50" w:before="50" w:afterLines="50" w:after="50" w:line="360" w:lineRule="auto"/>
      <w:ind w:firstLineChars="200" w:firstLine="200"/>
      <w:jc w:val="both"/>
    </w:pPr>
    <w:rPr>
      <w:rFonts w:cs="Times New Roman"/>
      <w:szCs w:val="22"/>
    </w:rPr>
  </w:style>
  <w:style w:type="paragraph" w:customStyle="1" w:styleId="002">
    <w:name w:val="002二级标题"/>
    <w:qFormat/>
    <w:rsid w:val="00032B45"/>
    <w:pPr>
      <w:keepNext/>
      <w:keepLines/>
      <w:widowControl w:val="0"/>
      <w:spacing w:beforeLines="50" w:before="50" w:afterLines="50" w:after="50" w:line="360" w:lineRule="auto"/>
      <w:jc w:val="both"/>
      <w:outlineLvl w:val="1"/>
    </w:pPr>
    <w:rPr>
      <w:rFonts w:eastAsia="黑体" w:cs="Times New Roman"/>
      <w:b/>
      <w:bCs/>
      <w:sz w:val="28"/>
      <w:szCs w:val="28"/>
    </w:rPr>
  </w:style>
  <w:style w:type="paragraph" w:customStyle="1" w:styleId="004">
    <w:name w:val="004四级标题"/>
    <w:qFormat/>
    <w:rsid w:val="00032B45"/>
    <w:pPr>
      <w:keepNext/>
      <w:keepLines/>
      <w:widowControl w:val="0"/>
      <w:spacing w:beforeLines="50" w:before="50" w:afterLines="50" w:after="50" w:line="360" w:lineRule="auto"/>
      <w:ind w:firstLineChars="200" w:firstLine="200"/>
      <w:jc w:val="both"/>
      <w:outlineLvl w:val="3"/>
    </w:pPr>
    <w:rPr>
      <w:rFonts w:cs="Times New Roman"/>
      <w:b/>
      <w:bCs/>
      <w:szCs w:val="28"/>
      <w:lang w:val="zh-CN"/>
    </w:rPr>
  </w:style>
  <w:style w:type="paragraph" w:styleId="af4">
    <w:name w:val="footnote text"/>
    <w:basedOn w:val="a"/>
    <w:link w:val="af5"/>
    <w:uiPriority w:val="99"/>
    <w:semiHidden/>
    <w:unhideWhenUsed/>
    <w:rsid w:val="00032B45"/>
    <w:pPr>
      <w:snapToGrid w:val="0"/>
      <w:jc w:val="left"/>
    </w:pPr>
    <w:rPr>
      <w:sz w:val="18"/>
      <w:szCs w:val="18"/>
    </w:rPr>
  </w:style>
  <w:style w:type="character" w:customStyle="1" w:styleId="af5">
    <w:name w:val="脚注文本 字符"/>
    <w:basedOn w:val="a1"/>
    <w:link w:val="af4"/>
    <w:uiPriority w:val="99"/>
    <w:semiHidden/>
    <w:rsid w:val="00032B45"/>
    <w:rPr>
      <w:sz w:val="18"/>
      <w:szCs w:val="18"/>
    </w:rPr>
  </w:style>
  <w:style w:type="character" w:styleId="af6">
    <w:name w:val="footnote reference"/>
    <w:basedOn w:val="a1"/>
    <w:uiPriority w:val="99"/>
    <w:semiHidden/>
    <w:unhideWhenUsed/>
    <w:rsid w:val="00032B45"/>
    <w:rPr>
      <w:vertAlign w:val="superscript"/>
    </w:rPr>
  </w:style>
  <w:style w:type="table" w:styleId="af7">
    <w:name w:val="Table Grid"/>
    <w:basedOn w:val="a2"/>
    <w:uiPriority w:val="39"/>
    <w:rsid w:val="003778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047D7D"/>
    <w:pPr>
      <w:tabs>
        <w:tab w:val="center" w:pos="4153"/>
        <w:tab w:val="right" w:pos="8306"/>
      </w:tabs>
      <w:snapToGrid w:val="0"/>
      <w:jc w:val="center"/>
    </w:pPr>
    <w:rPr>
      <w:sz w:val="18"/>
      <w:szCs w:val="18"/>
    </w:rPr>
  </w:style>
  <w:style w:type="character" w:customStyle="1" w:styleId="af9">
    <w:name w:val="页眉 字符"/>
    <w:basedOn w:val="a1"/>
    <w:link w:val="af8"/>
    <w:uiPriority w:val="99"/>
    <w:rsid w:val="00047D7D"/>
    <w:rPr>
      <w:sz w:val="18"/>
      <w:szCs w:val="18"/>
    </w:rPr>
  </w:style>
  <w:style w:type="paragraph" w:styleId="afa">
    <w:name w:val="footer"/>
    <w:basedOn w:val="a"/>
    <w:link w:val="afb"/>
    <w:uiPriority w:val="99"/>
    <w:unhideWhenUsed/>
    <w:rsid w:val="00047D7D"/>
    <w:pPr>
      <w:tabs>
        <w:tab w:val="center" w:pos="4153"/>
        <w:tab w:val="right" w:pos="8306"/>
      </w:tabs>
      <w:snapToGrid w:val="0"/>
      <w:jc w:val="left"/>
    </w:pPr>
    <w:rPr>
      <w:sz w:val="18"/>
      <w:szCs w:val="18"/>
    </w:rPr>
  </w:style>
  <w:style w:type="character" w:customStyle="1" w:styleId="afb">
    <w:name w:val="页脚 字符"/>
    <w:basedOn w:val="a1"/>
    <w:link w:val="afa"/>
    <w:uiPriority w:val="99"/>
    <w:rsid w:val="00047D7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6B157-2724-4E2A-8B65-7B00C204A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4</Pages>
  <Words>365</Words>
  <Characters>2081</Characters>
  <Application>Microsoft Office Word</Application>
  <DocSecurity>0</DocSecurity>
  <Lines>17</Lines>
  <Paragraphs>4</Paragraphs>
  <ScaleCrop>false</ScaleCrop>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10</cp:revision>
  <dcterms:created xsi:type="dcterms:W3CDTF">2026-02-05T07:38:00Z</dcterms:created>
  <dcterms:modified xsi:type="dcterms:W3CDTF">2026-04-08T09:23:00Z</dcterms:modified>
  <cp:category/>
</cp:coreProperties>
</file>