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pageBreakBefore w:val="0"/>
      </w:pPr>
      <w:r>
        <w:rPr>
          <w:rFonts w:hint="eastAsia"/>
          <w:b w:val="0"/>
        </w:rPr>
        <w:t>轨道转移飞行器（OTV）行业资料</w:t>
      </w:r>
    </w:p>
    <w:p>
      <w:pPr>
        <w:pStyle w:val="004"/>
      </w:pPr>
      <w:r>
        <w:rPr>
          <w:rFonts w:hint="eastAsia"/>
          <w:b/>
        </w:rPr>
        <w:t>1、无限宇航概况</w:t>
      </w:r>
    </w:p>
    <w:p>
      <w:pPr>
        <w:pStyle w:val="005"/>
      </w:pPr>
      <w:r>
        <w:rPr>
          <w:rFonts w:hint="eastAsia"/>
          <w:b w:val="0"/>
        </w:rPr>
        <w:t>北京无限宇航科技有限公司是面向商业卫星星座的轨道运输与在轨服务基础设施提供商，主营轨道转移飞行器（OTV）的研制与运营。公司披露的实际运营起始时间为2023年，核心团队来自航天科技集团。工商登记的成立日期为2019年3月20日，曾用名北京尚享煦航科技有限公司，2023年3月31日完成股东变更、名称变更与经营范围变更。</w:t>
      </w:r>
    </w:p>
    <w:p>
      <w:pPr>
        <w:pStyle w:val="005"/>
      </w:pPr>
      <w:r>
        <w:rPr>
          <w:rFonts w:hint="eastAsia"/>
          <w:b w:val="0"/>
        </w:rPr>
        <w:t>产品方面，公司主力产品为太空巴士系列轨道转移飞行器，面向200公里至36000公里轨道高度提供空间运输服务，可实现卫星异轨部署、多星拼车发射与星座智能部署。服务范围规划延伸至离轨与碎片清理、在轨加注与延寿、在轨维修。技术上采用化学推进路线，公司披露其300N变轨发动机为国内首款采用再生冷却技术的同量级发动机，另配备10N姿态控制发动机、高精度导航制导与控制系统及空间机械臂。</w:t>
      </w:r>
    </w:p>
    <w:p>
      <w:pPr>
        <w:pStyle w:val="005"/>
      </w:pPr>
      <w:r>
        <w:rPr>
          <w:rFonts w:hint="eastAsia"/>
          <w:b w:val="0"/>
        </w:rPr>
        <w:t>进展方面，公司披露2024年9月完成OTV变轨发动机点火，2025年3月完成太空巴士-1全系统试车。首款产品太空巴士IH-1已完成全系统地面试车，计划2026年下半年执行首次在轨飞行任务。</w:t>
      </w:r>
    </w:p>
    <w:p>
      <w:pPr>
        <w:pStyle w:val="005"/>
      </w:pPr>
      <w:r>
        <w:rPr>
          <w:rFonts w:hint="eastAsia"/>
          <w:b w:val="0"/>
        </w:rPr>
        <w:t>行业位置方面，《新财富》2026年8月刊文将无限宇航列为国内最早系统化布局OTV的民营企业之一。公开资料所列国内三家OTV整机公司为无限宇航、未来宇航、往返九霄，其中无限宇航为已完成全系统地面试验验证、达到飞行状态的一家。融资方面，公司2025年3月完成数千万元天使轮融资，2026年8月完成近亿元A轮融资，累计融资超亿元。</w:t>
      </w:r>
    </w:p>
    <w:p>
      <w:pPr>
        <w:pStyle w:val="a4"/>
        <w:keepNext/>
        <w:jc w:val="center"/>
      </w:pPr>
      <w:r>
        <w:rPr>
          <w:rFonts w:hint="eastAsia"/>
          <w:b/>
          <w:sz w:val="21"/>
        </w:rPr>
        <w:t>表1  无限宇航基本情况</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4153"/>
        <w:gridCol w:w="4153"/>
      </w:tblGrid>
      <w:tr>
        <w:trPr>
          <w:cantSplit/>
          <w:tblHeader/>
        </w:trPr>
        <w:tc>
          <w:tcPr>
            <w:tcW w:w="1200" w:type="pct"/>
            <w:tcBorders>
              <w:top w:val="single" w:sz="12" w:space="0" w:color="010000"/>
              <w:bottom w:val="single" w:sz="4" w:space="0" w:color="010000"/>
            </w:tcBorders>
            <w:vAlign w:val="center"/>
          </w:tcPr>
          <w:p>
            <w:pPr>
              <w:keepNext/>
              <w:jc w:val="center"/>
            </w:pPr>
            <w:r>
              <w:rPr>
                <w:rFonts w:hint="eastAsia"/>
                <w:b/>
                <w:sz w:val="21"/>
              </w:rPr>
              <w:t>项目</w:t>
            </w:r>
          </w:p>
        </w:tc>
        <w:tc>
          <w:tcPr>
            <w:tcW w:w="3800" w:type="pct"/>
            <w:tcBorders>
              <w:top w:val="single" w:sz="12" w:space="0" w:color="010000"/>
              <w:bottom w:val="single" w:sz="4" w:space="0" w:color="010000"/>
            </w:tcBorders>
            <w:vAlign w:val="center"/>
          </w:tcPr>
          <w:p>
            <w:pPr>
              <w:keepNext/>
              <w:jc w:val="center"/>
            </w:pPr>
            <w:r>
              <w:rPr>
                <w:rFonts w:hint="eastAsia"/>
                <w:b/>
                <w:sz w:val="21"/>
              </w:rPr>
              <w:t>内容</w:t>
            </w:r>
          </w:p>
        </w:tc>
      </w:tr>
      <w:tr>
        <w:trPr>
          <w:cantSplit/>
        </w:trPr>
        <w:tc>
          <w:tcPr>
            <w:tcW w:w="1200" w:type="pct"/>
            <w:vAlign w:val="center"/>
          </w:tcPr>
          <w:p>
            <w:pPr>
              <w:keepNext/>
              <w:jc w:val="center"/>
            </w:pPr>
            <w:r>
              <w:rPr>
                <w:rFonts w:hint="eastAsia"/>
                <w:b w:val="0"/>
                <w:sz w:val="21"/>
              </w:rPr>
              <w:t>主营业务</w:t>
            </w:r>
          </w:p>
        </w:tc>
        <w:tc>
          <w:tcPr>
            <w:tcW w:w="3800" w:type="pct"/>
            <w:vAlign w:val="center"/>
          </w:tcPr>
          <w:p>
            <w:pPr>
              <w:keepNext/>
              <w:jc w:val="left"/>
            </w:pPr>
            <w:r>
              <w:rPr>
                <w:rFonts w:hint="eastAsia"/>
                <w:b w:val="0"/>
                <w:sz w:val="21"/>
              </w:rPr>
              <w:t>轨道转移飞行器研制与空间在轨服务</w:t>
            </w:r>
          </w:p>
        </w:tc>
      </w:tr>
      <w:tr>
        <w:trPr>
          <w:cantSplit/>
        </w:trPr>
        <w:tc>
          <w:tcPr>
            <w:tcW w:w="1200" w:type="pct"/>
            <w:vAlign w:val="center"/>
          </w:tcPr>
          <w:p>
            <w:pPr>
              <w:keepNext/>
              <w:jc w:val="center"/>
            </w:pPr>
            <w:r>
              <w:rPr>
                <w:rFonts w:hint="eastAsia"/>
                <w:b w:val="0"/>
                <w:sz w:val="21"/>
              </w:rPr>
              <w:t>主力产品</w:t>
            </w:r>
          </w:p>
        </w:tc>
        <w:tc>
          <w:tcPr>
            <w:tcW w:w="3800" w:type="pct"/>
            <w:vAlign w:val="center"/>
          </w:tcPr>
          <w:p>
            <w:pPr>
              <w:keepNext/>
              <w:jc w:val="left"/>
            </w:pPr>
            <w:r>
              <w:rPr>
                <w:rFonts w:hint="eastAsia"/>
                <w:b w:val="0"/>
                <w:sz w:val="21"/>
              </w:rPr>
              <w:t>太空巴士系列OTV，覆盖200至36000公里轨道高度</w:t>
            </w:r>
          </w:p>
        </w:tc>
      </w:tr>
      <w:tr>
        <w:trPr>
          <w:cantSplit/>
        </w:trPr>
        <w:tc>
          <w:tcPr>
            <w:tcW w:w="1200" w:type="pct"/>
            <w:vAlign w:val="center"/>
          </w:tcPr>
          <w:p>
            <w:pPr>
              <w:keepNext/>
              <w:jc w:val="center"/>
            </w:pPr>
            <w:r>
              <w:rPr>
                <w:rFonts w:hint="eastAsia"/>
                <w:b w:val="0"/>
                <w:sz w:val="21"/>
              </w:rPr>
              <w:t>技术路线</w:t>
            </w:r>
          </w:p>
        </w:tc>
        <w:tc>
          <w:tcPr>
            <w:tcW w:w="3800" w:type="pct"/>
            <w:vAlign w:val="center"/>
          </w:tcPr>
          <w:p>
            <w:pPr>
              <w:keepNext/>
              <w:jc w:val="left"/>
            </w:pPr>
            <w:r>
              <w:rPr>
                <w:rFonts w:hint="eastAsia"/>
                <w:b w:val="0"/>
                <w:sz w:val="21"/>
              </w:rPr>
              <w:t>化学推进为主，300N变轨发动机＋10N姿控发动机＋高精度GNC</w:t>
            </w:r>
          </w:p>
        </w:tc>
      </w:tr>
      <w:tr>
        <w:trPr>
          <w:cantSplit/>
        </w:trPr>
        <w:tc>
          <w:tcPr>
            <w:tcW w:w="1200" w:type="pct"/>
            <w:vAlign w:val="center"/>
          </w:tcPr>
          <w:p>
            <w:pPr>
              <w:keepNext/>
              <w:jc w:val="center"/>
            </w:pPr>
            <w:r>
              <w:rPr>
                <w:rFonts w:hint="eastAsia"/>
                <w:b w:val="0"/>
                <w:sz w:val="21"/>
              </w:rPr>
              <w:t>关键进展</w:t>
            </w:r>
          </w:p>
        </w:tc>
        <w:tc>
          <w:tcPr>
            <w:tcW w:w="3800" w:type="pct"/>
            <w:vAlign w:val="center"/>
          </w:tcPr>
          <w:p>
            <w:pPr>
              <w:keepNext/>
              <w:jc w:val="left"/>
            </w:pPr>
            <w:r>
              <w:rPr>
                <w:rFonts w:hint="eastAsia"/>
                <w:b w:val="0"/>
                <w:sz w:val="21"/>
              </w:rPr>
              <w:t>2024年9月变轨发动机点火；2025年3月全系统试车；计划2026年下半年首飞</w:t>
            </w:r>
          </w:p>
        </w:tc>
      </w:tr>
      <w:tr>
        <w:trPr>
          <w:cantSplit/>
        </w:trPr>
        <w:tc>
          <w:tcPr>
            <w:tcW w:w="1200" w:type="pct"/>
            <w:vAlign w:val="center"/>
          </w:tcPr>
          <w:p>
            <w:pPr>
              <w:keepNext/>
              <w:jc w:val="center"/>
            </w:pPr>
            <w:r>
              <w:rPr>
                <w:rFonts w:hint="eastAsia"/>
                <w:b w:val="0"/>
                <w:sz w:val="21"/>
              </w:rPr>
              <w:t>注册资本／实缴</w:t>
            </w:r>
          </w:p>
        </w:tc>
        <w:tc>
          <w:tcPr>
            <w:tcW w:w="3800" w:type="pct"/>
            <w:vAlign w:val="center"/>
          </w:tcPr>
          <w:p>
            <w:pPr>
              <w:keepNext/>
              <w:jc w:val="left"/>
            </w:pPr>
            <w:r>
              <w:rPr>
                <w:rFonts w:hint="eastAsia"/>
                <w:b w:val="0"/>
                <w:sz w:val="21"/>
              </w:rPr>
              <w:t>739.6027万元／270.672733万元</w:t>
            </w:r>
          </w:p>
        </w:tc>
      </w:tr>
      <w:tr>
        <w:trPr>
          <w:cantSplit/>
        </w:trPr>
        <w:tc>
          <w:tcPr>
            <w:tcW w:w="1200" w:type="pct"/>
            <w:vAlign w:val="center"/>
          </w:tcPr>
          <w:p>
            <w:pPr>
              <w:keepNext/>
              <w:jc w:val="center"/>
            </w:pPr>
            <w:r>
              <w:rPr>
                <w:rFonts w:hint="eastAsia"/>
                <w:b w:val="0"/>
                <w:sz w:val="21"/>
              </w:rPr>
              <w:t>参保人数</w:t>
            </w:r>
          </w:p>
        </w:tc>
        <w:tc>
          <w:tcPr>
            <w:tcW w:w="3800" w:type="pct"/>
            <w:vAlign w:val="center"/>
          </w:tcPr>
          <w:p>
            <w:pPr>
              <w:keepNext/>
              <w:jc w:val="left"/>
            </w:pPr>
            <w:r>
              <w:rPr>
                <w:rFonts w:hint="eastAsia"/>
                <w:b w:val="0"/>
                <w:sz w:val="21"/>
              </w:rPr>
              <w:t>21人（2025年报）</w:t>
            </w:r>
          </w:p>
        </w:tc>
      </w:tr>
      <w:tr>
        <w:trPr>
          <w:cantSplit/>
        </w:trPr>
        <w:tc>
          <w:tcPr>
            <w:tcW w:w="1200" w:type="pct"/>
            <w:tcBorders>
              <w:bottom w:val="single" w:sz="12" w:space="0" w:color="010000"/>
            </w:tcBorders>
            <w:vAlign w:val="center"/>
          </w:tcPr>
          <w:p>
            <w:pPr>
              <w:keepNext/>
              <w:jc w:val="center"/>
            </w:pPr>
            <w:r>
              <w:rPr>
                <w:rFonts w:hint="eastAsia"/>
                <w:b w:val="0"/>
                <w:sz w:val="21"/>
              </w:rPr>
              <w:t>最新轮次</w:t>
            </w:r>
          </w:p>
        </w:tc>
        <w:tc>
          <w:tcPr>
            <w:tcW w:w="3800" w:type="pct"/>
            <w:tcBorders>
              <w:bottom w:val="single" w:sz="12" w:space="0" w:color="010000"/>
            </w:tcBorders>
            <w:vAlign w:val="center"/>
          </w:tcPr>
          <w:p>
            <w:pPr>
              <w:keepNext/>
              <w:jc w:val="left"/>
            </w:pPr>
            <w:r>
              <w:rPr>
                <w:rFonts w:hint="eastAsia"/>
                <w:b w:val="0"/>
                <w:sz w:val="21"/>
              </w:rPr>
              <w:t>A轮（2026年8月，近亿元）</w:t>
            </w:r>
          </w:p>
        </w:tc>
      </w:tr>
    </w:tbl>
    <w:p>
      <w:pPr>
        <w:pStyle w:val="a4"/>
        <w:jc w:val="center"/>
      </w:pPr>
      <w:r>
        <w:rPr>
          <w:rFonts w:hint="eastAsia"/>
          <w:b w:val="0"/>
          <w:sz w:val="11"/>
        </w:rPr>
        <w:t>资料来源：企查查企业信用报告专业版、公司公开资料、《新财富》2026年8月10日刊文</w:t>
      </w:r>
    </w:p>
    <w:p>
      <w:pPr>
        <w:pStyle w:val="004"/>
      </w:pPr>
      <w:r>
        <w:rPr>
          <w:rFonts w:hint="eastAsia"/>
          <w:b/>
        </w:rPr>
        <w:t>2、轨道转移飞行器的定义与功能定位</w:t>
      </w:r>
    </w:p>
    <w:p>
      <w:pPr>
        <w:pStyle w:val="005"/>
      </w:pPr>
      <w:r>
        <w:rPr>
          <w:rFonts w:hint="eastAsia"/>
          <w:b w:val="0"/>
        </w:rPr>
        <w:t>轨道转移飞行器（Orbital Transfer Vehicle，OTV）是具有自主轨道机动能力的航天器，由推进系统、姿态控制系统、电源系统、数据与通信系统及结构系统组成，也被称作太空巴士、太空摆渡车、太空拖船。</w:t>
      </w:r>
    </w:p>
    <w:p>
      <w:pPr>
        <w:pStyle w:val="005"/>
      </w:pPr>
      <w:r>
        <w:rPr>
          <w:rFonts w:hint="eastAsia"/>
          <w:b w:val="0"/>
        </w:rPr>
        <w:t>运载火箭将卫星、飞船、探测器等载荷从地面运输至近地轨道，OTV在轨道空间完成变轨运输、燃料加注等任务，二者构成从地面到轨道空间的完整运输链条。OTV承担的是拼车发射之后的最后一公里投送。</w:t>
      </w:r>
    </w:p>
    <w:p>
      <w:pPr>
        <w:pStyle w:val="004"/>
      </w:pPr>
      <w:r>
        <w:rPr>
          <w:rFonts w:hint="eastAsia"/>
          <w:b/>
        </w:rPr>
        <w:t>3、需求来源</w:t>
      </w:r>
    </w:p>
    <w:p>
      <w:pPr>
        <w:pStyle w:val="005"/>
      </w:pPr>
      <w:r>
        <w:rPr>
          <w:rFonts w:hint="eastAsia"/>
          <w:b w:val="0"/>
        </w:rPr>
        <w:t>需求来自小卫星发射与大型星座补网两个方面。</w:t>
      </w:r>
    </w:p>
    <w:p>
      <w:pPr>
        <w:pStyle w:val="005"/>
      </w:pPr>
      <w:r>
        <w:rPr>
          <w:rFonts w:hint="eastAsia"/>
          <w:b w:val="0"/>
        </w:rPr>
        <w:t>小卫星方面，航天产业咨询机构Novaspace预测，2026年至2035年全球将发射约16900颗500公斤以下小卫星。单颗小卫星造价多在几十万至几百万美元量级，难以承受传统整箭发射数千万美元的费用，需要拼车发射。</w:t>
      </w:r>
    </w:p>
    <w:p>
      <w:pPr>
        <w:pStyle w:val="005"/>
      </w:pPr>
      <w:r>
        <w:rPr>
          <w:rFonts w:hint="eastAsia"/>
          <w:b w:val="0"/>
        </w:rPr>
        <w:t>星座补网方面，当前低轨卫星设计寿命普遍在5年左右，早期入轨的卫星将陆续失效。根据美国国家航空航天局戈达德航天中心团队研究数据，2020年至2024年间星链累计有583颗卫星掉落，2024年一年掉落316颗，约占当时在轨卫星数量的8%。失效点零散分布在各个轨道面上，补网卫星需先搭载同一枚火箭入轨，再前往各自的目标轨道。</w:t>
      </w:r>
    </w:p>
    <w:p>
      <w:pPr>
        <w:keepNext/>
        <w:jc w:val="center"/>
      </w:pPr>
      <w:r>
        <w:drawing>
          <wp:inline xmlns:a="http://schemas.openxmlformats.org/drawingml/2006/main" xmlns:pic="http://schemas.openxmlformats.org/drawingml/2006/picture">
            <wp:extent cx="5074920" cy="2174965"/>
            <wp:docPr id="1" name="Picture 1"/>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074920" cy="2174965"/>
                    </a:xfrm>
                    <a:prstGeom prst="rect"/>
                  </pic:spPr>
                </pic:pic>
              </a:graphicData>
            </a:graphic>
          </wp:inline>
        </w:drawing>
      </w:r>
    </w:p>
    <w:p>
      <w:pPr>
        <w:pStyle w:val="a4"/>
        <w:keepNext/>
        <w:jc w:val="center"/>
      </w:pPr>
      <w:r>
        <w:rPr>
          <w:rFonts w:hint="eastAsia"/>
          <w:b/>
          <w:sz w:val="21"/>
        </w:rPr>
        <w:t>图1  2026—2035年国内三大星座新发射与补网卫星数量预测</w:t>
      </w:r>
    </w:p>
    <w:p>
      <w:pPr>
        <w:pStyle w:val="a4"/>
        <w:jc w:val="center"/>
      </w:pPr>
      <w:r>
        <w:rPr>
          <w:rFonts w:hint="eastAsia"/>
          <w:b w:val="0"/>
          <w:sz w:val="11"/>
        </w:rPr>
        <w:t>资料来源：《新财富》2026年8月10日刊文，测算方为深天使。三大星座指星网GW、垣信千帆、蓝箭鸿擎鸿鹄</w:t>
      </w:r>
    </w:p>
    <w:p>
      <w:pPr>
        <w:pStyle w:val="005"/>
      </w:pPr>
      <w:r>
        <w:rPr>
          <w:rFonts w:hint="eastAsia"/>
          <w:b w:val="0"/>
        </w:rPr>
        <w:t>拼车任务由主要客户或核心载荷确定主任务轨道，其他拼车卫星的轨道设计需围绕主任务轨道协调。当轨道高度差距大、部署时效要求高时，传统异轨部署方案存在瓶颈：卫星自身推进系统及其燃料可挤占高达20%至30%的卫星载荷质量，采用自带电推进进行大幅变轨耗时可能长达数月；火箭上面级受限于推进剂余量，难以实现多轨道面精确分发，且完成任务后往往滞留轨道。</w:t>
      </w:r>
    </w:p>
    <w:p>
      <w:pPr>
        <w:pStyle w:val="004"/>
      </w:pPr>
      <w:r>
        <w:rPr>
          <w:rFonts w:hint="eastAsia"/>
          <w:b/>
        </w:rPr>
        <w:t>4、三种异轨部署方案对比</w:t>
      </w:r>
    </w:p>
    <w:p>
      <w:pPr>
        <w:pStyle w:val="a4"/>
        <w:keepNext/>
        <w:jc w:val="center"/>
      </w:pPr>
      <w:r>
        <w:rPr>
          <w:rFonts w:hint="eastAsia"/>
          <w:b/>
          <w:sz w:val="21"/>
        </w:rPr>
        <w:t>表2  三种异轨部署方案对比</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2076"/>
        <w:gridCol w:w="2076"/>
        <w:gridCol w:w="2076"/>
        <w:gridCol w:w="2076"/>
      </w:tblGrid>
      <w:tr>
        <w:trPr>
          <w:cantSplit/>
          <w:tblHeader/>
        </w:trPr>
        <w:tc>
          <w:tcPr>
            <w:tcW w:w="650" w:type="pct"/>
            <w:tcBorders>
              <w:top w:val="single" w:sz="12" w:space="0" w:color="010000"/>
              <w:bottom w:val="single" w:sz="4" w:space="0" w:color="010000"/>
            </w:tcBorders>
            <w:vAlign w:val="center"/>
          </w:tcPr>
          <w:p>
            <w:pPr>
              <w:keepNext/>
              <w:jc w:val="center"/>
            </w:pPr>
            <w:r>
              <w:rPr>
                <w:rFonts w:hint="eastAsia"/>
                <w:b/>
                <w:sz w:val="21"/>
              </w:rPr>
              <w:t>对比项</w:t>
            </w:r>
          </w:p>
        </w:tc>
        <w:tc>
          <w:tcPr>
            <w:tcW w:w="1450" w:type="pct"/>
            <w:tcBorders>
              <w:top w:val="single" w:sz="12" w:space="0" w:color="010000"/>
              <w:bottom w:val="single" w:sz="4" w:space="0" w:color="010000"/>
            </w:tcBorders>
            <w:vAlign w:val="center"/>
          </w:tcPr>
          <w:p>
            <w:pPr>
              <w:keepNext/>
              <w:jc w:val="center"/>
            </w:pPr>
            <w:r>
              <w:rPr>
                <w:rFonts w:hint="eastAsia"/>
                <w:b/>
                <w:sz w:val="21"/>
              </w:rPr>
              <w:t>火箭上面级</w:t>
            </w:r>
          </w:p>
        </w:tc>
        <w:tc>
          <w:tcPr>
            <w:tcW w:w="1450" w:type="pct"/>
            <w:tcBorders>
              <w:top w:val="single" w:sz="12" w:space="0" w:color="010000"/>
              <w:bottom w:val="single" w:sz="4" w:space="0" w:color="010000"/>
            </w:tcBorders>
            <w:vAlign w:val="center"/>
          </w:tcPr>
          <w:p>
            <w:pPr>
              <w:keepNext/>
              <w:jc w:val="center"/>
            </w:pPr>
            <w:r>
              <w:rPr>
                <w:rFonts w:hint="eastAsia"/>
                <w:b/>
                <w:sz w:val="21"/>
              </w:rPr>
              <w:t>卫星自带变轨系统</w:t>
            </w:r>
          </w:p>
        </w:tc>
        <w:tc>
          <w:tcPr>
            <w:tcW w:w="1450" w:type="pct"/>
            <w:tcBorders>
              <w:top w:val="single" w:sz="12" w:space="0" w:color="010000"/>
              <w:bottom w:val="single" w:sz="4" w:space="0" w:color="010000"/>
            </w:tcBorders>
            <w:vAlign w:val="center"/>
          </w:tcPr>
          <w:p>
            <w:pPr>
              <w:keepNext/>
              <w:jc w:val="center"/>
            </w:pPr>
            <w:r>
              <w:rPr>
                <w:rFonts w:hint="eastAsia"/>
                <w:b/>
                <w:sz w:val="21"/>
              </w:rPr>
              <w:t>轨道转移飞行器</w:t>
            </w:r>
          </w:p>
        </w:tc>
      </w:tr>
      <w:tr>
        <w:trPr>
          <w:cantSplit/>
        </w:trPr>
        <w:tc>
          <w:tcPr>
            <w:tcW w:w="650" w:type="pct"/>
            <w:vAlign w:val="center"/>
          </w:tcPr>
          <w:p>
            <w:pPr>
              <w:keepNext/>
              <w:jc w:val="center"/>
            </w:pPr>
            <w:r>
              <w:rPr>
                <w:rFonts w:hint="eastAsia"/>
                <w:b w:val="0"/>
                <w:sz w:val="21"/>
              </w:rPr>
              <w:t>工作原理</w:t>
            </w:r>
          </w:p>
        </w:tc>
        <w:tc>
          <w:tcPr>
            <w:tcW w:w="1450" w:type="pct"/>
            <w:vAlign w:val="center"/>
          </w:tcPr>
          <w:p>
            <w:pPr>
              <w:keepNext/>
              <w:jc w:val="left"/>
            </w:pPr>
            <w:r>
              <w:rPr>
                <w:rFonts w:hint="eastAsia"/>
                <w:b w:val="0"/>
                <w:sz w:val="21"/>
              </w:rPr>
              <w:t>火箭将上面级与卫星送入低轨，由上面级完成多星入轨</w:t>
            </w:r>
          </w:p>
        </w:tc>
        <w:tc>
          <w:tcPr>
            <w:tcW w:w="1450" w:type="pct"/>
            <w:vAlign w:val="center"/>
          </w:tcPr>
          <w:p>
            <w:pPr>
              <w:keepNext/>
              <w:jc w:val="left"/>
            </w:pPr>
            <w:r>
              <w:rPr>
                <w:rFonts w:hint="eastAsia"/>
                <w:b w:val="0"/>
                <w:sz w:val="21"/>
              </w:rPr>
              <w:t>卫星依靠自身动力推进系统转移到工作轨道</w:t>
            </w:r>
          </w:p>
        </w:tc>
        <w:tc>
          <w:tcPr>
            <w:tcW w:w="1450" w:type="pct"/>
            <w:vAlign w:val="center"/>
          </w:tcPr>
          <w:p>
            <w:pPr>
              <w:keepNext/>
              <w:jc w:val="left"/>
            </w:pPr>
            <w:r>
              <w:rPr>
                <w:rFonts w:hint="eastAsia"/>
                <w:b w:val="0"/>
                <w:sz w:val="21"/>
              </w:rPr>
              <w:t>多功能轨道服务航天器，具备轨道转运、在轨服务功能，可重复使用</w:t>
            </w:r>
          </w:p>
        </w:tc>
      </w:tr>
      <w:tr>
        <w:trPr>
          <w:cantSplit/>
        </w:trPr>
        <w:tc>
          <w:tcPr>
            <w:tcW w:w="650" w:type="pct"/>
            <w:vAlign w:val="center"/>
          </w:tcPr>
          <w:p>
            <w:pPr>
              <w:keepNext/>
              <w:jc w:val="center"/>
            </w:pPr>
            <w:r>
              <w:rPr>
                <w:rFonts w:hint="eastAsia"/>
                <w:b w:val="0"/>
                <w:sz w:val="21"/>
              </w:rPr>
              <w:t>灵活性</w:t>
            </w:r>
          </w:p>
        </w:tc>
        <w:tc>
          <w:tcPr>
            <w:tcW w:w="1450" w:type="pct"/>
            <w:vAlign w:val="center"/>
          </w:tcPr>
          <w:p>
            <w:pPr>
              <w:keepNext/>
              <w:jc w:val="left"/>
            </w:pPr>
            <w:r>
              <w:rPr>
                <w:rFonts w:hint="eastAsia"/>
                <w:b w:val="0"/>
                <w:sz w:val="21"/>
              </w:rPr>
              <w:t>低，与火箭型号绑定，任务预先设定</w:t>
            </w:r>
          </w:p>
        </w:tc>
        <w:tc>
          <w:tcPr>
            <w:tcW w:w="1450" w:type="pct"/>
            <w:vAlign w:val="center"/>
          </w:tcPr>
          <w:p>
            <w:pPr>
              <w:keepNext/>
              <w:jc w:val="left"/>
            </w:pPr>
            <w:r>
              <w:rPr>
                <w:rFonts w:hint="eastAsia"/>
                <w:b w:val="0"/>
                <w:sz w:val="21"/>
              </w:rPr>
              <w:t>高，卫星路径自主可调</w:t>
            </w:r>
          </w:p>
        </w:tc>
        <w:tc>
          <w:tcPr>
            <w:tcW w:w="1450" w:type="pct"/>
            <w:vAlign w:val="center"/>
          </w:tcPr>
          <w:p>
            <w:pPr>
              <w:keepNext/>
              <w:jc w:val="left"/>
            </w:pPr>
            <w:r>
              <w:rPr>
                <w:rFonts w:hint="eastAsia"/>
                <w:b w:val="0"/>
                <w:sz w:val="21"/>
              </w:rPr>
              <w:t>很高，可接受指令，机动服务不同客户</w:t>
            </w:r>
          </w:p>
        </w:tc>
      </w:tr>
      <w:tr>
        <w:trPr>
          <w:cantSplit/>
        </w:trPr>
        <w:tc>
          <w:tcPr>
            <w:tcW w:w="650" w:type="pct"/>
            <w:vAlign w:val="center"/>
          </w:tcPr>
          <w:p>
            <w:pPr>
              <w:keepNext/>
              <w:jc w:val="center"/>
            </w:pPr>
            <w:r>
              <w:rPr>
                <w:rFonts w:hint="eastAsia"/>
                <w:b w:val="0"/>
                <w:sz w:val="21"/>
              </w:rPr>
              <w:t>部署速度</w:t>
            </w:r>
          </w:p>
        </w:tc>
        <w:tc>
          <w:tcPr>
            <w:tcW w:w="1450" w:type="pct"/>
            <w:vAlign w:val="center"/>
          </w:tcPr>
          <w:p>
            <w:pPr>
              <w:keepNext/>
              <w:jc w:val="left"/>
            </w:pPr>
            <w:r>
              <w:rPr>
                <w:rFonts w:hint="eastAsia"/>
                <w:b w:val="0"/>
                <w:sz w:val="21"/>
              </w:rPr>
              <w:t>快，上面级动力大，变轨时长小时级</w:t>
            </w:r>
          </w:p>
        </w:tc>
        <w:tc>
          <w:tcPr>
            <w:tcW w:w="1450" w:type="pct"/>
            <w:vAlign w:val="center"/>
          </w:tcPr>
          <w:p>
            <w:pPr>
              <w:keepNext/>
              <w:jc w:val="left"/>
            </w:pPr>
            <w:r>
              <w:rPr>
                <w:rFonts w:hint="eastAsia"/>
                <w:b w:val="0"/>
                <w:sz w:val="21"/>
              </w:rPr>
              <w:t>慢，电推推力小，变轨100公里需2至3个月</w:t>
            </w:r>
          </w:p>
        </w:tc>
        <w:tc>
          <w:tcPr>
            <w:tcW w:w="1450" w:type="pct"/>
            <w:vAlign w:val="center"/>
          </w:tcPr>
          <w:p>
            <w:pPr>
              <w:keepNext/>
              <w:jc w:val="left"/>
            </w:pPr>
            <w:r>
              <w:rPr>
                <w:rFonts w:hint="eastAsia"/>
                <w:b w:val="0"/>
                <w:sz w:val="21"/>
              </w:rPr>
              <w:t>较快，2000公里变轨需90分钟</w:t>
            </w:r>
          </w:p>
        </w:tc>
      </w:tr>
      <w:tr>
        <w:trPr>
          <w:cantSplit/>
        </w:trPr>
        <w:tc>
          <w:tcPr>
            <w:tcW w:w="650" w:type="pct"/>
            <w:vAlign w:val="center"/>
          </w:tcPr>
          <w:p>
            <w:pPr>
              <w:keepNext/>
              <w:jc w:val="center"/>
            </w:pPr>
            <w:r>
              <w:rPr>
                <w:rFonts w:hint="eastAsia"/>
                <w:b w:val="0"/>
                <w:sz w:val="21"/>
              </w:rPr>
              <w:t>运载质量</w:t>
            </w:r>
          </w:p>
        </w:tc>
        <w:tc>
          <w:tcPr>
            <w:tcW w:w="1450" w:type="pct"/>
            <w:vAlign w:val="center"/>
          </w:tcPr>
          <w:p>
            <w:pPr>
              <w:keepNext/>
              <w:jc w:val="left"/>
            </w:pPr>
            <w:r>
              <w:rPr>
                <w:rFonts w:hint="eastAsia"/>
                <w:b w:val="0"/>
                <w:sz w:val="21"/>
              </w:rPr>
              <w:t>高</w:t>
            </w:r>
          </w:p>
        </w:tc>
        <w:tc>
          <w:tcPr>
            <w:tcW w:w="1450" w:type="pct"/>
            <w:vAlign w:val="center"/>
          </w:tcPr>
          <w:p>
            <w:pPr>
              <w:keepNext/>
              <w:jc w:val="left"/>
            </w:pPr>
            <w:r>
              <w:rPr>
                <w:rFonts w:hint="eastAsia"/>
                <w:b w:val="0"/>
                <w:sz w:val="21"/>
              </w:rPr>
              <w:t>低，变轨燃料挤压有效载荷质量空间</w:t>
            </w:r>
          </w:p>
        </w:tc>
        <w:tc>
          <w:tcPr>
            <w:tcW w:w="1450" w:type="pct"/>
            <w:vAlign w:val="center"/>
          </w:tcPr>
          <w:p>
            <w:pPr>
              <w:keepNext/>
              <w:jc w:val="left"/>
            </w:pPr>
            <w:r>
              <w:rPr>
                <w:rFonts w:hint="eastAsia"/>
                <w:b w:val="0"/>
                <w:sz w:val="21"/>
              </w:rPr>
              <w:t>高</w:t>
            </w:r>
          </w:p>
        </w:tc>
      </w:tr>
      <w:tr>
        <w:trPr>
          <w:cantSplit/>
        </w:trPr>
        <w:tc>
          <w:tcPr>
            <w:tcW w:w="650" w:type="pct"/>
            <w:vAlign w:val="center"/>
          </w:tcPr>
          <w:p>
            <w:pPr>
              <w:keepNext/>
              <w:jc w:val="center"/>
            </w:pPr>
            <w:r>
              <w:rPr>
                <w:rFonts w:hint="eastAsia"/>
                <w:b w:val="0"/>
                <w:sz w:val="21"/>
              </w:rPr>
              <w:t>轨道精度</w:t>
            </w:r>
          </w:p>
        </w:tc>
        <w:tc>
          <w:tcPr>
            <w:tcW w:w="1450" w:type="pct"/>
            <w:vAlign w:val="center"/>
          </w:tcPr>
          <w:p>
            <w:pPr>
              <w:keepNext/>
              <w:jc w:val="left"/>
            </w:pPr>
            <w:r>
              <w:rPr>
                <w:rFonts w:hint="eastAsia"/>
                <w:b w:val="0"/>
                <w:sz w:val="21"/>
              </w:rPr>
              <w:t>中</w:t>
            </w:r>
          </w:p>
        </w:tc>
        <w:tc>
          <w:tcPr>
            <w:tcW w:w="1450" w:type="pct"/>
            <w:vAlign w:val="center"/>
          </w:tcPr>
          <w:p>
            <w:pPr>
              <w:keepNext/>
              <w:jc w:val="left"/>
            </w:pPr>
            <w:r>
              <w:rPr>
                <w:rFonts w:hint="eastAsia"/>
                <w:b w:val="0"/>
                <w:sz w:val="21"/>
              </w:rPr>
              <w:t>高</w:t>
            </w:r>
          </w:p>
        </w:tc>
        <w:tc>
          <w:tcPr>
            <w:tcW w:w="1450" w:type="pct"/>
            <w:vAlign w:val="center"/>
          </w:tcPr>
          <w:p>
            <w:pPr>
              <w:keepNext/>
              <w:jc w:val="left"/>
            </w:pPr>
            <w:r>
              <w:rPr>
                <w:rFonts w:hint="eastAsia"/>
                <w:b w:val="0"/>
                <w:sz w:val="21"/>
              </w:rPr>
              <w:t>较高</w:t>
            </w:r>
          </w:p>
        </w:tc>
      </w:tr>
      <w:tr>
        <w:trPr>
          <w:cantSplit/>
        </w:trPr>
        <w:tc>
          <w:tcPr>
            <w:tcW w:w="650" w:type="pct"/>
            <w:vAlign w:val="center"/>
          </w:tcPr>
          <w:p>
            <w:pPr>
              <w:keepNext/>
              <w:jc w:val="center"/>
            </w:pPr>
            <w:r>
              <w:rPr>
                <w:rFonts w:hint="eastAsia"/>
                <w:b w:val="0"/>
                <w:sz w:val="21"/>
              </w:rPr>
              <w:t>自我处理能力</w:t>
            </w:r>
          </w:p>
        </w:tc>
        <w:tc>
          <w:tcPr>
            <w:tcW w:w="1450" w:type="pct"/>
            <w:vAlign w:val="center"/>
          </w:tcPr>
          <w:p>
            <w:pPr>
              <w:keepNext/>
              <w:jc w:val="left"/>
            </w:pPr>
            <w:r>
              <w:rPr>
                <w:rFonts w:hint="eastAsia"/>
                <w:b w:val="0"/>
                <w:sz w:val="21"/>
              </w:rPr>
              <w:t>差，完成任务后往往滞留轨道</w:t>
            </w:r>
          </w:p>
        </w:tc>
        <w:tc>
          <w:tcPr>
            <w:tcW w:w="1450" w:type="pct"/>
            <w:vAlign w:val="center"/>
          </w:tcPr>
          <w:p>
            <w:pPr>
              <w:keepNext/>
              <w:jc w:val="left"/>
            </w:pPr>
            <w:r>
              <w:rPr>
                <w:rFonts w:hint="eastAsia"/>
                <w:b w:val="0"/>
                <w:sz w:val="21"/>
              </w:rPr>
              <w:t>不涉及</w:t>
            </w:r>
          </w:p>
        </w:tc>
        <w:tc>
          <w:tcPr>
            <w:tcW w:w="1450" w:type="pct"/>
            <w:vAlign w:val="center"/>
          </w:tcPr>
          <w:p>
            <w:pPr>
              <w:keepNext/>
              <w:jc w:val="left"/>
            </w:pPr>
            <w:r>
              <w:rPr>
                <w:rFonts w:hint="eastAsia"/>
                <w:b w:val="0"/>
                <w:sz w:val="21"/>
              </w:rPr>
              <w:t>好，完成任务后可离轨，寿命结束后可自行销毁</w:t>
            </w:r>
          </w:p>
        </w:tc>
      </w:tr>
      <w:tr>
        <w:trPr>
          <w:cantSplit/>
        </w:trPr>
        <w:tc>
          <w:tcPr>
            <w:tcW w:w="650" w:type="pct"/>
            <w:tcBorders>
              <w:bottom w:val="single" w:sz="12" w:space="0" w:color="010000"/>
            </w:tcBorders>
            <w:vAlign w:val="center"/>
          </w:tcPr>
          <w:p>
            <w:pPr>
              <w:keepNext/>
              <w:jc w:val="center"/>
            </w:pPr>
            <w:r>
              <w:rPr>
                <w:rFonts w:hint="eastAsia"/>
                <w:b w:val="0"/>
                <w:sz w:val="21"/>
              </w:rPr>
              <w:t>成本效益</w:t>
            </w:r>
          </w:p>
        </w:tc>
        <w:tc>
          <w:tcPr>
            <w:tcW w:w="1450" w:type="pct"/>
            <w:tcBorders>
              <w:bottom w:val="single" w:sz="12" w:space="0" w:color="010000"/>
            </w:tcBorders>
            <w:vAlign w:val="center"/>
          </w:tcPr>
          <w:p>
            <w:pPr>
              <w:keepNext/>
              <w:jc w:val="left"/>
            </w:pPr>
            <w:r>
              <w:rPr>
                <w:rFonts w:hint="eastAsia"/>
                <w:b w:val="0"/>
                <w:sz w:val="21"/>
              </w:rPr>
              <w:t>千万元级，一次性使用</w:t>
            </w:r>
          </w:p>
        </w:tc>
        <w:tc>
          <w:tcPr>
            <w:tcW w:w="1450" w:type="pct"/>
            <w:tcBorders>
              <w:bottom w:val="single" w:sz="12" w:space="0" w:color="010000"/>
            </w:tcBorders>
            <w:vAlign w:val="center"/>
          </w:tcPr>
          <w:p>
            <w:pPr>
              <w:keepNext/>
              <w:jc w:val="left"/>
            </w:pPr>
            <w:r>
              <w:rPr>
                <w:rFonts w:hint="eastAsia"/>
                <w:b w:val="0"/>
                <w:sz w:val="21"/>
              </w:rPr>
              <w:t>百万元级，卫星研制成本提高</w:t>
            </w:r>
          </w:p>
        </w:tc>
        <w:tc>
          <w:tcPr>
            <w:tcW w:w="1450" w:type="pct"/>
            <w:tcBorders>
              <w:bottom w:val="single" w:sz="12" w:space="0" w:color="010000"/>
            </w:tcBorders>
            <w:vAlign w:val="center"/>
          </w:tcPr>
          <w:p>
            <w:pPr>
              <w:keepNext/>
              <w:jc w:val="left"/>
            </w:pPr>
            <w:r>
              <w:rPr>
                <w:rFonts w:hint="eastAsia"/>
                <w:b w:val="0"/>
                <w:sz w:val="21"/>
              </w:rPr>
              <w:t>百万元级，前期研发投入大，适合大规模星座部署和在轨服务</w:t>
            </w:r>
          </w:p>
        </w:tc>
      </w:tr>
    </w:tbl>
    <w:p>
      <w:pPr>
        <w:pStyle w:val="a4"/>
        <w:jc w:val="center"/>
      </w:pPr>
      <w:r>
        <w:rPr>
          <w:rFonts w:hint="eastAsia"/>
          <w:b w:val="0"/>
          <w:sz w:val="11"/>
        </w:rPr>
        <w:t>资料来源：《新财富》2026年8月10日刊文，测算方为深天使</w:t>
      </w:r>
    </w:p>
    <w:p>
      <w:pPr>
        <w:pStyle w:val="004"/>
      </w:pPr>
      <w:r>
        <w:rPr>
          <w:rFonts w:hint="eastAsia"/>
          <w:b/>
        </w:rPr>
        <w:t>5、市场规模</w:t>
      </w:r>
    </w:p>
    <w:p>
      <w:pPr>
        <w:pStyle w:val="005"/>
      </w:pPr>
      <w:r>
        <w:rPr>
          <w:rFonts w:hint="eastAsia"/>
          <w:b w:val="0"/>
        </w:rPr>
        <w:t>国际方面，SpaceX小卫星拼车计划为小卫星运营商提供定期拼车发射服务，50公斤载荷起价30万美元，折合约6000美元/公斤。Transporter系列任务已执行17次，累计将1800余个载荷送入轨道。公开信息显示，其至少从第12次任务开始搭载OTV，OTV部署卫星数量可占当次任务的10%。2026年3月执行的第16次任务搭载了Momentus的Vigoride 7、D-Orbit的ION Wayfinder、Exotrail的Space Van等多家公司的OTV。</w:t>
      </w:r>
    </w:p>
    <w:p>
      <w:pPr>
        <w:pStyle w:val="005"/>
      </w:pPr>
      <w:r>
        <w:rPr>
          <w:rFonts w:hint="eastAsia"/>
          <w:b w:val="0"/>
        </w:rPr>
        <w:t>国内方面，2026年3月中国商业火箭公布2026年至2027年长征系列火箭搭载及拼车机会，九次发射任务累计释放可用余量5150公斤，相当于长征六号甲火箭近八成的太阳同步轨道运力，发射窗口横跨2026年11月至2027年12月。其中共享火箭7次，搭载2次。</w:t>
      </w:r>
    </w:p>
    <w:p>
      <w:pPr>
        <w:pStyle w:val="005"/>
      </w:pPr>
      <w:r>
        <w:rPr>
          <w:rFonts w:hint="eastAsia"/>
          <w:b w:val="0"/>
        </w:rPr>
        <w:t>国内OTV市场规模测算方面，《新财富》基于星网GW、垣信千帆和蓝箭鸿擎鸿鹄三大星座2026年至2035年发射卫星计划的预测，考虑卫星平均重量、发射单价变动等因素，得出的预测结果如下：</w:t>
      </w:r>
    </w:p>
    <w:p>
      <w:pPr>
        <w:keepNext/>
        <w:jc w:val="center"/>
      </w:pPr>
      <w:r>
        <w:drawing>
          <wp:inline xmlns:a="http://schemas.openxmlformats.org/drawingml/2006/main" xmlns:pic="http://schemas.openxmlformats.org/drawingml/2006/picture">
            <wp:extent cx="5074920" cy="2398039"/>
            <wp:docPr id="2" name="Picture 2"/>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074920" cy="2398039"/>
                    </a:xfrm>
                    <a:prstGeom prst="rect"/>
                  </pic:spPr>
                </pic:pic>
              </a:graphicData>
            </a:graphic>
          </wp:inline>
        </w:drawing>
      </w:r>
    </w:p>
    <w:p>
      <w:pPr>
        <w:pStyle w:val="a4"/>
        <w:keepNext/>
        <w:jc w:val="center"/>
      </w:pPr>
      <w:r>
        <w:rPr>
          <w:rFonts w:hint="eastAsia"/>
          <w:b/>
          <w:sz w:val="21"/>
        </w:rPr>
        <w:t>图2  2026—2035年国内OTV市场规模预测</w:t>
      </w:r>
    </w:p>
    <w:p>
      <w:pPr>
        <w:pStyle w:val="a4"/>
        <w:jc w:val="center"/>
      </w:pPr>
      <w:r>
        <w:rPr>
          <w:rFonts w:hint="eastAsia"/>
          <w:b w:val="0"/>
          <w:sz w:val="11"/>
        </w:rPr>
        <w:t>资料来源：《新财富》2026年8月10日刊文，测算方为深天使</w:t>
      </w:r>
    </w:p>
    <w:p>
      <w:pPr>
        <w:pStyle w:val="a4"/>
        <w:keepNext/>
        <w:jc w:val="center"/>
      </w:pPr>
      <w:r>
        <w:rPr>
          <w:rFonts w:hint="eastAsia"/>
          <w:b/>
          <w:sz w:val="21"/>
        </w:rPr>
        <w:t>表3  2026—2035年国内OTV市场规模预测</w:t>
      </w:r>
    </w:p>
    <w:p>
      <w:pPr>
        <w:pStyle w:val="a5"/>
      </w:pPr>
      <w:r>
        <w:rPr>
          <w:rFonts w:hint="eastAsia"/>
          <w:b w:val="0"/>
          <w:sz w:val="21"/>
        </w:rPr>
        <w:t>单位：亿元</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1661"/>
        <w:gridCol w:w="1661"/>
        <w:gridCol w:w="1661"/>
        <w:gridCol w:w="1661"/>
        <w:gridCol w:w="1661"/>
      </w:tblGrid>
      <w:tr>
        <w:trPr>
          <w:cantSplit/>
          <w:tblHeader/>
        </w:trPr>
        <w:tc>
          <w:tcPr>
            <w:tcW w:w="800" w:type="pct"/>
            <w:tcBorders>
              <w:top w:val="single" w:sz="12" w:space="0" w:color="010000"/>
              <w:bottom w:val="single" w:sz="4" w:space="0" w:color="010000"/>
            </w:tcBorders>
            <w:vAlign w:val="center"/>
          </w:tcPr>
          <w:p>
            <w:pPr>
              <w:keepNext/>
              <w:jc w:val="center"/>
            </w:pPr>
            <w:r>
              <w:rPr>
                <w:rFonts w:hint="eastAsia"/>
                <w:b/>
                <w:sz w:val="21"/>
              </w:rPr>
              <w:t>年份</w:t>
            </w:r>
          </w:p>
        </w:tc>
        <w:tc>
          <w:tcPr>
            <w:tcW w:w="1050" w:type="pct"/>
            <w:tcBorders>
              <w:top w:val="single" w:sz="12" w:space="0" w:color="010000"/>
              <w:bottom w:val="single" w:sz="4" w:space="0" w:color="010000"/>
            </w:tcBorders>
            <w:vAlign w:val="center"/>
          </w:tcPr>
          <w:p>
            <w:pPr>
              <w:keepNext/>
              <w:jc w:val="center"/>
            </w:pPr>
            <w:r>
              <w:rPr>
                <w:rFonts w:hint="eastAsia"/>
                <w:b/>
                <w:sz w:val="21"/>
              </w:rPr>
              <w:t>OTV补网市场</w:t>
            </w:r>
          </w:p>
        </w:tc>
        <w:tc>
          <w:tcPr>
            <w:tcW w:w="1050" w:type="pct"/>
            <w:tcBorders>
              <w:top w:val="single" w:sz="12" w:space="0" w:color="010000"/>
              <w:bottom w:val="single" w:sz="4" w:space="0" w:color="010000"/>
            </w:tcBorders>
            <w:vAlign w:val="center"/>
          </w:tcPr>
          <w:p>
            <w:pPr>
              <w:keepNext/>
              <w:jc w:val="center"/>
            </w:pPr>
            <w:r>
              <w:rPr>
                <w:rFonts w:hint="eastAsia"/>
                <w:b/>
                <w:sz w:val="21"/>
              </w:rPr>
              <w:t>OTV组网市场</w:t>
            </w:r>
          </w:p>
        </w:tc>
        <w:tc>
          <w:tcPr>
            <w:tcW w:w="1050" w:type="pct"/>
            <w:tcBorders>
              <w:top w:val="single" w:sz="12" w:space="0" w:color="010000"/>
              <w:bottom w:val="single" w:sz="4" w:space="0" w:color="010000"/>
            </w:tcBorders>
            <w:vAlign w:val="center"/>
          </w:tcPr>
          <w:p>
            <w:pPr>
              <w:keepNext/>
              <w:jc w:val="center"/>
            </w:pPr>
            <w:r>
              <w:rPr>
                <w:rFonts w:hint="eastAsia"/>
                <w:b/>
                <w:sz w:val="21"/>
              </w:rPr>
              <w:t>OTV小卫星市场</w:t>
            </w:r>
          </w:p>
        </w:tc>
        <w:tc>
          <w:tcPr>
            <w:tcW w:w="1050" w:type="pct"/>
            <w:tcBorders>
              <w:top w:val="single" w:sz="12" w:space="0" w:color="010000"/>
              <w:bottom w:val="single" w:sz="4" w:space="0" w:color="010000"/>
            </w:tcBorders>
            <w:vAlign w:val="center"/>
          </w:tcPr>
          <w:p>
            <w:pPr>
              <w:keepNext/>
              <w:jc w:val="center"/>
            </w:pPr>
            <w:r>
              <w:rPr>
                <w:rFonts w:hint="eastAsia"/>
                <w:b/>
                <w:sz w:val="21"/>
              </w:rPr>
              <w:t>合计</w:t>
            </w:r>
          </w:p>
        </w:tc>
      </w:tr>
      <w:tr>
        <w:trPr>
          <w:cantSplit/>
        </w:trPr>
        <w:tc>
          <w:tcPr>
            <w:tcW w:w="800" w:type="pct"/>
            <w:vAlign w:val="center"/>
          </w:tcPr>
          <w:p>
            <w:pPr>
              <w:keepNext/>
              <w:jc w:val="center"/>
            </w:pPr>
            <w:r>
              <w:rPr>
                <w:rFonts w:hint="eastAsia"/>
                <w:b w:val="0"/>
                <w:sz w:val="21"/>
              </w:rPr>
              <w:t>2026年</w:t>
            </w:r>
          </w:p>
        </w:tc>
        <w:tc>
          <w:tcPr>
            <w:tcW w:w="1050" w:type="pct"/>
            <w:vAlign w:val="center"/>
          </w:tcPr>
          <w:p>
            <w:pPr>
              <w:keepNext/>
              <w:jc w:val="center"/>
            </w:pPr>
            <w:r>
              <w:rPr>
                <w:rFonts w:hint="eastAsia"/>
                <w:b w:val="0"/>
                <w:sz w:val="21"/>
              </w:rPr>
              <w:t>0.70</w:t>
            </w:r>
          </w:p>
        </w:tc>
        <w:tc>
          <w:tcPr>
            <w:tcW w:w="1050" w:type="pct"/>
            <w:vAlign w:val="center"/>
          </w:tcPr>
          <w:p>
            <w:pPr>
              <w:keepNext/>
              <w:jc w:val="center"/>
            </w:pPr>
            <w:r>
              <w:rPr>
                <w:rFonts w:hint="eastAsia"/>
                <w:b w:val="0"/>
                <w:sz w:val="21"/>
              </w:rPr>
              <w:t>5.23</w:t>
            </w:r>
          </w:p>
        </w:tc>
        <w:tc>
          <w:tcPr>
            <w:tcW w:w="1050" w:type="pct"/>
            <w:vAlign w:val="center"/>
          </w:tcPr>
          <w:p>
            <w:pPr>
              <w:keepNext/>
              <w:jc w:val="center"/>
            </w:pPr>
            <w:r>
              <w:rPr>
                <w:rFonts w:hint="eastAsia"/>
                <w:b w:val="0"/>
                <w:sz w:val="21"/>
              </w:rPr>
              <w:t>5.62</w:t>
            </w:r>
          </w:p>
        </w:tc>
        <w:tc>
          <w:tcPr>
            <w:tcW w:w="1050" w:type="pct"/>
            <w:vAlign w:val="center"/>
          </w:tcPr>
          <w:p>
            <w:pPr>
              <w:keepNext/>
              <w:jc w:val="center"/>
            </w:pPr>
            <w:r>
              <w:rPr>
                <w:rFonts w:hint="eastAsia"/>
                <w:b w:val="0"/>
                <w:sz w:val="21"/>
              </w:rPr>
              <w:t>11.55</w:t>
            </w:r>
          </w:p>
        </w:tc>
      </w:tr>
      <w:tr>
        <w:trPr>
          <w:cantSplit/>
        </w:trPr>
        <w:tc>
          <w:tcPr>
            <w:tcW w:w="800" w:type="pct"/>
            <w:vAlign w:val="center"/>
          </w:tcPr>
          <w:p>
            <w:pPr>
              <w:keepNext/>
              <w:jc w:val="center"/>
            </w:pPr>
            <w:r>
              <w:rPr>
                <w:rFonts w:hint="eastAsia"/>
                <w:b w:val="0"/>
                <w:sz w:val="21"/>
              </w:rPr>
              <w:t>2027年</w:t>
            </w:r>
          </w:p>
        </w:tc>
        <w:tc>
          <w:tcPr>
            <w:tcW w:w="1050" w:type="pct"/>
            <w:vAlign w:val="center"/>
          </w:tcPr>
          <w:p>
            <w:pPr>
              <w:keepNext/>
              <w:jc w:val="center"/>
            </w:pPr>
            <w:r>
              <w:rPr>
                <w:rFonts w:hint="eastAsia"/>
                <w:b w:val="0"/>
                <w:sz w:val="21"/>
              </w:rPr>
              <w:t>4.99</w:t>
            </w:r>
          </w:p>
        </w:tc>
        <w:tc>
          <w:tcPr>
            <w:tcW w:w="1050" w:type="pct"/>
            <w:vAlign w:val="center"/>
          </w:tcPr>
          <w:p>
            <w:pPr>
              <w:keepNext/>
              <w:jc w:val="center"/>
            </w:pPr>
            <w:r>
              <w:rPr>
                <w:rFonts w:hint="eastAsia"/>
                <w:b w:val="0"/>
                <w:sz w:val="21"/>
              </w:rPr>
              <w:t>18.27</w:t>
            </w:r>
          </w:p>
        </w:tc>
        <w:tc>
          <w:tcPr>
            <w:tcW w:w="1050" w:type="pct"/>
            <w:vAlign w:val="center"/>
          </w:tcPr>
          <w:p>
            <w:pPr>
              <w:keepNext/>
              <w:jc w:val="center"/>
            </w:pPr>
            <w:r>
              <w:rPr>
                <w:rFonts w:hint="eastAsia"/>
                <w:b w:val="0"/>
                <w:sz w:val="21"/>
              </w:rPr>
              <w:t>11.35</w:t>
            </w:r>
          </w:p>
        </w:tc>
        <w:tc>
          <w:tcPr>
            <w:tcW w:w="1050" w:type="pct"/>
            <w:vAlign w:val="center"/>
          </w:tcPr>
          <w:p>
            <w:pPr>
              <w:keepNext/>
              <w:jc w:val="center"/>
            </w:pPr>
            <w:r>
              <w:rPr>
                <w:rFonts w:hint="eastAsia"/>
                <w:b w:val="0"/>
                <w:sz w:val="21"/>
              </w:rPr>
              <w:t>34.61</w:t>
            </w:r>
          </w:p>
        </w:tc>
      </w:tr>
      <w:tr>
        <w:trPr>
          <w:cantSplit/>
        </w:trPr>
        <w:tc>
          <w:tcPr>
            <w:tcW w:w="800" w:type="pct"/>
            <w:vAlign w:val="center"/>
          </w:tcPr>
          <w:p>
            <w:pPr>
              <w:keepNext/>
              <w:jc w:val="center"/>
            </w:pPr>
            <w:r>
              <w:rPr>
                <w:rFonts w:hint="eastAsia"/>
                <w:b w:val="0"/>
                <w:sz w:val="21"/>
              </w:rPr>
              <w:t>2028年</w:t>
            </w:r>
          </w:p>
        </w:tc>
        <w:tc>
          <w:tcPr>
            <w:tcW w:w="1050" w:type="pct"/>
            <w:vAlign w:val="center"/>
          </w:tcPr>
          <w:p>
            <w:pPr>
              <w:keepNext/>
              <w:jc w:val="center"/>
            </w:pPr>
            <w:r>
              <w:rPr>
                <w:rFonts w:hint="eastAsia"/>
                <w:b w:val="0"/>
                <w:sz w:val="21"/>
              </w:rPr>
              <w:t>35.60</w:t>
            </w:r>
          </w:p>
        </w:tc>
        <w:tc>
          <w:tcPr>
            <w:tcW w:w="1050" w:type="pct"/>
            <w:vAlign w:val="center"/>
          </w:tcPr>
          <w:p>
            <w:pPr>
              <w:keepNext/>
              <w:jc w:val="center"/>
            </w:pPr>
            <w:r>
              <w:rPr>
                <w:rFonts w:hint="eastAsia"/>
                <w:b w:val="0"/>
                <w:sz w:val="21"/>
              </w:rPr>
              <w:t>30.11</w:t>
            </w:r>
          </w:p>
        </w:tc>
        <w:tc>
          <w:tcPr>
            <w:tcW w:w="1050" w:type="pct"/>
            <w:vAlign w:val="center"/>
          </w:tcPr>
          <w:p>
            <w:pPr>
              <w:keepNext/>
              <w:jc w:val="center"/>
            </w:pPr>
            <w:r>
              <w:rPr>
                <w:rFonts w:hint="eastAsia"/>
                <w:b w:val="0"/>
                <w:sz w:val="21"/>
              </w:rPr>
              <w:t>44.00</w:t>
            </w:r>
          </w:p>
        </w:tc>
        <w:tc>
          <w:tcPr>
            <w:tcW w:w="1050" w:type="pct"/>
            <w:vAlign w:val="center"/>
          </w:tcPr>
          <w:p>
            <w:pPr>
              <w:keepNext/>
              <w:jc w:val="center"/>
            </w:pPr>
            <w:r>
              <w:rPr>
                <w:rFonts w:hint="eastAsia"/>
                <w:b w:val="0"/>
                <w:sz w:val="21"/>
              </w:rPr>
              <w:t>109.71</w:t>
            </w:r>
          </w:p>
        </w:tc>
      </w:tr>
      <w:tr>
        <w:trPr>
          <w:cantSplit/>
        </w:trPr>
        <w:tc>
          <w:tcPr>
            <w:tcW w:w="800" w:type="pct"/>
            <w:vAlign w:val="center"/>
          </w:tcPr>
          <w:p>
            <w:pPr>
              <w:keepNext/>
              <w:jc w:val="center"/>
            </w:pPr>
            <w:r>
              <w:rPr>
                <w:rFonts w:hint="eastAsia"/>
                <w:b w:val="0"/>
                <w:sz w:val="21"/>
              </w:rPr>
              <w:t>2029年</w:t>
            </w:r>
          </w:p>
        </w:tc>
        <w:tc>
          <w:tcPr>
            <w:tcW w:w="1050" w:type="pct"/>
            <w:vAlign w:val="center"/>
          </w:tcPr>
          <w:p>
            <w:pPr>
              <w:keepNext/>
              <w:jc w:val="center"/>
            </w:pPr>
            <w:r>
              <w:rPr>
                <w:rFonts w:hint="eastAsia"/>
                <w:b w:val="0"/>
                <w:sz w:val="21"/>
              </w:rPr>
              <w:t>80.44</w:t>
            </w:r>
          </w:p>
        </w:tc>
        <w:tc>
          <w:tcPr>
            <w:tcW w:w="1050" w:type="pct"/>
            <w:vAlign w:val="center"/>
          </w:tcPr>
          <w:p>
            <w:pPr>
              <w:keepNext/>
              <w:jc w:val="center"/>
            </w:pPr>
            <w:r>
              <w:rPr>
                <w:rFonts w:hint="eastAsia"/>
                <w:b w:val="0"/>
                <w:sz w:val="21"/>
              </w:rPr>
              <w:t>45.60</w:t>
            </w:r>
          </w:p>
        </w:tc>
        <w:tc>
          <w:tcPr>
            <w:tcW w:w="1050" w:type="pct"/>
            <w:vAlign w:val="center"/>
          </w:tcPr>
          <w:p>
            <w:pPr>
              <w:keepNext/>
              <w:jc w:val="center"/>
            </w:pPr>
            <w:r>
              <w:rPr>
                <w:rFonts w:hint="eastAsia"/>
                <w:b w:val="0"/>
                <w:sz w:val="21"/>
              </w:rPr>
              <w:t>55.50</w:t>
            </w:r>
          </w:p>
        </w:tc>
        <w:tc>
          <w:tcPr>
            <w:tcW w:w="1050" w:type="pct"/>
            <w:vAlign w:val="center"/>
          </w:tcPr>
          <w:p>
            <w:pPr>
              <w:keepNext/>
              <w:jc w:val="center"/>
            </w:pPr>
            <w:r>
              <w:rPr>
                <w:rFonts w:hint="eastAsia"/>
                <w:b w:val="0"/>
                <w:sz w:val="21"/>
              </w:rPr>
              <w:t>181.54</w:t>
            </w:r>
          </w:p>
        </w:tc>
      </w:tr>
      <w:tr>
        <w:trPr>
          <w:cantSplit/>
        </w:trPr>
        <w:tc>
          <w:tcPr>
            <w:tcW w:w="800" w:type="pct"/>
            <w:vAlign w:val="center"/>
          </w:tcPr>
          <w:p>
            <w:pPr>
              <w:keepNext/>
              <w:jc w:val="center"/>
            </w:pPr>
            <w:r>
              <w:rPr>
                <w:rFonts w:hint="eastAsia"/>
                <w:b w:val="0"/>
                <w:sz w:val="21"/>
              </w:rPr>
              <w:t>2030年</w:t>
            </w:r>
          </w:p>
        </w:tc>
        <w:tc>
          <w:tcPr>
            <w:tcW w:w="1050" w:type="pct"/>
            <w:vAlign w:val="center"/>
          </w:tcPr>
          <w:p>
            <w:pPr>
              <w:keepNext/>
              <w:jc w:val="center"/>
            </w:pPr>
            <w:r>
              <w:rPr>
                <w:rFonts w:hint="eastAsia"/>
                <w:b w:val="0"/>
                <w:sz w:val="21"/>
              </w:rPr>
              <w:t>111.95</w:t>
            </w:r>
          </w:p>
        </w:tc>
        <w:tc>
          <w:tcPr>
            <w:tcW w:w="1050" w:type="pct"/>
            <w:vAlign w:val="center"/>
          </w:tcPr>
          <w:p>
            <w:pPr>
              <w:keepNext/>
              <w:jc w:val="center"/>
            </w:pPr>
            <w:r>
              <w:rPr>
                <w:rFonts w:hint="eastAsia"/>
                <w:b w:val="0"/>
                <w:sz w:val="21"/>
              </w:rPr>
              <w:t>55.35</w:t>
            </w:r>
          </w:p>
        </w:tc>
        <w:tc>
          <w:tcPr>
            <w:tcW w:w="1050" w:type="pct"/>
            <w:vAlign w:val="center"/>
          </w:tcPr>
          <w:p>
            <w:pPr>
              <w:keepNext/>
              <w:jc w:val="center"/>
            </w:pPr>
            <w:r>
              <w:rPr>
                <w:rFonts w:hint="eastAsia"/>
                <w:b w:val="0"/>
                <w:sz w:val="21"/>
              </w:rPr>
              <w:t>62.36</w:t>
            </w:r>
          </w:p>
        </w:tc>
        <w:tc>
          <w:tcPr>
            <w:tcW w:w="1050" w:type="pct"/>
            <w:vAlign w:val="center"/>
          </w:tcPr>
          <w:p>
            <w:pPr>
              <w:keepNext/>
              <w:jc w:val="center"/>
            </w:pPr>
            <w:r>
              <w:rPr>
                <w:rFonts w:hint="eastAsia"/>
                <w:b w:val="0"/>
                <w:sz w:val="21"/>
              </w:rPr>
              <w:t>229.67</w:t>
            </w:r>
          </w:p>
        </w:tc>
      </w:tr>
      <w:tr>
        <w:trPr>
          <w:cantSplit/>
        </w:trPr>
        <w:tc>
          <w:tcPr>
            <w:tcW w:w="800" w:type="pct"/>
            <w:vAlign w:val="center"/>
          </w:tcPr>
          <w:p>
            <w:pPr>
              <w:keepNext/>
              <w:jc w:val="center"/>
            </w:pPr>
            <w:r>
              <w:rPr>
                <w:rFonts w:hint="eastAsia"/>
                <w:b w:val="0"/>
                <w:sz w:val="21"/>
              </w:rPr>
              <w:t>2031年</w:t>
            </w:r>
          </w:p>
        </w:tc>
        <w:tc>
          <w:tcPr>
            <w:tcW w:w="1050" w:type="pct"/>
            <w:vAlign w:val="center"/>
          </w:tcPr>
          <w:p>
            <w:pPr>
              <w:keepNext/>
              <w:jc w:val="center"/>
            </w:pPr>
            <w:r>
              <w:rPr>
                <w:rFonts w:hint="eastAsia"/>
                <w:b w:val="0"/>
                <w:sz w:val="21"/>
              </w:rPr>
              <w:t>139.76</w:t>
            </w:r>
          </w:p>
        </w:tc>
        <w:tc>
          <w:tcPr>
            <w:tcW w:w="1050" w:type="pct"/>
            <w:vAlign w:val="center"/>
          </w:tcPr>
          <w:p>
            <w:pPr>
              <w:keepNext/>
              <w:jc w:val="center"/>
            </w:pPr>
            <w:r>
              <w:rPr>
                <w:rFonts w:hint="eastAsia"/>
                <w:b w:val="0"/>
                <w:sz w:val="21"/>
              </w:rPr>
              <w:t>65.10</w:t>
            </w:r>
          </w:p>
        </w:tc>
        <w:tc>
          <w:tcPr>
            <w:tcW w:w="1050" w:type="pct"/>
            <w:vAlign w:val="center"/>
          </w:tcPr>
          <w:p>
            <w:pPr>
              <w:keepNext/>
              <w:jc w:val="center"/>
            </w:pPr>
            <w:r>
              <w:rPr>
                <w:rFonts w:hint="eastAsia"/>
                <w:b w:val="0"/>
                <w:sz w:val="21"/>
              </w:rPr>
              <w:t>56.93</w:t>
            </w:r>
          </w:p>
        </w:tc>
        <w:tc>
          <w:tcPr>
            <w:tcW w:w="1050" w:type="pct"/>
            <w:vAlign w:val="center"/>
          </w:tcPr>
          <w:p>
            <w:pPr>
              <w:keepNext/>
              <w:jc w:val="center"/>
            </w:pPr>
            <w:r>
              <w:rPr>
                <w:rFonts w:hint="eastAsia"/>
                <w:b w:val="0"/>
                <w:sz w:val="21"/>
              </w:rPr>
              <w:t>261.79</w:t>
            </w:r>
          </w:p>
        </w:tc>
      </w:tr>
      <w:tr>
        <w:trPr>
          <w:cantSplit/>
        </w:trPr>
        <w:tc>
          <w:tcPr>
            <w:tcW w:w="800" w:type="pct"/>
            <w:vAlign w:val="center"/>
          </w:tcPr>
          <w:p>
            <w:pPr>
              <w:keepNext/>
              <w:jc w:val="center"/>
            </w:pPr>
            <w:r>
              <w:rPr>
                <w:rFonts w:hint="eastAsia"/>
                <w:b w:val="0"/>
                <w:sz w:val="21"/>
              </w:rPr>
              <w:t>2032年</w:t>
            </w:r>
          </w:p>
        </w:tc>
        <w:tc>
          <w:tcPr>
            <w:tcW w:w="1050" w:type="pct"/>
            <w:vAlign w:val="center"/>
          </w:tcPr>
          <w:p>
            <w:pPr>
              <w:keepNext/>
              <w:jc w:val="center"/>
            </w:pPr>
            <w:r>
              <w:rPr>
                <w:rFonts w:hint="eastAsia"/>
                <w:b w:val="0"/>
                <w:sz w:val="21"/>
              </w:rPr>
              <w:t>157.09</w:t>
            </w:r>
          </w:p>
        </w:tc>
        <w:tc>
          <w:tcPr>
            <w:tcW w:w="1050" w:type="pct"/>
            <w:vAlign w:val="center"/>
          </w:tcPr>
          <w:p>
            <w:pPr>
              <w:keepNext/>
              <w:jc w:val="center"/>
            </w:pPr>
            <w:r>
              <w:rPr>
                <w:rFonts w:hint="eastAsia"/>
                <w:b w:val="0"/>
                <w:sz w:val="21"/>
              </w:rPr>
              <w:t>62.38</w:t>
            </w:r>
          </w:p>
        </w:tc>
        <w:tc>
          <w:tcPr>
            <w:tcW w:w="1050" w:type="pct"/>
            <w:vAlign w:val="center"/>
          </w:tcPr>
          <w:p>
            <w:pPr>
              <w:keepNext/>
              <w:jc w:val="center"/>
            </w:pPr>
            <w:r>
              <w:rPr>
                <w:rFonts w:hint="eastAsia"/>
                <w:b w:val="0"/>
                <w:sz w:val="21"/>
              </w:rPr>
              <w:t>45.93</w:t>
            </w:r>
          </w:p>
        </w:tc>
        <w:tc>
          <w:tcPr>
            <w:tcW w:w="1050" w:type="pct"/>
            <w:vAlign w:val="center"/>
          </w:tcPr>
          <w:p>
            <w:pPr>
              <w:keepNext/>
              <w:jc w:val="center"/>
            </w:pPr>
            <w:r>
              <w:rPr>
                <w:rFonts w:hint="eastAsia"/>
                <w:b w:val="0"/>
                <w:sz w:val="21"/>
              </w:rPr>
              <w:t>265.40</w:t>
            </w:r>
          </w:p>
        </w:tc>
      </w:tr>
      <w:tr>
        <w:trPr>
          <w:cantSplit/>
        </w:trPr>
        <w:tc>
          <w:tcPr>
            <w:tcW w:w="800" w:type="pct"/>
            <w:vAlign w:val="center"/>
          </w:tcPr>
          <w:p>
            <w:pPr>
              <w:keepNext/>
              <w:jc w:val="center"/>
            </w:pPr>
            <w:r>
              <w:rPr>
                <w:rFonts w:hint="eastAsia"/>
                <w:b w:val="0"/>
                <w:sz w:val="21"/>
              </w:rPr>
              <w:t>2033年</w:t>
            </w:r>
          </w:p>
        </w:tc>
        <w:tc>
          <w:tcPr>
            <w:tcW w:w="1050" w:type="pct"/>
            <w:vAlign w:val="center"/>
          </w:tcPr>
          <w:p>
            <w:pPr>
              <w:keepNext/>
              <w:jc w:val="center"/>
            </w:pPr>
            <w:r>
              <w:rPr>
                <w:rFonts w:hint="eastAsia"/>
                <w:b w:val="0"/>
                <w:sz w:val="21"/>
              </w:rPr>
              <w:t>162.32</w:t>
            </w:r>
          </w:p>
        </w:tc>
        <w:tc>
          <w:tcPr>
            <w:tcW w:w="1050" w:type="pct"/>
            <w:vAlign w:val="center"/>
          </w:tcPr>
          <w:p>
            <w:pPr>
              <w:keepNext/>
              <w:jc w:val="center"/>
            </w:pPr>
            <w:r>
              <w:rPr>
                <w:rFonts w:hint="eastAsia"/>
                <w:b w:val="0"/>
                <w:sz w:val="21"/>
              </w:rPr>
              <w:t>84.00</w:t>
            </w:r>
          </w:p>
        </w:tc>
        <w:tc>
          <w:tcPr>
            <w:tcW w:w="1050" w:type="pct"/>
            <w:vAlign w:val="center"/>
          </w:tcPr>
          <w:p>
            <w:pPr>
              <w:keepNext/>
              <w:jc w:val="center"/>
            </w:pPr>
            <w:r>
              <w:rPr>
                <w:rFonts w:hint="eastAsia"/>
                <w:b w:val="0"/>
                <w:sz w:val="21"/>
              </w:rPr>
              <w:t>54.13</w:t>
            </w:r>
          </w:p>
        </w:tc>
        <w:tc>
          <w:tcPr>
            <w:tcW w:w="1050" w:type="pct"/>
            <w:vAlign w:val="center"/>
          </w:tcPr>
          <w:p>
            <w:pPr>
              <w:keepNext/>
              <w:jc w:val="center"/>
            </w:pPr>
            <w:r>
              <w:rPr>
                <w:rFonts w:hint="eastAsia"/>
                <w:b w:val="0"/>
                <w:sz w:val="21"/>
              </w:rPr>
              <w:t>300.44</w:t>
            </w:r>
          </w:p>
        </w:tc>
      </w:tr>
      <w:tr>
        <w:trPr>
          <w:cantSplit/>
        </w:trPr>
        <w:tc>
          <w:tcPr>
            <w:tcW w:w="800" w:type="pct"/>
            <w:vAlign w:val="center"/>
          </w:tcPr>
          <w:p>
            <w:pPr>
              <w:keepNext/>
              <w:jc w:val="center"/>
            </w:pPr>
            <w:r>
              <w:rPr>
                <w:rFonts w:hint="eastAsia"/>
                <w:b w:val="0"/>
                <w:sz w:val="21"/>
              </w:rPr>
              <w:t>2034年</w:t>
            </w:r>
          </w:p>
        </w:tc>
        <w:tc>
          <w:tcPr>
            <w:tcW w:w="1050" w:type="pct"/>
            <w:vAlign w:val="center"/>
          </w:tcPr>
          <w:p>
            <w:pPr>
              <w:keepNext/>
              <w:jc w:val="center"/>
            </w:pPr>
            <w:r>
              <w:rPr>
                <w:rFonts w:hint="eastAsia"/>
                <w:b w:val="0"/>
                <w:sz w:val="21"/>
              </w:rPr>
              <w:t>206.08</w:t>
            </w:r>
          </w:p>
        </w:tc>
        <w:tc>
          <w:tcPr>
            <w:tcW w:w="1050" w:type="pct"/>
            <w:vAlign w:val="center"/>
          </w:tcPr>
          <w:p>
            <w:pPr>
              <w:keepNext/>
              <w:jc w:val="center"/>
            </w:pPr>
            <w:r>
              <w:rPr>
                <w:rFonts w:hint="eastAsia"/>
                <w:b w:val="0"/>
                <w:sz w:val="21"/>
              </w:rPr>
              <w:t>119.62</w:t>
            </w:r>
          </w:p>
        </w:tc>
        <w:tc>
          <w:tcPr>
            <w:tcW w:w="1050" w:type="pct"/>
            <w:vAlign w:val="center"/>
          </w:tcPr>
          <w:p>
            <w:pPr>
              <w:keepNext/>
              <w:jc w:val="center"/>
            </w:pPr>
            <w:r>
              <w:rPr>
                <w:rFonts w:hint="eastAsia"/>
                <w:b w:val="0"/>
                <w:sz w:val="21"/>
              </w:rPr>
              <w:t>64.60</w:t>
            </w:r>
          </w:p>
        </w:tc>
        <w:tc>
          <w:tcPr>
            <w:tcW w:w="1050" w:type="pct"/>
            <w:vAlign w:val="center"/>
          </w:tcPr>
          <w:p>
            <w:pPr>
              <w:keepNext/>
              <w:jc w:val="center"/>
            </w:pPr>
            <w:r>
              <w:rPr>
                <w:rFonts w:hint="eastAsia"/>
                <w:b w:val="0"/>
                <w:sz w:val="21"/>
              </w:rPr>
              <w:t>390.30</w:t>
            </w:r>
          </w:p>
        </w:tc>
      </w:tr>
      <w:tr>
        <w:trPr>
          <w:cantSplit/>
        </w:trPr>
        <w:tc>
          <w:tcPr>
            <w:tcW w:w="800" w:type="pct"/>
            <w:tcBorders>
              <w:bottom w:val="single" w:sz="12" w:space="0" w:color="010000"/>
            </w:tcBorders>
            <w:vAlign w:val="center"/>
          </w:tcPr>
          <w:p>
            <w:pPr>
              <w:keepNext/>
              <w:jc w:val="center"/>
            </w:pPr>
            <w:r>
              <w:rPr>
                <w:rFonts w:hint="eastAsia"/>
                <w:b w:val="0"/>
                <w:sz w:val="21"/>
              </w:rPr>
              <w:t>2035年</w:t>
            </w:r>
          </w:p>
        </w:tc>
        <w:tc>
          <w:tcPr>
            <w:tcW w:w="1050" w:type="pct"/>
            <w:tcBorders>
              <w:bottom w:val="single" w:sz="12" w:space="0" w:color="010000"/>
            </w:tcBorders>
            <w:vAlign w:val="center"/>
          </w:tcPr>
          <w:p>
            <w:pPr>
              <w:keepNext/>
              <w:jc w:val="center"/>
            </w:pPr>
            <w:r>
              <w:rPr>
                <w:rFonts w:hint="eastAsia"/>
                <w:b w:val="0"/>
                <w:sz w:val="21"/>
              </w:rPr>
              <w:t>249.00</w:t>
            </w:r>
          </w:p>
        </w:tc>
        <w:tc>
          <w:tcPr>
            <w:tcW w:w="1050" w:type="pct"/>
            <w:tcBorders>
              <w:bottom w:val="single" w:sz="12" w:space="0" w:color="010000"/>
            </w:tcBorders>
            <w:vAlign w:val="center"/>
          </w:tcPr>
          <w:p>
            <w:pPr>
              <w:keepNext/>
              <w:jc w:val="center"/>
            </w:pPr>
            <w:r>
              <w:rPr>
                <w:rFonts w:hint="eastAsia"/>
                <w:b w:val="0"/>
                <w:sz w:val="21"/>
              </w:rPr>
              <w:t>55.00</w:t>
            </w:r>
          </w:p>
        </w:tc>
        <w:tc>
          <w:tcPr>
            <w:tcW w:w="1050" w:type="pct"/>
            <w:tcBorders>
              <w:bottom w:val="single" w:sz="12" w:space="0" w:color="010000"/>
            </w:tcBorders>
            <w:vAlign w:val="center"/>
          </w:tcPr>
          <w:p>
            <w:pPr>
              <w:keepNext/>
              <w:jc w:val="center"/>
            </w:pPr>
            <w:r>
              <w:rPr>
                <w:rFonts w:hint="eastAsia"/>
                <w:b w:val="0"/>
                <w:sz w:val="21"/>
              </w:rPr>
              <w:t>31.05</w:t>
            </w:r>
          </w:p>
        </w:tc>
        <w:tc>
          <w:tcPr>
            <w:tcW w:w="1050" w:type="pct"/>
            <w:tcBorders>
              <w:bottom w:val="single" w:sz="12" w:space="0" w:color="010000"/>
            </w:tcBorders>
            <w:vAlign w:val="center"/>
          </w:tcPr>
          <w:p>
            <w:pPr>
              <w:keepNext/>
              <w:jc w:val="center"/>
            </w:pPr>
            <w:r>
              <w:rPr>
                <w:rFonts w:hint="eastAsia"/>
                <w:b w:val="0"/>
                <w:sz w:val="21"/>
              </w:rPr>
              <w:t>335.05</w:t>
            </w:r>
          </w:p>
        </w:tc>
      </w:tr>
    </w:tbl>
    <w:p>
      <w:pPr>
        <w:pStyle w:val="a4"/>
        <w:jc w:val="center"/>
      </w:pPr>
      <w:r>
        <w:rPr>
          <w:rFonts w:hint="eastAsia"/>
          <w:b w:val="0"/>
          <w:sz w:val="11"/>
        </w:rPr>
        <w:t>资料来源：《新财富》2026年8月10日刊文，测算方为深天使</w:t>
      </w:r>
    </w:p>
    <w:p>
      <w:pPr>
        <w:pStyle w:val="005"/>
      </w:pPr>
      <w:r>
        <w:rPr>
          <w:rFonts w:hint="eastAsia"/>
          <w:b w:val="0"/>
        </w:rPr>
        <w:t>按上表数据，2026年至2035年十年合计约2120亿元，其中2035年当年335.05亿元，为2026年11.55亿元的29倍。该刊文正文的表述为预计未来十年国内OTV总市场规模可达2000亿元，与逐年测算表合计数存在差异，此处按测算表逐年数据列示，未作调整。</w:t>
      </w:r>
    </w:p>
    <w:p>
      <w:pPr>
        <w:pStyle w:val="005"/>
      </w:pPr>
      <w:r>
        <w:rPr>
          <w:rFonts w:hint="eastAsia"/>
          <w:b w:val="0"/>
        </w:rPr>
        <w:t>该测算的主要假设为：补网数量按卫星寿命第一年3%、第二年5%、第三年10%、第四年12%、第五年30%、第六年40%计算；三大星座单颗卫星平均重量2026年至2029年按600公斤、2030年至2035年按500公斤计算；发射单价由2026年的8万元/公斤逐年降至2035年的2万元/公斤；采用OTV部署的卫星占比逐年提升，补网环节第一年5%、第六年及未来100%，组网环节第一年2%、第六年及未来20%。</w:t>
      </w:r>
    </w:p>
    <w:p>
      <w:pPr>
        <w:pStyle w:val="004"/>
      </w:pPr>
      <w:r>
        <w:rPr>
          <w:rFonts w:hint="eastAsia"/>
          <w:b/>
        </w:rPr>
        <w:t>6、全球三条商业化路径与代表企业</w:t>
      </w:r>
    </w:p>
    <w:p>
      <w:pPr>
        <w:pStyle w:val="005"/>
      </w:pPr>
      <w:r>
        <w:rPr>
          <w:rFonts w:hint="eastAsia"/>
          <w:b w:val="0"/>
        </w:rPr>
        <w:t>全球OTV市场已形成异轨多星部署、在轨延寿与加注、碎片清理三类商业模式，三条路径的客户群体与成熟度不同。</w:t>
      </w:r>
    </w:p>
    <w:p>
      <w:pPr>
        <w:pStyle w:val="a4"/>
        <w:keepNext/>
        <w:jc w:val="center"/>
      </w:pPr>
      <w:r>
        <w:rPr>
          <w:rFonts w:hint="eastAsia"/>
          <w:b/>
          <w:sz w:val="21"/>
        </w:rPr>
        <w:t>表4  全球OTV三条商业化路径与代表企业</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2769"/>
        <w:gridCol w:w="2769"/>
        <w:gridCol w:w="2769"/>
      </w:tblGrid>
      <w:tr>
        <w:trPr>
          <w:cantSplit/>
          <w:tblHeader/>
        </w:trPr>
        <w:tc>
          <w:tcPr>
            <w:tcW w:w="700" w:type="pct"/>
            <w:tcBorders>
              <w:top w:val="single" w:sz="12" w:space="0" w:color="010000"/>
              <w:bottom w:val="single" w:sz="4" w:space="0" w:color="010000"/>
            </w:tcBorders>
            <w:vAlign w:val="center"/>
          </w:tcPr>
          <w:p>
            <w:pPr>
              <w:keepNext/>
              <w:jc w:val="center"/>
            </w:pPr>
            <w:r>
              <w:rPr>
                <w:rFonts w:hint="eastAsia"/>
                <w:b/>
                <w:sz w:val="21"/>
              </w:rPr>
              <w:t>商业化路径</w:t>
            </w:r>
          </w:p>
        </w:tc>
        <w:tc>
          <w:tcPr>
            <w:tcW w:w="1500" w:type="pct"/>
            <w:tcBorders>
              <w:top w:val="single" w:sz="12" w:space="0" w:color="010000"/>
              <w:bottom w:val="single" w:sz="4" w:space="0" w:color="010000"/>
            </w:tcBorders>
            <w:vAlign w:val="center"/>
          </w:tcPr>
          <w:p>
            <w:pPr>
              <w:keepNext/>
              <w:jc w:val="center"/>
            </w:pPr>
            <w:r>
              <w:rPr>
                <w:rFonts w:hint="eastAsia"/>
                <w:b/>
                <w:sz w:val="21"/>
              </w:rPr>
              <w:t>商业逻辑</w:t>
            </w:r>
          </w:p>
        </w:tc>
        <w:tc>
          <w:tcPr>
            <w:tcW w:w="2800" w:type="pct"/>
            <w:tcBorders>
              <w:top w:val="single" w:sz="12" w:space="0" w:color="010000"/>
              <w:bottom w:val="single" w:sz="4" w:space="0" w:color="010000"/>
            </w:tcBorders>
            <w:vAlign w:val="center"/>
          </w:tcPr>
          <w:p>
            <w:pPr>
              <w:keepNext/>
              <w:jc w:val="center"/>
            </w:pPr>
            <w:r>
              <w:rPr>
                <w:rFonts w:hint="eastAsia"/>
                <w:b/>
                <w:sz w:val="21"/>
              </w:rPr>
              <w:t>代表企业与进展</w:t>
            </w:r>
          </w:p>
        </w:tc>
      </w:tr>
      <w:tr>
        <w:trPr>
          <w:cantSplit/>
        </w:trPr>
        <w:tc>
          <w:tcPr>
            <w:tcW w:w="700" w:type="pct"/>
            <w:vAlign w:val="center"/>
          </w:tcPr>
          <w:p>
            <w:pPr>
              <w:keepNext/>
              <w:jc w:val="center"/>
            </w:pPr>
            <w:r>
              <w:rPr>
                <w:rFonts w:hint="eastAsia"/>
                <w:b w:val="0"/>
                <w:sz w:val="21"/>
              </w:rPr>
              <w:t>异轨多星部署</w:t>
            </w:r>
          </w:p>
        </w:tc>
        <w:tc>
          <w:tcPr>
            <w:tcW w:w="1500" w:type="pct"/>
            <w:vAlign w:val="center"/>
          </w:tcPr>
          <w:p>
            <w:pPr>
              <w:keepNext/>
              <w:jc w:val="left"/>
            </w:pPr>
            <w:r>
              <w:rPr>
                <w:rFonts w:hint="eastAsia"/>
                <w:b w:val="0"/>
                <w:sz w:val="21"/>
              </w:rPr>
              <w:t>企业批量采购火箭拼车席位，将携带多颗小卫星的OTV送至初始轨道，再将卫星投送至不同目标轨道，按部署卫星数量、轨道位置收费</w:t>
            </w:r>
          </w:p>
        </w:tc>
        <w:tc>
          <w:tcPr>
            <w:tcW w:w="2800" w:type="pct"/>
            <w:vAlign w:val="center"/>
          </w:tcPr>
          <w:p>
            <w:pPr>
              <w:keepNext/>
              <w:jc w:val="left"/>
            </w:pPr>
            <w:r>
              <w:rPr>
                <w:rFonts w:hint="eastAsia"/>
                <w:b w:val="0"/>
                <w:sz w:val="21"/>
              </w:rPr>
              <w:t>D-Orbit（意大利）：截至2026年4月执行22次轨道运输任务，累计部署141颗卫星、79台托管载荷，营收由2020年123万美元增至2024年1963万美元；Impulse Space（美国）：2026年D轮融资5亿美元，投后估值42.6亿美元；Exotrail（法国）：2026年5月部署NASA资助的AEPEX立方星；PAVE Space（瑞士）：2026年3月完成4000万美元种子轮</w:t>
            </w:r>
          </w:p>
        </w:tc>
      </w:tr>
      <w:tr>
        <w:trPr>
          <w:cantSplit/>
        </w:trPr>
        <w:tc>
          <w:tcPr>
            <w:tcW w:w="700" w:type="pct"/>
            <w:vAlign w:val="center"/>
          </w:tcPr>
          <w:p>
            <w:pPr>
              <w:keepNext/>
              <w:jc w:val="center"/>
            </w:pPr>
            <w:r>
              <w:rPr>
                <w:rFonts w:hint="eastAsia"/>
                <w:b w:val="0"/>
                <w:sz w:val="21"/>
              </w:rPr>
              <w:t>在轨延寿与加注</w:t>
            </w:r>
          </w:p>
        </w:tc>
        <w:tc>
          <w:tcPr>
            <w:tcW w:w="1500" w:type="pct"/>
            <w:vAlign w:val="center"/>
          </w:tcPr>
          <w:p>
            <w:pPr>
              <w:keepNext/>
              <w:jc w:val="left"/>
            </w:pPr>
            <w:r>
              <w:rPr>
                <w:rFonts w:hint="eastAsia"/>
                <w:b w:val="0"/>
                <w:sz w:val="21"/>
              </w:rPr>
              <w:t>为推进剂耗尽或推进系统老化的高价值卫星延长服役年限，赚取寿命延长价值与延寿加注成本的差价，单笔合同可达上亿美元</w:t>
            </w:r>
          </w:p>
        </w:tc>
        <w:tc>
          <w:tcPr>
            <w:tcW w:w="2800" w:type="pct"/>
            <w:vAlign w:val="center"/>
          </w:tcPr>
          <w:p>
            <w:pPr>
              <w:keepNext/>
              <w:jc w:val="left"/>
            </w:pPr>
            <w:r>
              <w:rPr>
                <w:rFonts w:hint="eastAsia"/>
                <w:b w:val="0"/>
                <w:sz w:val="21"/>
              </w:rPr>
              <w:t>Space Logistics（美国）：MEV-1于2020年在地球静止轨道上方墓地轨道与Intelsat-901对接并接管推进模块，延寿5年，MRV计划2026年为在轨卫星安装推进模块，单次安装可延寿至少6年；Orbit Fab（美国）：2022年底获美国太空军1330万美元合同，美太空军计划2027年进行在轨燃料加注演示</w:t>
            </w:r>
          </w:p>
        </w:tc>
      </w:tr>
      <w:tr>
        <w:trPr>
          <w:cantSplit/>
        </w:trPr>
        <w:tc>
          <w:tcPr>
            <w:tcW w:w="700" w:type="pct"/>
            <w:tcBorders>
              <w:bottom w:val="single" w:sz="12" w:space="0" w:color="010000"/>
            </w:tcBorders>
            <w:vAlign w:val="center"/>
          </w:tcPr>
          <w:p>
            <w:pPr>
              <w:keepNext/>
              <w:jc w:val="center"/>
            </w:pPr>
            <w:r>
              <w:rPr>
                <w:rFonts w:hint="eastAsia"/>
                <w:b w:val="0"/>
                <w:sz w:val="21"/>
              </w:rPr>
              <w:t>碎片清理</w:t>
            </w:r>
          </w:p>
        </w:tc>
        <w:tc>
          <w:tcPr>
            <w:tcW w:w="1500" w:type="pct"/>
            <w:tcBorders>
              <w:bottom w:val="single" w:sz="12" w:space="0" w:color="010000"/>
            </w:tcBorders>
            <w:vAlign w:val="center"/>
          </w:tcPr>
          <w:p>
            <w:pPr>
              <w:keepNext/>
              <w:jc w:val="left"/>
            </w:pPr>
            <w:r>
              <w:rPr>
                <w:rFonts w:hint="eastAsia"/>
                <w:b w:val="0"/>
                <w:sz w:val="21"/>
              </w:rPr>
              <w:t>为政府机构和星座运营商清除空间碎片，降低在轨资产碰撞风险</w:t>
            </w:r>
          </w:p>
        </w:tc>
        <w:tc>
          <w:tcPr>
            <w:tcW w:w="2800" w:type="pct"/>
            <w:tcBorders>
              <w:bottom w:val="single" w:sz="12" w:space="0" w:color="010000"/>
            </w:tcBorders>
            <w:vAlign w:val="center"/>
          </w:tcPr>
          <w:p>
            <w:pPr>
              <w:keepNext/>
              <w:jc w:val="left"/>
            </w:pPr>
            <w:r>
              <w:rPr>
                <w:rFonts w:hint="eastAsia"/>
                <w:b w:val="0"/>
                <w:sz w:val="21"/>
              </w:rPr>
              <w:t>Astroscale（日本）：2024年在东京证券交易所上市，与日本宇宙航空研究开发机构、英国航天局、美国太空军签署总额上亿美元合同，其中美太空军在轨加注合同金额2550万美元；ClearSpace（瑞士）：2020年获欧洲航天局约1.04亿美元合同，执行ClearSpace-1空间碎片清除任务</w:t>
            </w:r>
          </w:p>
        </w:tc>
      </w:tr>
    </w:tbl>
    <w:p>
      <w:pPr>
        <w:pStyle w:val="a4"/>
        <w:jc w:val="center"/>
      </w:pPr>
      <w:r>
        <w:rPr>
          <w:rFonts w:hint="eastAsia"/>
          <w:b w:val="0"/>
          <w:sz w:val="11"/>
        </w:rPr>
        <w:t>资料来源：《新财富》2026年8月10日刊文，各公司公开信息</w:t>
      </w:r>
    </w:p>
    <w:p>
      <w:pPr>
        <w:pStyle w:val="004"/>
      </w:pPr>
      <w:r>
        <w:rPr>
          <w:rFonts w:hint="eastAsia"/>
          <w:b/>
        </w:rPr>
        <w:t>7、国内产业链与主要参与者</w:t>
      </w:r>
    </w:p>
    <w:p>
      <w:pPr>
        <w:pStyle w:val="005"/>
      </w:pPr>
      <w:r>
        <w:rPr>
          <w:rFonts w:hint="eastAsia"/>
          <w:b w:val="0"/>
        </w:rPr>
        <w:t>商用OTV产业链分为上游零部件与分系统、中游整机研制与集成、下游运营与应用服务三个环节。上游包括推进系统（电推进的霍尔推进器、离子推力器，化学推进的发动机与推进剂贮箱）、导航制导与控制系统（星敏感器、惯性测量单元、自主导航芯片）、结构与机构（飞行器平台结构、空间机械臂）、能源系统（太阳能电池阵、蓄电池）。中游为整机研制与系统集成。下游为卫星运营商、卫星制造企业、政府与军方、在轨服务市场。</w:t>
      </w:r>
    </w:p>
    <w:p>
      <w:pPr>
        <w:pStyle w:val="005"/>
      </w:pPr>
      <w:r>
        <w:rPr>
          <w:rFonts w:hint="eastAsia"/>
          <w:b w:val="0"/>
        </w:rPr>
        <w:t>国内OTV市场形成专业初创公司、商业火箭公司和国家队三类主体。专业初创公司普遍由航天科技集团、航天科工集团等体制内技术人员离职创业组建。商业火箭公司基于火箭上面级技术切入，如星河动力谷神星一号第四级为自研的多功能液体上面级，可实现一箭多星、主动离轨等功能。国家队方面，2026年2月我国第四次发射可重复使用试验航天器，此前三次任务已成功开展自主变轨、交会对接、在轨释放物体等操作。</w:t>
      </w:r>
    </w:p>
    <w:p>
      <w:pPr>
        <w:pStyle w:val="a4"/>
        <w:keepNext/>
        <w:jc w:val="center"/>
      </w:pPr>
      <w:r>
        <w:rPr>
          <w:rFonts w:hint="eastAsia"/>
          <w:b/>
          <w:sz w:val="21"/>
        </w:rPr>
        <w:t>表5  国内OTV及在轨服务主要参与企业</w:t>
      </w:r>
    </w:p>
    <w:tbl>
      <w:tblPr>
        <w:tblW w:w="5000"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val="04A0" w:firstRow="1" w:lastRow="0" w:firstColumn="1" w:lastColumn="0" w:noHBand="0" w:noVBand="1"/>
      </w:tblPr>
      <w:tblGrid>
        <w:gridCol w:w="2769"/>
        <w:gridCol w:w="2769"/>
        <w:gridCol w:w="2769"/>
      </w:tblGrid>
      <w:tr>
        <w:trPr>
          <w:cantSplit/>
          <w:tblHeader/>
        </w:trPr>
        <w:tc>
          <w:tcPr>
            <w:tcW w:w="600" w:type="pct"/>
            <w:tcBorders>
              <w:top w:val="single" w:sz="12" w:space="0" w:color="010000"/>
              <w:bottom w:val="single" w:sz="4" w:space="0" w:color="010000"/>
            </w:tcBorders>
            <w:vAlign w:val="center"/>
          </w:tcPr>
          <w:p>
            <w:pPr>
              <w:keepNext/>
              <w:jc w:val="center"/>
            </w:pPr>
            <w:r>
              <w:rPr>
                <w:rFonts w:hint="eastAsia"/>
                <w:b/>
                <w:sz w:val="21"/>
              </w:rPr>
              <w:t>企业</w:t>
            </w:r>
          </w:p>
        </w:tc>
        <w:tc>
          <w:tcPr>
            <w:tcW w:w="1200" w:type="pct"/>
            <w:tcBorders>
              <w:top w:val="single" w:sz="12" w:space="0" w:color="010000"/>
              <w:bottom w:val="single" w:sz="4" w:space="0" w:color="010000"/>
            </w:tcBorders>
            <w:vAlign w:val="center"/>
          </w:tcPr>
          <w:p>
            <w:pPr>
              <w:keepNext/>
              <w:jc w:val="center"/>
            </w:pPr>
            <w:r>
              <w:rPr>
                <w:rFonts w:hint="eastAsia"/>
                <w:b/>
                <w:sz w:val="21"/>
              </w:rPr>
              <w:t>业务定位</w:t>
            </w:r>
          </w:p>
        </w:tc>
        <w:tc>
          <w:tcPr>
            <w:tcW w:w="3200" w:type="pct"/>
            <w:tcBorders>
              <w:top w:val="single" w:sz="12" w:space="0" w:color="010000"/>
              <w:bottom w:val="single" w:sz="4" w:space="0" w:color="010000"/>
            </w:tcBorders>
            <w:vAlign w:val="center"/>
          </w:tcPr>
          <w:p>
            <w:pPr>
              <w:keepNext/>
              <w:jc w:val="center"/>
            </w:pPr>
            <w:r>
              <w:rPr>
                <w:rFonts w:hint="eastAsia"/>
                <w:b/>
                <w:sz w:val="21"/>
              </w:rPr>
              <w:t>公开进展</w:t>
            </w:r>
          </w:p>
        </w:tc>
      </w:tr>
      <w:tr>
        <w:trPr>
          <w:cantSplit/>
        </w:trPr>
        <w:tc>
          <w:tcPr>
            <w:tcW w:w="600" w:type="pct"/>
            <w:vAlign w:val="center"/>
          </w:tcPr>
          <w:p>
            <w:pPr>
              <w:keepNext/>
              <w:jc w:val="center"/>
            </w:pPr>
            <w:r>
              <w:rPr>
                <w:rFonts w:hint="eastAsia"/>
                <w:b w:val="0"/>
                <w:sz w:val="21"/>
              </w:rPr>
              <w:t>无限宇航</w:t>
            </w:r>
          </w:p>
        </w:tc>
        <w:tc>
          <w:tcPr>
            <w:tcW w:w="1200" w:type="pct"/>
            <w:vAlign w:val="center"/>
          </w:tcPr>
          <w:p>
            <w:pPr>
              <w:keepNext/>
              <w:jc w:val="left"/>
            </w:pPr>
            <w:r>
              <w:rPr>
                <w:rFonts w:hint="eastAsia"/>
                <w:b w:val="0"/>
                <w:sz w:val="21"/>
              </w:rPr>
              <w:t>OTV整机研制，异轨部署</w:t>
            </w:r>
          </w:p>
        </w:tc>
        <w:tc>
          <w:tcPr>
            <w:tcW w:w="3200" w:type="pct"/>
            <w:vAlign w:val="center"/>
          </w:tcPr>
          <w:p>
            <w:pPr>
              <w:keepNext/>
              <w:jc w:val="left"/>
            </w:pPr>
            <w:r>
              <w:rPr>
                <w:rFonts w:hint="eastAsia"/>
                <w:b w:val="0"/>
                <w:sz w:val="21"/>
              </w:rPr>
              <w:t>太空巴士IH-1完成全系统地面试车，为国内首个通过全系统地面试验验证、达到飞行状态的轨道转移飞行器，计划2026年下半年首次在轨飞行</w:t>
            </w:r>
          </w:p>
        </w:tc>
      </w:tr>
      <w:tr>
        <w:trPr>
          <w:cantSplit/>
        </w:trPr>
        <w:tc>
          <w:tcPr>
            <w:tcW w:w="600" w:type="pct"/>
            <w:vAlign w:val="center"/>
          </w:tcPr>
          <w:p>
            <w:pPr>
              <w:keepNext/>
              <w:jc w:val="center"/>
            </w:pPr>
            <w:r>
              <w:rPr>
                <w:rFonts w:hint="eastAsia"/>
                <w:b w:val="0"/>
                <w:sz w:val="21"/>
              </w:rPr>
              <w:t>未来宇航</w:t>
            </w:r>
          </w:p>
        </w:tc>
        <w:tc>
          <w:tcPr>
            <w:tcW w:w="1200" w:type="pct"/>
            <w:vAlign w:val="center"/>
          </w:tcPr>
          <w:p>
            <w:pPr>
              <w:keepNext/>
              <w:jc w:val="left"/>
            </w:pPr>
            <w:r>
              <w:rPr>
                <w:rFonts w:hint="eastAsia"/>
                <w:b w:val="0"/>
                <w:sz w:val="21"/>
              </w:rPr>
              <w:t>OTV整机研制与制造服务</w:t>
            </w:r>
          </w:p>
        </w:tc>
        <w:tc>
          <w:tcPr>
            <w:tcW w:w="3200" w:type="pct"/>
            <w:vAlign w:val="center"/>
          </w:tcPr>
          <w:p>
            <w:pPr>
              <w:keepNext/>
              <w:jc w:val="left"/>
            </w:pPr>
            <w:r>
              <w:rPr>
                <w:rFonts w:hint="eastAsia"/>
                <w:b w:val="0"/>
                <w:sz w:val="21"/>
              </w:rPr>
              <w:t>2026年4月发布FX锋行系列空间飞行器，覆盖300公斤至4000公斤级多任务平台，锋行一号计划2026年下半年首飞；雄安总装集成测试工厂2026年投产，规划年产60台</w:t>
            </w:r>
          </w:p>
        </w:tc>
      </w:tr>
      <w:tr>
        <w:trPr>
          <w:cantSplit/>
        </w:trPr>
        <w:tc>
          <w:tcPr>
            <w:tcW w:w="600" w:type="pct"/>
            <w:vAlign w:val="center"/>
          </w:tcPr>
          <w:p>
            <w:pPr>
              <w:keepNext/>
              <w:jc w:val="center"/>
            </w:pPr>
            <w:r>
              <w:rPr>
                <w:rFonts w:hint="eastAsia"/>
                <w:b w:val="0"/>
                <w:sz w:val="21"/>
              </w:rPr>
              <w:t>往返九霄</w:t>
            </w:r>
          </w:p>
        </w:tc>
        <w:tc>
          <w:tcPr>
            <w:tcW w:w="1200" w:type="pct"/>
            <w:vAlign w:val="center"/>
          </w:tcPr>
          <w:p>
            <w:pPr>
              <w:keepNext/>
              <w:jc w:val="left"/>
            </w:pPr>
            <w:r>
              <w:rPr>
                <w:rFonts w:hint="eastAsia"/>
                <w:b w:val="0"/>
                <w:sz w:val="21"/>
              </w:rPr>
              <w:t>OTV动力系统研制</w:t>
            </w:r>
          </w:p>
        </w:tc>
        <w:tc>
          <w:tcPr>
            <w:tcW w:w="3200" w:type="pct"/>
            <w:vAlign w:val="center"/>
          </w:tcPr>
          <w:p>
            <w:pPr>
              <w:keepNext/>
              <w:jc w:val="left"/>
            </w:pPr>
            <w:r>
              <w:rPr>
                <w:rFonts w:hint="eastAsia"/>
                <w:b w:val="0"/>
                <w:sz w:val="21"/>
              </w:rPr>
              <w:t>以发动机自主研发为切入点，整机尚在研发阶段</w:t>
            </w:r>
          </w:p>
        </w:tc>
      </w:tr>
      <w:tr>
        <w:trPr>
          <w:cantSplit/>
        </w:trPr>
        <w:tc>
          <w:tcPr>
            <w:tcW w:w="600" w:type="pct"/>
            <w:vAlign w:val="center"/>
          </w:tcPr>
          <w:p>
            <w:pPr>
              <w:keepNext/>
              <w:jc w:val="center"/>
            </w:pPr>
            <w:r>
              <w:rPr>
                <w:rFonts w:hint="eastAsia"/>
                <w:b w:val="0"/>
                <w:sz w:val="21"/>
              </w:rPr>
              <w:t>国宇星辰</w:t>
            </w:r>
          </w:p>
        </w:tc>
        <w:tc>
          <w:tcPr>
            <w:tcW w:w="1200" w:type="pct"/>
            <w:vAlign w:val="center"/>
          </w:tcPr>
          <w:p>
            <w:pPr>
              <w:keepNext/>
              <w:jc w:val="left"/>
            </w:pPr>
            <w:r>
              <w:rPr>
                <w:rFonts w:hint="eastAsia"/>
                <w:b w:val="0"/>
                <w:sz w:val="21"/>
              </w:rPr>
              <w:t>在轨验证、在轨延寿、在轨清理</w:t>
            </w:r>
          </w:p>
        </w:tc>
        <w:tc>
          <w:tcPr>
            <w:tcW w:w="3200" w:type="pct"/>
            <w:vAlign w:val="center"/>
          </w:tcPr>
          <w:p>
            <w:pPr>
              <w:keepNext/>
              <w:jc w:val="left"/>
            </w:pPr>
            <w:r>
              <w:rPr>
                <w:rFonts w:hint="eastAsia"/>
                <w:b w:val="0"/>
                <w:sz w:val="21"/>
              </w:rPr>
              <w:t>星迹源一号于2025年5月完成入轨验证</w:t>
            </w:r>
          </w:p>
        </w:tc>
      </w:tr>
      <w:tr>
        <w:trPr>
          <w:cantSplit/>
        </w:trPr>
        <w:tc>
          <w:tcPr>
            <w:tcW w:w="600" w:type="pct"/>
            <w:vAlign w:val="center"/>
          </w:tcPr>
          <w:p>
            <w:pPr>
              <w:keepNext/>
              <w:jc w:val="center"/>
            </w:pPr>
            <w:r>
              <w:rPr>
                <w:rFonts w:hint="eastAsia"/>
                <w:b w:val="0"/>
                <w:sz w:val="21"/>
              </w:rPr>
              <w:t>三垣航天</w:t>
            </w:r>
          </w:p>
        </w:tc>
        <w:tc>
          <w:tcPr>
            <w:tcW w:w="1200" w:type="pct"/>
            <w:vAlign w:val="center"/>
          </w:tcPr>
          <w:p>
            <w:pPr>
              <w:keepNext/>
              <w:jc w:val="left"/>
            </w:pPr>
            <w:r>
              <w:rPr>
                <w:rFonts w:hint="eastAsia"/>
                <w:b w:val="0"/>
                <w:sz w:val="21"/>
              </w:rPr>
              <w:t>在轨操作与碎片清理</w:t>
            </w:r>
          </w:p>
        </w:tc>
        <w:tc>
          <w:tcPr>
            <w:tcW w:w="3200" w:type="pct"/>
            <w:vAlign w:val="center"/>
          </w:tcPr>
          <w:p>
            <w:pPr>
              <w:keepNext/>
              <w:jc w:val="left"/>
            </w:pPr>
            <w:r>
              <w:rPr>
                <w:rFonts w:hint="eastAsia"/>
                <w:b w:val="0"/>
                <w:sz w:val="21"/>
              </w:rPr>
              <w:t>首发星星西垣0号于2026年3月入轨，为国内首颗由商业公司研制的柔性机械臂在轨操作卫星</w:t>
            </w:r>
          </w:p>
        </w:tc>
      </w:tr>
      <w:tr>
        <w:trPr>
          <w:cantSplit/>
        </w:trPr>
        <w:tc>
          <w:tcPr>
            <w:tcW w:w="600" w:type="pct"/>
            <w:vAlign w:val="center"/>
          </w:tcPr>
          <w:p>
            <w:pPr>
              <w:keepNext/>
              <w:jc w:val="center"/>
            </w:pPr>
            <w:r>
              <w:rPr>
                <w:rFonts w:hint="eastAsia"/>
                <w:b w:val="0"/>
                <w:sz w:val="21"/>
              </w:rPr>
              <w:t>遨天科技</w:t>
            </w:r>
          </w:p>
        </w:tc>
        <w:tc>
          <w:tcPr>
            <w:tcW w:w="1200" w:type="pct"/>
            <w:vAlign w:val="center"/>
          </w:tcPr>
          <w:p>
            <w:pPr>
              <w:keepNext/>
              <w:jc w:val="left"/>
            </w:pPr>
            <w:r>
              <w:rPr>
                <w:rFonts w:hint="eastAsia"/>
                <w:b w:val="0"/>
                <w:sz w:val="21"/>
              </w:rPr>
              <w:t>卫星动力系统、空间碎片监测、空间轨道服务</w:t>
            </w:r>
          </w:p>
        </w:tc>
        <w:tc>
          <w:tcPr>
            <w:tcW w:w="3200" w:type="pct"/>
            <w:vAlign w:val="center"/>
          </w:tcPr>
          <w:p>
            <w:pPr>
              <w:keepNext/>
              <w:jc w:val="left"/>
            </w:pPr>
            <w:r>
              <w:rPr>
                <w:rFonts w:hint="eastAsia"/>
                <w:b w:val="0"/>
                <w:sz w:val="21"/>
              </w:rPr>
              <w:t>2025年11月中标中国星网低轨星座卫星电推进仿真系统项目</w:t>
            </w:r>
          </w:p>
        </w:tc>
      </w:tr>
      <w:tr>
        <w:trPr>
          <w:cantSplit/>
        </w:trPr>
        <w:tc>
          <w:tcPr>
            <w:tcW w:w="600" w:type="pct"/>
            <w:vAlign w:val="center"/>
          </w:tcPr>
          <w:p>
            <w:pPr>
              <w:keepNext/>
              <w:jc w:val="center"/>
            </w:pPr>
            <w:r>
              <w:rPr>
                <w:rFonts w:hint="eastAsia"/>
                <w:b w:val="0"/>
                <w:sz w:val="21"/>
              </w:rPr>
              <w:t>鸿擎科技</w:t>
            </w:r>
          </w:p>
        </w:tc>
        <w:tc>
          <w:tcPr>
            <w:tcW w:w="1200" w:type="pct"/>
            <w:vAlign w:val="center"/>
          </w:tcPr>
          <w:p>
            <w:pPr>
              <w:keepNext/>
              <w:jc w:val="left"/>
            </w:pPr>
            <w:r>
              <w:rPr>
                <w:rFonts w:hint="eastAsia"/>
                <w:b w:val="0"/>
                <w:sz w:val="21"/>
              </w:rPr>
              <w:t>空间动力解决方案</w:t>
            </w:r>
          </w:p>
        </w:tc>
        <w:tc>
          <w:tcPr>
            <w:tcW w:w="3200" w:type="pct"/>
            <w:vAlign w:val="center"/>
          </w:tcPr>
          <w:p>
            <w:pPr>
              <w:keepNext/>
              <w:jc w:val="left"/>
            </w:pPr>
            <w:r>
              <w:rPr>
                <w:rFonts w:hint="eastAsia"/>
                <w:b w:val="0"/>
                <w:sz w:val="21"/>
              </w:rPr>
              <w:t>面向低轨互联网、物联网星座，提供小卫星轨道提升、在轨位置保持、离轨动力</w:t>
            </w:r>
          </w:p>
        </w:tc>
      </w:tr>
      <w:tr>
        <w:trPr>
          <w:cantSplit/>
        </w:trPr>
        <w:tc>
          <w:tcPr>
            <w:tcW w:w="600" w:type="pct"/>
            <w:tcBorders>
              <w:bottom w:val="single" w:sz="12" w:space="0" w:color="010000"/>
            </w:tcBorders>
            <w:vAlign w:val="center"/>
          </w:tcPr>
          <w:p>
            <w:pPr>
              <w:keepNext/>
              <w:jc w:val="center"/>
            </w:pPr>
            <w:r>
              <w:rPr>
                <w:rFonts w:hint="eastAsia"/>
                <w:b w:val="0"/>
                <w:sz w:val="21"/>
              </w:rPr>
              <w:t>星辰空间</w:t>
            </w:r>
          </w:p>
        </w:tc>
        <w:tc>
          <w:tcPr>
            <w:tcW w:w="1200" w:type="pct"/>
            <w:tcBorders>
              <w:bottom w:val="single" w:sz="12" w:space="0" w:color="010000"/>
            </w:tcBorders>
            <w:vAlign w:val="center"/>
          </w:tcPr>
          <w:p>
            <w:pPr>
              <w:keepNext/>
              <w:jc w:val="left"/>
            </w:pPr>
            <w:r>
              <w:rPr>
                <w:rFonts w:hint="eastAsia"/>
                <w:b w:val="0"/>
                <w:sz w:val="21"/>
              </w:rPr>
              <w:t>空间推进系统</w:t>
            </w:r>
          </w:p>
        </w:tc>
        <w:tc>
          <w:tcPr>
            <w:tcW w:w="3200" w:type="pct"/>
            <w:tcBorders>
              <w:bottom w:val="single" w:sz="12" w:space="0" w:color="010000"/>
            </w:tcBorders>
            <w:vAlign w:val="center"/>
          </w:tcPr>
          <w:p>
            <w:pPr>
              <w:keepNext/>
              <w:jc w:val="left"/>
            </w:pPr>
            <w:r>
              <w:rPr>
                <w:rFonts w:hint="eastAsia"/>
                <w:b w:val="0"/>
                <w:sz w:val="21"/>
              </w:rPr>
              <w:t>研发多品类电推与化推产品，提供推进系统总体解决方案</w:t>
            </w:r>
          </w:p>
        </w:tc>
      </w:tr>
    </w:tbl>
    <w:p>
      <w:pPr>
        <w:pStyle w:val="a4"/>
        <w:jc w:val="center"/>
      </w:pPr>
      <w:r>
        <w:rPr>
          <w:rFonts w:hint="eastAsia"/>
          <w:b w:val="0"/>
          <w:sz w:val="11"/>
        </w:rPr>
        <w:t>资料来源：企查查企业信用报告专业版、各公司公开信息、《新财富》2026年8月10日刊文</w:t>
      </w:r>
    </w:p>
    <w:p>
      <w:pPr>
        <w:pStyle w:val="004"/>
      </w:pPr>
      <w:r>
        <w:rPr>
          <w:rFonts w:hint="eastAsia"/>
          <w:b/>
        </w:rPr>
        <w:t>8、政策</w:t>
      </w:r>
    </w:p>
    <w:p>
      <w:pPr>
        <w:pStyle w:val="005"/>
      </w:pPr>
      <w:r>
        <w:rPr>
          <w:rFonts w:hint="eastAsia"/>
          <w:b w:val="0"/>
        </w:rPr>
        <w:t>2025年，国家航天局印发《国家航天局推进商业航天高质量安全发展行动计划（2025—2027年）》，提出支持商业航天主体围绕在轨维护与服务、空间碎片监测预警与减缓清除等新领域加强原始创新和关键核心技术攻关。</w:t>
      </w:r>
    </w:p>
    <w:p>
      <w:pPr>
        <w:pStyle w:val="005"/>
      </w:pPr>
      <w:r>
        <w:rPr>
          <w:rFonts w:hint="eastAsia"/>
          <w:b w:val="0"/>
        </w:rPr>
        <w:t>资本市场方面，《商业火箭企业适用科创板第五套上市标准》将可重复使用技术纳入其中。</w:t>
      </w:r>
    </w:p>
    <w:p>
      <w:pPr>
        <w:pStyle w:val="004"/>
      </w:pPr>
      <w:r>
        <w:rPr>
          <w:rFonts w:hint="eastAsia"/>
          <w:b/>
        </w:rPr>
        <w:t>9、行业考察维度</w:t>
      </w:r>
    </w:p>
    <w:p>
      <w:pPr>
        <w:pStyle w:val="005"/>
      </w:pPr>
      <w:r>
        <w:rPr>
          <w:rFonts w:hint="eastAsia"/>
          <w:b w:val="0"/>
        </w:rPr>
        <w:t>《新财富》2026年8月10日刊文提出，考察OTV企业竞争优势的维度有三个。</w:t>
      </w:r>
    </w:p>
    <w:p>
      <w:pPr>
        <w:pStyle w:val="005"/>
      </w:pPr>
      <w:r>
        <w:rPr>
          <w:rFonts w:hint="eastAsia"/>
          <w:b w:val="0"/>
        </w:rPr>
        <w:t>一是技术实现能力，具体包括四个方面：高机动能力的空间化学推进动力系统研发能力，该系统需能够多次机动、重复使用；轨道转移能力与自主导航制导控制技术，需融合视觉、激光雷达、反射器及地面测控等手段；高效燃烧与冷却技术，冷却技术路径包括再生冷却、辐射冷却等；产品的低成本、模块化设计。</w:t>
      </w:r>
    </w:p>
    <w:p>
      <w:pPr>
        <w:pStyle w:val="005"/>
      </w:pPr>
      <w:r>
        <w:rPr>
          <w:rFonts w:hint="eastAsia"/>
          <w:b w:val="0"/>
        </w:rPr>
        <w:t>二是团队的体制内航天工作经验。具备航天科技集团、航天科工集团等背景的核心团队，可对接高空模拟实验平台、航天级供应链等资源。</w:t>
      </w:r>
    </w:p>
    <w:p>
      <w:pPr>
        <w:pStyle w:val="005"/>
      </w:pPr>
      <w:r>
        <w:rPr>
          <w:rFonts w:hint="eastAsia"/>
          <w:b w:val="0"/>
        </w:rPr>
        <w:t>三是生态协同与风险共担，包括关键客户背书与保险供应商合作情况。关键客户指中国星网、上海垣信等头部卫星运营商，蓝箭航天、天兵科技等商业火箭企业，以及航天科技集团等国家队。</w:t>
      </w:r>
    </w:p>
    <w:p>
      <w:pPr>
        <w:pStyle w:val="004"/>
      </w:pPr>
      <w:r>
        <w:rPr>
          <w:rFonts w:hint="eastAsia"/>
          <w:b/>
        </w:rPr>
        <w:t>资料来源</w:t>
      </w:r>
    </w:p>
    <w:p>
      <w:pPr>
        <w:pStyle w:val="005"/>
      </w:pPr>
      <w:r>
        <w:rPr>
          <w:rFonts w:hint="eastAsia"/>
          <w:b w:val="0"/>
        </w:rPr>
        <w:t>一、《预计5年增长20倍！"太空巴士"驶入快车道，谁在抢占头排座位？或成商业航天下一热点》，《新财富》杂志，作者毛研、刘湘宁、刘督、陈彦钰，2026年8月10日。本材料的表2、表3、表4及图1、图2数据均取自该文，测算方为深天使。</w:t>
      </w:r>
    </w:p>
    <w:p>
      <w:pPr>
        <w:pStyle w:val="005"/>
      </w:pPr>
      <w:r>
        <w:rPr>
          <w:rFonts w:hint="eastAsia"/>
          <w:b w:val="0"/>
        </w:rPr>
        <w:t>二、《火箭之后下一个风口？商业航天新高地——轨道转移飞行器（OTV）迎来爆发前夜》，产研洞察，2026年8月15日。本材料取用其产业链结构划分、企业名单及政策内容，其市场规模数据与前述测算口径差异较大，未予采用。</w:t>
      </w:r>
    </w:p>
    <w:p>
      <w:pPr>
        <w:pStyle w:val="005"/>
      </w:pPr>
      <w:r>
        <w:rPr>
          <w:rFonts w:hint="eastAsia"/>
          <w:b w:val="0"/>
        </w:rPr>
        <w:t>三、企查查企业信用报告专业版，报告生成日期2026年8月27日。</w:t>
      </w:r>
    </w:p>
    <w:p>
      <w:pPr>
        <w:pStyle w:val="005"/>
      </w:pPr>
      <w:r>
        <w:rPr>
          <w:rFonts w:hint="eastAsia"/>
          <w:b w:val="0"/>
        </w:rPr>
        <w:t>四、无限宇航公司公开资料。文中注明"公司披露"的内容取自该来源，未经独立核实。</w:t>
      </w:r>
    </w:p>
    <w:sectPr w:rsidR="00D608E7" w:rsidRPr="007723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317B" w14:textId="77777777" w:rsidR="00B26CD7" w:rsidRDefault="00B26CD7" w:rsidP="00032B45">
      <w:r>
        <w:separator/>
      </w:r>
    </w:p>
  </w:endnote>
  <w:endnote w:type="continuationSeparator" w:id="0">
    <w:p w14:paraId="2AB520D0" w14:textId="77777777" w:rsidR="00B26CD7" w:rsidRDefault="00B26CD7" w:rsidP="00032B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03673" w14:textId="77777777" w:rsidR="00B26CD7" w:rsidRDefault="00B26CD7" w:rsidP="00032B45">
      <w:r>
        <w:separator/>
      </w:r>
    </w:p>
  </w:footnote>
  <w:footnote w:type="continuationSeparator" w:id="0">
    <w:p w14:paraId="0532037D" w14:textId="77777777" w:rsidR="00B26CD7" w:rsidRDefault="00B26CD7" w:rsidP="00032B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E2CC6"/>
    <w:multiLevelType w:val="multilevel"/>
    <w:tmpl w:val="85243032"/>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hint="default"/>
        <w:b w:val="0"/>
        <w:i w:val="0"/>
        <w:sz w:val="28"/>
      </w:rPr>
    </w:lvl>
    <w:lvl w:ilvl="2">
      <w:start w:val="1"/>
      <w:numFmt w:val="chineseCounting"/>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nothing"/>
      <w:lvlText w:val="%4、"/>
      <w:lvlJc w:val="left"/>
      <w:pPr>
        <w:ind w:left="0" w:firstLine="0"/>
      </w:pPr>
      <w:rPr>
        <w:rFonts w:ascii="Times New Roman" w:hAnsi="Times New Roman" w:cs="Times New Roman" w:hint="default"/>
        <w:b/>
        <w:i w:val="0"/>
        <w:sz w:val="24"/>
      </w:rPr>
    </w:lvl>
    <w:lvl w:ilvl="4">
      <w:start w:val="1"/>
      <w:numFmt w:val="decimal"/>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699164594">
    <w:abstractNumId w:val="0"/>
  </w:num>
  <w:num w:numId="2" w16cid:durableId="339822164">
    <w:abstractNumId w:val="0"/>
  </w:num>
  <w:num w:numId="3" w16cid:durableId="1134715502">
    <w:abstractNumId w:val="0"/>
  </w:num>
  <w:num w:numId="4" w16cid:durableId="638071662">
    <w:abstractNumId w:val="0"/>
  </w:num>
  <w:num w:numId="5" w16cid:durableId="1859539850">
    <w:abstractNumId w:val="0"/>
  </w:num>
  <w:num w:numId="6" w16cid:durableId="963076571">
    <w:abstractNumId w:val="0"/>
  </w:num>
  <w:num w:numId="7" w16cid:durableId="1411731689">
    <w:abstractNumId w:val="0"/>
  </w:num>
  <w:num w:numId="8" w16cid:durableId="1902323912">
    <w:abstractNumId w:val="0"/>
  </w:num>
  <w:num w:numId="9" w16cid:durableId="2026051146">
    <w:abstractNumId w:val="0"/>
  </w:num>
  <w:num w:numId="10" w16cid:durableId="1991711474">
    <w:abstractNumId w:val="0"/>
  </w:num>
  <w:num w:numId="11" w16cid:durableId="1323922385">
    <w:abstractNumId w:val="0"/>
  </w:num>
  <w:num w:numId="12" w16cid:durableId="1659920292">
    <w:abstractNumId w:val="0"/>
  </w:num>
  <w:num w:numId="13" w16cid:durableId="353461354">
    <w:abstractNumId w:val="0"/>
  </w:num>
  <w:num w:numId="14" w16cid:durableId="1726875278">
    <w:abstractNumId w:val="0"/>
  </w:num>
  <w:num w:numId="15" w16cid:durableId="2030908714">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B45"/>
    <w:rsid w:val="00003434"/>
    <w:rsid w:val="00012CE2"/>
    <w:rsid w:val="00032B45"/>
    <w:rsid w:val="0003667D"/>
    <w:rsid w:val="00047D7D"/>
    <w:rsid w:val="00056BA6"/>
    <w:rsid w:val="00075A78"/>
    <w:rsid w:val="00087737"/>
    <w:rsid w:val="000A4048"/>
    <w:rsid w:val="00120D4F"/>
    <w:rsid w:val="0012597C"/>
    <w:rsid w:val="00157F98"/>
    <w:rsid w:val="001A2596"/>
    <w:rsid w:val="001D5664"/>
    <w:rsid w:val="001E7971"/>
    <w:rsid w:val="002003CE"/>
    <w:rsid w:val="002117AC"/>
    <w:rsid w:val="00221BF8"/>
    <w:rsid w:val="002275FA"/>
    <w:rsid w:val="00252422"/>
    <w:rsid w:val="002919E1"/>
    <w:rsid w:val="002A5932"/>
    <w:rsid w:val="002B1F84"/>
    <w:rsid w:val="00301862"/>
    <w:rsid w:val="00307FFA"/>
    <w:rsid w:val="0031037B"/>
    <w:rsid w:val="00323F3C"/>
    <w:rsid w:val="00324F72"/>
    <w:rsid w:val="00331DDE"/>
    <w:rsid w:val="00340763"/>
    <w:rsid w:val="00370753"/>
    <w:rsid w:val="003778B0"/>
    <w:rsid w:val="00382926"/>
    <w:rsid w:val="003A3C28"/>
    <w:rsid w:val="003C1E07"/>
    <w:rsid w:val="003D363D"/>
    <w:rsid w:val="003E2E84"/>
    <w:rsid w:val="00425BB5"/>
    <w:rsid w:val="00426C91"/>
    <w:rsid w:val="004317BB"/>
    <w:rsid w:val="00460ACC"/>
    <w:rsid w:val="004A09A3"/>
    <w:rsid w:val="004B1074"/>
    <w:rsid w:val="004D142A"/>
    <w:rsid w:val="004E5CB3"/>
    <w:rsid w:val="00510AEF"/>
    <w:rsid w:val="00543AA2"/>
    <w:rsid w:val="00556977"/>
    <w:rsid w:val="0056049C"/>
    <w:rsid w:val="00565C78"/>
    <w:rsid w:val="0058586B"/>
    <w:rsid w:val="00586D7E"/>
    <w:rsid w:val="005A592B"/>
    <w:rsid w:val="005D2F41"/>
    <w:rsid w:val="00614719"/>
    <w:rsid w:val="00617713"/>
    <w:rsid w:val="00630214"/>
    <w:rsid w:val="00647EBA"/>
    <w:rsid w:val="00651980"/>
    <w:rsid w:val="00697992"/>
    <w:rsid w:val="006A2E9F"/>
    <w:rsid w:val="006A3ECA"/>
    <w:rsid w:val="006A3ECB"/>
    <w:rsid w:val="006B6478"/>
    <w:rsid w:val="006C17A0"/>
    <w:rsid w:val="006C23CC"/>
    <w:rsid w:val="006D4DBB"/>
    <w:rsid w:val="006E0FD6"/>
    <w:rsid w:val="006E15DD"/>
    <w:rsid w:val="006F29C5"/>
    <w:rsid w:val="006F5EA9"/>
    <w:rsid w:val="00701130"/>
    <w:rsid w:val="007279B8"/>
    <w:rsid w:val="00734BE6"/>
    <w:rsid w:val="00746AB1"/>
    <w:rsid w:val="0076144B"/>
    <w:rsid w:val="007650DC"/>
    <w:rsid w:val="00772338"/>
    <w:rsid w:val="00797315"/>
    <w:rsid w:val="007C0D6A"/>
    <w:rsid w:val="007E13FD"/>
    <w:rsid w:val="007E1548"/>
    <w:rsid w:val="007F11C3"/>
    <w:rsid w:val="007F3296"/>
    <w:rsid w:val="008308A2"/>
    <w:rsid w:val="00836BBC"/>
    <w:rsid w:val="00842733"/>
    <w:rsid w:val="008778C5"/>
    <w:rsid w:val="0088215C"/>
    <w:rsid w:val="008B42A3"/>
    <w:rsid w:val="008C2120"/>
    <w:rsid w:val="008C54B6"/>
    <w:rsid w:val="008E4294"/>
    <w:rsid w:val="00914A2B"/>
    <w:rsid w:val="00934D41"/>
    <w:rsid w:val="0096788A"/>
    <w:rsid w:val="009B1F00"/>
    <w:rsid w:val="009B4D25"/>
    <w:rsid w:val="009B7F1B"/>
    <w:rsid w:val="009D1834"/>
    <w:rsid w:val="009E33F5"/>
    <w:rsid w:val="00A0229E"/>
    <w:rsid w:val="00A10F3E"/>
    <w:rsid w:val="00A21B70"/>
    <w:rsid w:val="00A3142C"/>
    <w:rsid w:val="00A36504"/>
    <w:rsid w:val="00A41BDE"/>
    <w:rsid w:val="00A548F4"/>
    <w:rsid w:val="00A54B60"/>
    <w:rsid w:val="00A57224"/>
    <w:rsid w:val="00A615D0"/>
    <w:rsid w:val="00A730E8"/>
    <w:rsid w:val="00A73D06"/>
    <w:rsid w:val="00AA47C9"/>
    <w:rsid w:val="00AB2B57"/>
    <w:rsid w:val="00AC7233"/>
    <w:rsid w:val="00AD0821"/>
    <w:rsid w:val="00AF2045"/>
    <w:rsid w:val="00B06A78"/>
    <w:rsid w:val="00B16710"/>
    <w:rsid w:val="00B26CD7"/>
    <w:rsid w:val="00B339CB"/>
    <w:rsid w:val="00B45C73"/>
    <w:rsid w:val="00B62C71"/>
    <w:rsid w:val="00B9703A"/>
    <w:rsid w:val="00BA65E3"/>
    <w:rsid w:val="00BB37A4"/>
    <w:rsid w:val="00C1198B"/>
    <w:rsid w:val="00C33045"/>
    <w:rsid w:val="00C43905"/>
    <w:rsid w:val="00C97EBD"/>
    <w:rsid w:val="00CB4A41"/>
    <w:rsid w:val="00CB5808"/>
    <w:rsid w:val="00CB6D32"/>
    <w:rsid w:val="00CD2729"/>
    <w:rsid w:val="00CE5A5C"/>
    <w:rsid w:val="00CF567A"/>
    <w:rsid w:val="00D0340A"/>
    <w:rsid w:val="00D21F90"/>
    <w:rsid w:val="00D370BC"/>
    <w:rsid w:val="00D608E7"/>
    <w:rsid w:val="00D72A84"/>
    <w:rsid w:val="00D96BA1"/>
    <w:rsid w:val="00DA0CEA"/>
    <w:rsid w:val="00DB61BD"/>
    <w:rsid w:val="00DB6713"/>
    <w:rsid w:val="00DC5D00"/>
    <w:rsid w:val="00DE236F"/>
    <w:rsid w:val="00E05704"/>
    <w:rsid w:val="00E3283D"/>
    <w:rsid w:val="00E37D3F"/>
    <w:rsid w:val="00E80272"/>
    <w:rsid w:val="00E93E8C"/>
    <w:rsid w:val="00E96A8C"/>
    <w:rsid w:val="00EA14F1"/>
    <w:rsid w:val="00EE0117"/>
    <w:rsid w:val="00F02DE8"/>
    <w:rsid w:val="00F03CE5"/>
    <w:rsid w:val="00F05EF2"/>
    <w:rsid w:val="00F1454F"/>
    <w:rsid w:val="00F14848"/>
    <w:rsid w:val="00F22152"/>
    <w:rsid w:val="00F576E7"/>
    <w:rsid w:val="00FA36D7"/>
    <w:rsid w:val="00FC5D63"/>
    <w:rsid w:val="00FD666B"/>
    <w:rsid w:val="00FE3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1CD0A"/>
  <w15:chartTrackingRefBased/>
  <w15:docId w15:val="{CA2E4DCE-AB1B-47DF-957A-D9B2802F4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4"/>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2B45"/>
    <w:pPr>
      <w:widowControl w:val="0"/>
      <w:jc w:val="both"/>
    </w:pPr>
  </w:style>
  <w:style w:type="paragraph" w:styleId="1">
    <w:name w:val="heading 1"/>
    <w:next w:val="a0"/>
    <w:link w:val="10"/>
    <w:autoRedefine/>
    <w:uiPriority w:val="1"/>
    <w:qFormat/>
    <w:rsid w:val="00630214"/>
    <w:pPr>
      <w:keepNext/>
      <w:keepLines/>
      <w:pageBreakBefore/>
      <w:spacing w:beforeLines="50" w:before="50" w:afterLines="50" w:after="50" w:line="360" w:lineRule="auto"/>
      <w:jc w:val="center"/>
      <w:outlineLvl w:val="0"/>
    </w:pPr>
    <w:rPr>
      <w:rFonts w:eastAsia="黑体" w:cs="Times New Roman"/>
      <w:bCs/>
      <w:kern w:val="0"/>
      <w:sz w:val="32"/>
      <w:szCs w:val="44"/>
    </w:rPr>
  </w:style>
  <w:style w:type="paragraph" w:styleId="2">
    <w:name w:val="heading 2"/>
    <w:next w:val="a0"/>
    <w:link w:val="20"/>
    <w:autoRedefine/>
    <w:uiPriority w:val="1"/>
    <w:qFormat/>
    <w:rsid w:val="00630214"/>
    <w:pPr>
      <w:keepNext/>
      <w:keepLines/>
      <w:spacing w:beforeLines="50" w:before="50" w:afterLines="50" w:line="360" w:lineRule="auto"/>
      <w:jc w:val="both"/>
      <w:outlineLvl w:val="1"/>
    </w:pPr>
    <w:rPr>
      <w:rFonts w:eastAsia="黑体" w:cs="Times New Roman"/>
      <w:bCs/>
      <w:sz w:val="28"/>
      <w:szCs w:val="32"/>
    </w:rPr>
  </w:style>
  <w:style w:type="paragraph" w:styleId="3">
    <w:name w:val="heading 3"/>
    <w:next w:val="a0"/>
    <w:link w:val="30"/>
    <w:autoRedefine/>
    <w:uiPriority w:val="1"/>
    <w:qFormat/>
    <w:rsid w:val="00630214"/>
    <w:pPr>
      <w:keepNext/>
      <w:keepLines/>
      <w:spacing w:beforeLines="50" w:before="50" w:afterLines="50" w:line="360" w:lineRule="auto"/>
      <w:jc w:val="both"/>
      <w:outlineLvl w:val="2"/>
    </w:pPr>
    <w:rPr>
      <w:rFonts w:eastAsia="黑体" w:cs="Times New Roman"/>
      <w:bCs/>
      <w:color w:val="000000"/>
      <w:kern w:val="0"/>
      <w:szCs w:val="24"/>
      <w:lang w:eastAsia="ar-SA"/>
    </w:rPr>
  </w:style>
  <w:style w:type="paragraph" w:styleId="4">
    <w:name w:val="heading 4"/>
    <w:next w:val="a0"/>
    <w:link w:val="40"/>
    <w:autoRedefine/>
    <w:uiPriority w:val="1"/>
    <w:qFormat/>
    <w:rsid w:val="00630214"/>
    <w:pPr>
      <w:keepNext/>
      <w:keepLines/>
      <w:spacing w:beforeLines="50" w:before="50" w:afterLines="50" w:after="50" w:line="360" w:lineRule="auto"/>
      <w:jc w:val="both"/>
      <w:outlineLvl w:val="3"/>
    </w:pPr>
    <w:rPr>
      <w:rFonts w:cs="Times New Roman"/>
      <w:b/>
      <w:bCs/>
      <w:szCs w:val="28"/>
    </w:rPr>
  </w:style>
  <w:style w:type="paragraph" w:styleId="5">
    <w:name w:val="heading 5"/>
    <w:next w:val="a0"/>
    <w:link w:val="50"/>
    <w:autoRedefine/>
    <w:uiPriority w:val="1"/>
    <w:qFormat/>
    <w:rsid w:val="00630214"/>
    <w:pPr>
      <w:keepNext/>
      <w:keepLines/>
      <w:spacing w:beforeLines="50" w:before="50" w:afterLines="50" w:after="50" w:line="360" w:lineRule="auto"/>
      <w:outlineLvl w:val="4"/>
    </w:pPr>
    <w:rPr>
      <w:rFonts w:cs="Times New Roman"/>
      <w:bCs/>
      <w:szCs w:val="28"/>
    </w:rPr>
  </w:style>
  <w:style w:type="paragraph" w:styleId="6">
    <w:name w:val="heading 6"/>
    <w:next w:val="a0"/>
    <w:link w:val="60"/>
    <w:autoRedefine/>
    <w:uiPriority w:val="1"/>
    <w:qFormat/>
    <w:rsid w:val="00630214"/>
    <w:pPr>
      <w:spacing w:beforeLines="50" w:before="50" w:afterLines="50" w:after="50" w:line="360" w:lineRule="auto"/>
      <w:jc w:val="both"/>
      <w:outlineLvl w:val="5"/>
    </w:pPr>
    <w:rPr>
      <w:rFonts w:cs="Times New Roman"/>
      <w:bCs/>
      <w:szCs w:val="24"/>
    </w:rPr>
  </w:style>
  <w:style w:type="paragraph" w:styleId="7">
    <w:name w:val="heading 7"/>
    <w:next w:val="a0"/>
    <w:link w:val="70"/>
    <w:autoRedefine/>
    <w:uiPriority w:val="2"/>
    <w:unhideWhenUsed/>
    <w:qFormat/>
    <w:rsid w:val="00630214"/>
    <w:pPr>
      <w:keepNext/>
      <w:keepLines/>
      <w:spacing w:beforeLines="50" w:before="50" w:afterLines="50" w:after="50" w:line="360" w:lineRule="auto"/>
      <w:outlineLvl w:val="6"/>
    </w:pPr>
    <w:rPr>
      <w:rFonts w:cs="Times New Roman"/>
      <w:bCs/>
      <w:szCs w:val="24"/>
    </w:rPr>
  </w:style>
  <w:style w:type="paragraph" w:styleId="8">
    <w:name w:val="heading 8"/>
    <w:basedOn w:val="a"/>
    <w:next w:val="a"/>
    <w:link w:val="80"/>
    <w:uiPriority w:val="9"/>
    <w:semiHidden/>
    <w:unhideWhenUsed/>
    <w:qFormat/>
    <w:rsid w:val="00032B4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032B45"/>
    <w:pPr>
      <w:keepNext/>
      <w:keepLines/>
      <w:outlineLvl w:val="8"/>
    </w:pPr>
    <w:rPr>
      <w:rFonts w:asciiTheme="minorHAnsi" w:eastAsiaTheme="majorEastAsia" w:hAnsiTheme="minorHAnsi"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1"/>
    <w:rsid w:val="009D1834"/>
    <w:rPr>
      <w:rFonts w:ascii="Times New Roman" w:eastAsia="黑体" w:hAnsi="Times New Roman" w:cs="Times New Roman"/>
      <w:bCs/>
      <w:kern w:val="0"/>
      <w:sz w:val="32"/>
      <w:szCs w:val="44"/>
    </w:rPr>
  </w:style>
  <w:style w:type="paragraph" w:styleId="a0">
    <w:name w:val="Normal Indent"/>
    <w:autoRedefine/>
    <w:qFormat/>
    <w:rsid w:val="00003434"/>
    <w:pPr>
      <w:spacing w:beforeLines="50" w:before="50" w:line="360" w:lineRule="auto"/>
      <w:ind w:firstLineChars="200" w:firstLine="200"/>
      <w:jc w:val="both"/>
    </w:pPr>
    <w:rPr>
      <w:rFonts w:cs="Times New Roman"/>
      <w:szCs w:val="23"/>
    </w:rPr>
  </w:style>
  <w:style w:type="character" w:customStyle="1" w:styleId="20">
    <w:name w:val="标题 2 字符"/>
    <w:basedOn w:val="a1"/>
    <w:link w:val="2"/>
    <w:uiPriority w:val="1"/>
    <w:rsid w:val="009D1834"/>
    <w:rPr>
      <w:rFonts w:ascii="Times New Roman" w:eastAsia="黑体" w:hAnsi="Times New Roman" w:cs="Times New Roman"/>
      <w:bCs/>
      <w:sz w:val="28"/>
      <w:szCs w:val="32"/>
    </w:rPr>
  </w:style>
  <w:style w:type="character" w:customStyle="1" w:styleId="30">
    <w:name w:val="标题 3 字符"/>
    <w:basedOn w:val="a1"/>
    <w:link w:val="3"/>
    <w:uiPriority w:val="1"/>
    <w:rsid w:val="009D1834"/>
    <w:rPr>
      <w:rFonts w:ascii="Times New Roman" w:eastAsia="黑体" w:hAnsi="Times New Roman" w:cs="Times New Roman"/>
      <w:bCs/>
      <w:color w:val="000000"/>
      <w:kern w:val="0"/>
      <w:sz w:val="24"/>
      <w:szCs w:val="24"/>
      <w:lang w:eastAsia="ar-SA"/>
    </w:rPr>
  </w:style>
  <w:style w:type="character" w:customStyle="1" w:styleId="40">
    <w:name w:val="标题 4 字符"/>
    <w:basedOn w:val="a1"/>
    <w:link w:val="4"/>
    <w:uiPriority w:val="1"/>
    <w:rsid w:val="00340763"/>
    <w:rPr>
      <w:rFonts w:ascii="Times New Roman" w:eastAsia="宋体" w:hAnsi="Times New Roman" w:cs="Times New Roman"/>
      <w:b/>
      <w:bCs/>
      <w:sz w:val="24"/>
      <w:szCs w:val="28"/>
    </w:rPr>
  </w:style>
  <w:style w:type="character" w:customStyle="1" w:styleId="50">
    <w:name w:val="标题 5 字符"/>
    <w:basedOn w:val="a1"/>
    <w:link w:val="5"/>
    <w:uiPriority w:val="1"/>
    <w:rsid w:val="00630214"/>
    <w:rPr>
      <w:rFonts w:ascii="Times New Roman" w:eastAsia="宋体" w:hAnsi="Times New Roman" w:cs="Times New Roman"/>
      <w:bCs/>
      <w:sz w:val="24"/>
      <w:szCs w:val="28"/>
    </w:rPr>
  </w:style>
  <w:style w:type="character" w:customStyle="1" w:styleId="60">
    <w:name w:val="标题 6 字符"/>
    <w:basedOn w:val="a1"/>
    <w:link w:val="6"/>
    <w:uiPriority w:val="1"/>
    <w:rsid w:val="009E33F5"/>
    <w:rPr>
      <w:rFonts w:ascii="Times New Roman" w:eastAsia="宋体" w:hAnsi="Times New Roman" w:cs="Times New Roman"/>
      <w:bCs/>
      <w:sz w:val="24"/>
      <w:szCs w:val="24"/>
    </w:rPr>
  </w:style>
  <w:style w:type="character" w:customStyle="1" w:styleId="70">
    <w:name w:val="标题 7 字符"/>
    <w:basedOn w:val="a1"/>
    <w:link w:val="7"/>
    <w:uiPriority w:val="2"/>
    <w:rsid w:val="009D1834"/>
    <w:rPr>
      <w:rFonts w:ascii="Times New Roman" w:eastAsia="宋体" w:hAnsi="Times New Roman" w:cs="Times New Roman"/>
      <w:bCs/>
      <w:sz w:val="24"/>
      <w:szCs w:val="24"/>
    </w:rPr>
  </w:style>
  <w:style w:type="paragraph" w:customStyle="1" w:styleId="a4">
    <w:name w:val="表格后说明"/>
    <w:next w:val="a0"/>
    <w:autoRedefine/>
    <w:uiPriority w:val="3"/>
    <w:qFormat/>
    <w:rsid w:val="00F03CE5"/>
    <w:pPr>
      <w:jc w:val="both"/>
    </w:pPr>
    <w:rPr>
      <w:rFonts w:cs="Times New Roman"/>
      <w:szCs w:val="24"/>
    </w:rPr>
  </w:style>
  <w:style w:type="paragraph" w:customStyle="1" w:styleId="a5">
    <w:name w:val="表格前单位"/>
    <w:next w:val="a0"/>
    <w:autoRedefine/>
    <w:uiPriority w:val="2"/>
    <w:qFormat/>
    <w:rsid w:val="003778B0"/>
    <w:pPr>
      <w:keepNext/>
      <w:jc w:val="right"/>
    </w:pPr>
    <w:rPr>
      <w:rFonts w:cs="Times New Roman"/>
      <w:sz w:val="21"/>
    </w:rPr>
  </w:style>
  <w:style w:type="table" w:customStyle="1" w:styleId="a6">
    <w:name w:val="报告表格"/>
    <w:basedOn w:val="a2"/>
    <w:uiPriority w:val="99"/>
    <w:rsid w:val="00F22152"/>
    <w:rPr>
      <w:sz w:val="18"/>
    </w:rPr>
    <w:tblPr/>
  </w:style>
  <w:style w:type="paragraph" w:styleId="TOC">
    <w:name w:val="TOC Heading"/>
    <w:basedOn w:val="1"/>
    <w:next w:val="a"/>
    <w:uiPriority w:val="39"/>
    <w:unhideWhenUsed/>
    <w:qFormat/>
    <w:rsid w:val="00EE0117"/>
    <w:pPr>
      <w:pageBreakBefore w:val="0"/>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EE0117"/>
    <w:rPr>
      <w:rFonts w:eastAsia="黑体"/>
    </w:rPr>
  </w:style>
  <w:style w:type="paragraph" w:styleId="TOC2">
    <w:name w:val="toc 2"/>
    <w:basedOn w:val="a"/>
    <w:next w:val="a"/>
    <w:autoRedefine/>
    <w:uiPriority w:val="39"/>
    <w:unhideWhenUsed/>
    <w:rsid w:val="00EE0117"/>
    <w:pPr>
      <w:ind w:leftChars="200" w:left="420"/>
    </w:pPr>
    <w:rPr>
      <w:rFonts w:eastAsia="黑体"/>
    </w:rPr>
  </w:style>
  <w:style w:type="paragraph" w:styleId="TOC3">
    <w:name w:val="toc 3"/>
    <w:basedOn w:val="a"/>
    <w:next w:val="a"/>
    <w:autoRedefine/>
    <w:uiPriority w:val="39"/>
    <w:unhideWhenUsed/>
    <w:rsid w:val="00EE0117"/>
    <w:pPr>
      <w:ind w:leftChars="400" w:left="840"/>
    </w:pPr>
    <w:rPr>
      <w:rFonts w:eastAsia="黑体"/>
    </w:rPr>
  </w:style>
  <w:style w:type="paragraph" w:styleId="a7">
    <w:name w:val="Body Text"/>
    <w:basedOn w:val="a"/>
    <w:link w:val="a8"/>
    <w:autoRedefine/>
    <w:qFormat/>
    <w:rsid w:val="00DB6713"/>
    <w:pPr>
      <w:widowControl/>
      <w:spacing w:before="100" w:beforeAutospacing="1" w:after="100" w:afterAutospacing="1"/>
    </w:pPr>
    <w:rPr>
      <w:rFonts w:ascii="Garamond" w:hAnsi="Garamond" w:cs="Times New Roman"/>
      <w:bCs/>
      <w:color w:val="000000"/>
      <w:kern w:val="0"/>
      <w:sz w:val="21"/>
      <w:szCs w:val="20"/>
      <w:lang w:val="zh-CN"/>
    </w:rPr>
  </w:style>
  <w:style w:type="character" w:customStyle="1" w:styleId="a8">
    <w:name w:val="正文文本 字符"/>
    <w:basedOn w:val="a1"/>
    <w:link w:val="a7"/>
    <w:rsid w:val="00DB6713"/>
    <w:rPr>
      <w:rFonts w:ascii="Garamond" w:hAnsi="Garamond" w:cs="Times New Roman"/>
      <w:bCs/>
      <w:color w:val="000000"/>
      <w:kern w:val="0"/>
      <w:sz w:val="21"/>
      <w:szCs w:val="20"/>
      <w:lang w:val="zh-CN"/>
    </w:rPr>
  </w:style>
  <w:style w:type="character" w:customStyle="1" w:styleId="80">
    <w:name w:val="标题 8 字符"/>
    <w:basedOn w:val="a1"/>
    <w:link w:val="8"/>
    <w:uiPriority w:val="9"/>
    <w:semiHidden/>
    <w:rsid w:val="00032B45"/>
    <w:rPr>
      <w:rFonts w:asciiTheme="minorHAnsi" w:eastAsiaTheme="minorEastAsia" w:hAnsiTheme="minorHAnsi" w:cstheme="majorBidi"/>
      <w:color w:val="595959" w:themeColor="text1" w:themeTint="A6"/>
    </w:rPr>
  </w:style>
  <w:style w:type="character" w:customStyle="1" w:styleId="90">
    <w:name w:val="标题 9 字符"/>
    <w:basedOn w:val="a1"/>
    <w:link w:val="9"/>
    <w:uiPriority w:val="9"/>
    <w:semiHidden/>
    <w:rsid w:val="00032B45"/>
    <w:rPr>
      <w:rFonts w:asciiTheme="minorHAnsi" w:eastAsiaTheme="majorEastAsia" w:hAnsiTheme="minorHAnsi" w:cstheme="majorBidi"/>
      <w:color w:val="595959" w:themeColor="text1" w:themeTint="A6"/>
    </w:rPr>
  </w:style>
  <w:style w:type="paragraph" w:styleId="a9">
    <w:name w:val="Title"/>
    <w:basedOn w:val="a"/>
    <w:next w:val="a"/>
    <w:link w:val="aa"/>
    <w:uiPriority w:val="10"/>
    <w:qFormat/>
    <w:rsid w:val="00032B45"/>
    <w:pPr>
      <w:spacing w:after="80"/>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1"/>
    <w:link w:val="a9"/>
    <w:uiPriority w:val="10"/>
    <w:rsid w:val="00032B45"/>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032B4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1"/>
    <w:link w:val="ab"/>
    <w:uiPriority w:val="11"/>
    <w:rsid w:val="00032B45"/>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032B45"/>
    <w:pPr>
      <w:spacing w:before="160" w:after="160"/>
      <w:jc w:val="center"/>
    </w:pPr>
    <w:rPr>
      <w:i/>
      <w:iCs/>
      <w:color w:val="404040" w:themeColor="text1" w:themeTint="BF"/>
    </w:rPr>
  </w:style>
  <w:style w:type="character" w:customStyle="1" w:styleId="ae">
    <w:name w:val="引用 字符"/>
    <w:basedOn w:val="a1"/>
    <w:link w:val="ad"/>
    <w:uiPriority w:val="29"/>
    <w:rsid w:val="00032B45"/>
    <w:rPr>
      <w:i/>
      <w:iCs/>
      <w:color w:val="404040" w:themeColor="text1" w:themeTint="BF"/>
    </w:rPr>
  </w:style>
  <w:style w:type="paragraph" w:styleId="af">
    <w:name w:val="List Paragraph"/>
    <w:basedOn w:val="a"/>
    <w:uiPriority w:val="34"/>
    <w:qFormat/>
    <w:rsid w:val="00032B45"/>
    <w:pPr>
      <w:ind w:left="720"/>
      <w:contextualSpacing/>
    </w:pPr>
  </w:style>
  <w:style w:type="character" w:styleId="af0">
    <w:name w:val="Intense Emphasis"/>
    <w:basedOn w:val="a1"/>
    <w:uiPriority w:val="21"/>
    <w:qFormat/>
    <w:rsid w:val="00032B45"/>
    <w:rPr>
      <w:i/>
      <w:iCs/>
      <w:color w:val="0F4761" w:themeColor="accent1" w:themeShade="BF"/>
    </w:rPr>
  </w:style>
  <w:style w:type="paragraph" w:styleId="af1">
    <w:name w:val="Intense Quote"/>
    <w:basedOn w:val="a"/>
    <w:next w:val="a"/>
    <w:link w:val="af2"/>
    <w:uiPriority w:val="30"/>
    <w:qFormat/>
    <w:rsid w:val="00032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2">
    <w:name w:val="明显引用 字符"/>
    <w:basedOn w:val="a1"/>
    <w:link w:val="af1"/>
    <w:uiPriority w:val="30"/>
    <w:rsid w:val="00032B45"/>
    <w:rPr>
      <w:i/>
      <w:iCs/>
      <w:color w:val="0F4761" w:themeColor="accent1" w:themeShade="BF"/>
    </w:rPr>
  </w:style>
  <w:style w:type="character" w:styleId="af3">
    <w:name w:val="Intense Reference"/>
    <w:basedOn w:val="a1"/>
    <w:uiPriority w:val="32"/>
    <w:qFormat/>
    <w:rsid w:val="00032B45"/>
    <w:rPr>
      <w:b/>
      <w:bCs/>
      <w:smallCaps/>
      <w:color w:val="0F4761" w:themeColor="accent1" w:themeShade="BF"/>
      <w:spacing w:val="5"/>
    </w:rPr>
  </w:style>
  <w:style w:type="paragraph" w:customStyle="1" w:styleId="005">
    <w:name w:val="005正文"/>
    <w:qFormat/>
    <w:rsid w:val="00032B45"/>
    <w:pPr>
      <w:widowControl w:val="0"/>
      <w:spacing w:beforeLines="50" w:before="50" w:afterLines="50" w:after="50" w:line="360" w:lineRule="auto"/>
      <w:ind w:firstLineChars="200" w:firstLine="200"/>
      <w:jc w:val="both"/>
    </w:pPr>
    <w:rPr>
      <w:rFonts w:cs="Times New Roman"/>
      <w:szCs w:val="22"/>
    </w:rPr>
  </w:style>
  <w:style w:type="paragraph" w:customStyle="1" w:styleId="002">
    <w:name w:val="002二级标题"/>
    <w:qFormat/>
    <w:rsid w:val="00032B45"/>
    <w:pPr>
      <w:keepNext/>
      <w:keepLines/>
      <w:widowControl w:val="0"/>
      <w:spacing w:beforeLines="50" w:before="50" w:afterLines="50" w:after="50" w:line="360" w:lineRule="auto"/>
      <w:jc w:val="both"/>
      <w:outlineLvl w:val="1"/>
    </w:pPr>
    <w:rPr>
      <w:rFonts w:eastAsia="黑体" w:cs="Times New Roman"/>
      <w:b/>
      <w:bCs/>
      <w:sz w:val="28"/>
      <w:szCs w:val="28"/>
    </w:rPr>
  </w:style>
  <w:style w:type="paragraph" w:customStyle="1" w:styleId="004">
    <w:name w:val="004四级标题"/>
    <w:qFormat/>
    <w:rsid w:val="00032B45"/>
    <w:pPr>
      <w:keepNext/>
      <w:keepLines/>
      <w:widowControl w:val="0"/>
      <w:spacing w:beforeLines="50" w:before="50" w:afterLines="50" w:after="50" w:line="360" w:lineRule="auto"/>
      <w:ind w:firstLineChars="200" w:firstLine="200"/>
      <w:jc w:val="both"/>
      <w:outlineLvl w:val="3"/>
    </w:pPr>
    <w:rPr>
      <w:rFonts w:cs="Times New Roman"/>
      <w:b/>
      <w:bCs/>
      <w:szCs w:val="28"/>
      <w:lang w:val="zh-CN"/>
    </w:rPr>
  </w:style>
  <w:style w:type="paragraph" w:styleId="af4">
    <w:name w:val="footnote text"/>
    <w:basedOn w:val="a"/>
    <w:link w:val="af5"/>
    <w:uiPriority w:val="99"/>
    <w:semiHidden/>
    <w:unhideWhenUsed/>
    <w:rsid w:val="00032B45"/>
    <w:pPr>
      <w:snapToGrid w:val="0"/>
      <w:jc w:val="left"/>
    </w:pPr>
    <w:rPr>
      <w:sz w:val="18"/>
      <w:szCs w:val="18"/>
    </w:rPr>
  </w:style>
  <w:style w:type="character" w:customStyle="1" w:styleId="af5">
    <w:name w:val="脚注文本 字符"/>
    <w:basedOn w:val="a1"/>
    <w:link w:val="af4"/>
    <w:uiPriority w:val="99"/>
    <w:semiHidden/>
    <w:rsid w:val="00032B45"/>
    <w:rPr>
      <w:sz w:val="18"/>
      <w:szCs w:val="18"/>
    </w:rPr>
  </w:style>
  <w:style w:type="character" w:styleId="af6">
    <w:name w:val="footnote reference"/>
    <w:basedOn w:val="a1"/>
    <w:uiPriority w:val="99"/>
    <w:semiHidden/>
    <w:unhideWhenUsed/>
    <w:rsid w:val="00032B45"/>
    <w:rPr>
      <w:vertAlign w:val="superscript"/>
    </w:rPr>
  </w:style>
  <w:style w:type="table" w:styleId="af7">
    <w:name w:val="Table Grid"/>
    <w:basedOn w:val="a2"/>
    <w:uiPriority w:val="39"/>
    <w:rsid w:val="003778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
    <w:link w:val="af9"/>
    <w:uiPriority w:val="99"/>
    <w:unhideWhenUsed/>
    <w:rsid w:val="00047D7D"/>
    <w:pPr>
      <w:tabs>
        <w:tab w:val="center" w:pos="4153"/>
        <w:tab w:val="right" w:pos="8306"/>
      </w:tabs>
      <w:snapToGrid w:val="0"/>
      <w:jc w:val="center"/>
    </w:pPr>
    <w:rPr>
      <w:sz w:val="18"/>
      <w:szCs w:val="18"/>
    </w:rPr>
  </w:style>
  <w:style w:type="character" w:customStyle="1" w:styleId="af9">
    <w:name w:val="页眉 字符"/>
    <w:basedOn w:val="a1"/>
    <w:link w:val="af8"/>
    <w:uiPriority w:val="99"/>
    <w:rsid w:val="00047D7D"/>
    <w:rPr>
      <w:sz w:val="18"/>
      <w:szCs w:val="18"/>
    </w:rPr>
  </w:style>
  <w:style w:type="paragraph" w:styleId="afa">
    <w:name w:val="footer"/>
    <w:basedOn w:val="a"/>
    <w:link w:val="afb"/>
    <w:uiPriority w:val="99"/>
    <w:unhideWhenUsed/>
    <w:rsid w:val="00047D7D"/>
    <w:pPr>
      <w:tabs>
        <w:tab w:val="center" w:pos="4153"/>
        <w:tab w:val="right" w:pos="8306"/>
      </w:tabs>
      <w:snapToGrid w:val="0"/>
      <w:jc w:val="left"/>
    </w:pPr>
    <w:rPr>
      <w:sz w:val="18"/>
      <w:szCs w:val="18"/>
    </w:rPr>
  </w:style>
  <w:style w:type="character" w:customStyle="1" w:styleId="afb">
    <w:name w:val="页脚 字符"/>
    <w:basedOn w:val="a1"/>
    <w:link w:val="afa"/>
    <w:uiPriority w:val="99"/>
    <w:rsid w:val="00047D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6B157-2724-4E2A-8B65-7B00C204A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4</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10</cp:revision>
  <dcterms:created xsi:type="dcterms:W3CDTF">2026-02-05T07:38:00Z</dcterms:created>
  <dcterms:modified xsi:type="dcterms:W3CDTF">2026-04-08T09:23:00Z</dcterms:modified>
  <cp:category/>
</cp:coreProperties>
</file>