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p/>
    <w:p/>
    <w:p>
      <w:pPr>
        <w:pStyle w:val="2"/>
        <w:spacing w:before="156" w:after="156"/>
      </w:pPr>
      <w:r>
        <w:rPr>
          <w:rFonts w:hint="eastAsia"/>
          <w:b/>
        </w:rPr>
        <w:t>人形机器人产业概述</w:t>
      </w:r>
    </w:p>
    <w:p>
      <w:pPr>
        <w:pStyle w:val="3"/>
        <w:numPr>
          <w:ilvl w:val="0"/>
          <w:numId w:val="0"/>
        </w:numPr>
        <w:spacing w:before="156" w:after="156"/>
      </w:pPr>
      <w:r>
        <w:rPr>
          <w:rFonts w:hint="eastAsia"/>
        </w:rPr>
        <w:t>1.1 行业简介</w:t>
      </w:r>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r>
        <w:rPr>
          <w:rFonts w:hint="eastAsia"/>
        </w:rPr>
        <w:t>1.2 人形机器人的主要产品形态与技术路线</w:t>
      </w:r>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pPr>
      <w:r>
        <w:rPr>
          <w:rFonts w:hint="eastAsia"/>
        </w:rPr>
        <w:t>资料来源：各公司官网及公开产品资料、世界机器人大会展商资料、公开新闻报道，本报告整理。</w:t>
      </w:r>
    </w:p>
    <w:p>
      <w:pPr>
        <w:pStyle w:val="3"/>
        <w:numPr>
          <w:ilvl w:val="0"/>
          <w:numId w:val="0"/>
        </w:numPr>
        <w:spacing w:before="156" w:after="156"/>
      </w:pPr>
      <w:r>
        <w:rPr>
          <w:rFonts w:hint="eastAsia"/>
        </w:rPr>
        <w:t>1.3 人形机器人的基本构成——以旋转关节与一体化动力关节模组为例</w:t>
      </w:r>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制动器、力矩传感器和散热结构则用于保障断电安全、力控性能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w:t>
      </w:r>
    </w:p>
    <w:p>
      <w:pPr>
        <w:pStyle w:val="3"/>
        <w:numPr>
          <w:ilvl w:val="0"/>
          <w:numId w:val="0"/>
        </w:numPr>
        <w:spacing w:before="156" w:after="156"/>
      </w:pPr>
      <w:r>
        <w:rPr>
          <w:rFonts w:hint="eastAsia"/>
        </w:rPr>
        <w:t>1.4 人形机器人行业的基本指标</w:t>
      </w:r>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pPr>
      <w:r>
        <w:rPr>
          <w:rFonts w:hint="eastAsia"/>
        </w:rPr>
        <w:t>资料来源：公开技术资料、行业白皮书及券商研究报告，本报告整理。</w:t>
      </w:r>
    </w:p>
    <w:p/>
    <w:p/>
    <w:p>
      <w:pPr>
        <w:pStyle w:val="2"/>
        <w:spacing w:before="156" w:after="156"/>
      </w:pPr>
      <w:r>
        <w:rPr>
          <w:rFonts w:hint="eastAsia"/>
          <w:b/>
        </w:rPr>
        <w:t>人形机器人产业链结构及各环节比较</w:t>
      </w:r>
    </w:p>
    <w:p>
      <w:pPr>
        <w:pStyle w:val="3"/>
        <w:numPr>
          <w:ilvl w:val="0"/>
          <w:numId w:val="0"/>
        </w:numPr>
        <w:spacing w:before="156" w:after="156"/>
      </w:pPr>
      <w:r>
        <w:rPr>
          <w:rFonts w:hint="eastAsia"/>
        </w:rPr>
        <w:t>2.1 产业链整体结构与价值传导</w:t>
      </w:r>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行业研究测算，硬件成本约占整机成本的60%—70%，其中旋转执行器（无框力矩电机＋谐波减速器＋编码器）约占20%，线性执行器（行星滚柱丝杠＋力矩电机）约占20%，灵巧手约占15%，计算与感知约占15%，结构件与电池约占10%。若按"关节模组"这一整体口径统计，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pPr>
      <w:r>
        <w:rPr>
          <w:rFonts w:hint="eastAsia"/>
        </w:rPr>
        <w:t>数据来源：行业研究机构公开测算及券商研究报告，本报告整理。各机构口径存在差异，本图用于观察价值量的相对集中度，不作为精确成本拆分依据。</w:t>
      </w:r>
    </w:p>
    <w:p>
      <w:pPr>
        <w:pStyle w:val="3"/>
        <w:numPr>
          <w:ilvl w:val="0"/>
          <w:numId w:val="0"/>
        </w:numPr>
        <w:spacing w:before="156" w:after="156"/>
      </w:pPr>
      <w:r>
        <w:rPr>
          <w:rFonts w:hint="eastAsia"/>
        </w:rPr>
        <w:t>2.2 上游核心环节（一）：谐波减速器</w:t>
      </w:r>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市场规模方面，据行业统计，中国谐波减速器行业市场规模由2019年的19.09亿元增长至2023年的51.53亿元，年均复合增长率约28.18%；2025年国内谐波减速器销量预计达到119万台。全球市场方面，日本哈默纳科（Harmonic Drive）2024年全球市占率仍在50%以上，长期垄断航空航天、医疗设备等高端应用，毛利率维持在50%以上。</w:t>
      </w:r>
    </w:p>
    <w:p>
      <w:pPr>
        <w:pStyle w:val="a0"/>
      </w:pPr>
      <w:r>
        <w:rPr>
          <w:rFonts w:hint="eastAsia"/>
        </w:rPr>
        <w:t>国内竞争格局呈现"一超多强、快速追赶"的特征。据高工机器人（GGII）统计，2025年绿的谐波在中国市场的市占率约22%，全球份额仅次于哈默纳科；来福谐波按2025年出货量计算市占率为21.4%，为中国机器人谐波减速器市场第二大企业；绿的谐波、来福谐波、同川科技、中大力德四家合计市场份额2025年提升至约64.13%，较2023年提升4.77个百分点。国内工业机器人用谐波减速器国产化率约30%，2025年有望提升至40%。</w:t>
      </w:r>
    </w:p>
    <w:p>
      <w:pPr>
        <w:keepNext/>
        <w:jc w:val="center"/>
      </w:pPr>
      <w:r>
        <w:drawing>
          <wp:inline xmlns:a="http://schemas.openxmlformats.org/drawingml/2006/main" xmlns:pic="http://schemas.openxmlformats.org/drawingml/2006/picture">
            <wp:extent cx="5074920" cy="2375494"/>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375494"/>
                    </a:xfrm>
                    <a:prstGeom prst="rect"/>
                  </pic:spPr>
                </pic:pic>
              </a:graphicData>
            </a:graphic>
          </wp:inline>
        </w:drawing>
      </w:r>
    </w:p>
    <w:p>
      <w:pPr>
        <w:jc w:val="center"/>
      </w:pPr>
      <w:r>
        <w:rPr>
          <w:rFonts w:hint="eastAsia"/>
          <w:b/>
          <w:sz w:val="21"/>
        </w:rPr>
        <w:t>图2  2025年中国机器人谐波减速器市场份额</w:t>
      </w:r>
    </w:p>
    <w:p>
      <w:pPr>
        <w:pStyle w:val="a6"/>
      </w:pPr>
      <w:r>
        <w:rPr>
          <w:rFonts w:hint="eastAsia"/>
        </w:rPr>
        <w:t>数据来源：高工机器人（GGII）统计、来福谐波港交所上市文件，本报告整理。"其余TOP4成员"为TOP4合计份额64.13%扣减绿的谐波、来福谐波后的轧差值，仅用于示意，不代表单家企业份额。</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pPr>
      <w:r>
        <w:rPr>
          <w:rFonts w:hint="eastAsia"/>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r>
        <w:rPr>
          <w:rFonts w:hint="eastAsia"/>
        </w:rPr>
        <w:t>2.3 上游核心环节（二）：电机、驱动器与编码器</w:t>
      </w:r>
    </w:p>
    <w:p>
      <w:pPr>
        <w:pStyle w:val="a0"/>
      </w:pPr>
      <w:r>
        <w:rPr>
          <w:rFonts w:hint="eastAsia"/>
        </w:rPr>
        <w:t>电机、驱动器与编码器是关节模组中除减速器外的三大核心部件，也是无锡巨蟹自研产品覆盖的环节。三者在技术路线、竞争格局和国产化程度上差异明显：电机环节国产替代进展最快、增速最高；驱动器环节标准化程度较高但小型化和高集成度产品仍有壁垒；编码器环节国产化程度最低，仍以外资品牌为主。</w:t>
      </w:r>
    </w:p>
    <w:p>
      <w:pPr>
        <w:keepNext/>
        <w:jc w:val="center"/>
      </w:pPr>
      <w:r>
        <w:rPr>
          <w:rFonts w:hint="eastAsia"/>
          <w:b/>
          <w:sz w:val="21"/>
        </w:rPr>
        <w:t>表3  人形机器人电机、驱动器与编码器环节比较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bl>
    <w:p>
      <w:pPr>
        <w:pStyle w:val="a6"/>
      </w:pPr>
      <w:r>
        <w:rPr>
          <w:rFonts w:hint="eastAsia"/>
        </w:rPr>
        <w:t>数据来源：MIR DATABANK、各公司公开披露及投资者交流记录、行业媒体报道，本报告整理。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三个单独议价能力有限的部件，通过集成转化为一个具备系统性能承诺的整体产品。</w:t>
      </w:r>
    </w:p>
    <w:p>
      <w:pPr>
        <w:pStyle w:val="3"/>
        <w:numPr>
          <w:ilvl w:val="0"/>
          <w:numId w:val="0"/>
        </w:numPr>
        <w:spacing w:before="156" w:after="156"/>
      </w:pPr>
      <w:r>
        <w:rPr>
          <w:rFonts w:hint="eastAsia"/>
        </w:rPr>
        <w:t>2.4 上游核心环节（三）：一体化动力关节模组</w:t>
      </w:r>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掌握模组中壁垒最高的减速器环节，向下集成电机、编码器和驱动的边际成本相对可控；能够以整体性能指标（扭矩密度、精度、寿命）对外承诺，摆脱单一部件的价格竞争。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pPr>
      <w:r>
        <w:rPr>
          <w:rFonts w:hint="eastAsia"/>
        </w:rPr>
        <w:t>资料来源：行业白皮书、各公司公开披露及公开新闻报道，本报告整理。</w:t>
      </w:r>
    </w:p>
    <w:p>
      <w:pPr>
        <w:pStyle w:val="a0"/>
      </w:pPr>
      <w:r>
        <w:rPr>
          <w:rFonts w:hint="eastAsia"/>
        </w:rPr>
        <w:t>无锡巨蟹在这一环节的定位属于第一类。据公开资料，公司成立于2019年，位于无锡，创始人赵伟为东南大学博士，拥有约8,000平方米研制基地，系江苏省重点智能制造企业。公司以谐波减速器为核心，同时自研微型低压驱动器、编码器与力传感器，并将上述部件集成为可直接装配的人形关节模组；产品体系包含R48、R58、R68、R83、R102、R120六大系列，覆盖头部、肩部、腕部、腰部、髋部等多自由度场景，全系标配双编码器。以2025年推出的R48-Lite集成式谐波减速关节模组为例，体积为Ø48×45.5毫米，重量0.26公斤，额定扭矩5N·m、峰值扭矩11±0.5N·m，减速比101:1，额定转速3,000转/分，主要面向机器人颈部、手腕等对空间和精度要求较高的部位。</w:t>
      </w:r>
    </w:p>
    <w:p>
      <w:pPr>
        <w:pStyle w:val="a0"/>
      </w:pPr>
      <w:r>
        <w:rPr>
          <w:rFonts w:hint="eastAsia"/>
        </w:rPr>
        <w:t>商业进展方面，据公开报道，无锡巨蟹已完成人形机器人专用模组1,320套的交付，为全球首款防爆人形机器人"天魁1号"提供了除手部以外的上肢，并中标哈尔滨电机厂发电机组智能检查机器人项目，2025年4月获得"LeadeRobot 2025年度人形机器人核心供应商"称号。融资方面，公司于2025年10月宣布完成近亿元人民币A轮融资，由扫地机器人龙头科沃斯的战略投资平台领投，资金用于动力模组研发与产能扩建。上述数字表明，公司当前处于"从样机验证走向小批量交付"的阶段，交付量级与头部模组厂商仍有明显差距，但已进入整机厂的供应体系。</w:t>
      </w:r>
    </w:p>
    <w:p>
      <w:pPr>
        <w:pStyle w:val="3"/>
        <w:numPr>
          <w:ilvl w:val="0"/>
          <w:numId w:val="0"/>
        </w:numPr>
        <w:spacing w:before="156" w:after="156"/>
      </w:pPr>
      <w:r>
        <w:rPr>
          <w:rFonts w:hint="eastAsia"/>
        </w:rPr>
        <w:t>2.5 上游其他环节：丝杠、轴承、灵巧手、传感器与芯片</w:t>
      </w:r>
    </w:p>
    <w:p>
      <w:pPr>
        <w:pStyle w:val="a0"/>
      </w:pPr>
      <w:r>
        <w:rPr>
          <w:rFonts w:hint="eastAsia"/>
        </w:rPr>
        <w:t>除上述与无锡巨蟹直接相关的环节外，人形机器人上游还包括行星滚柱丝杠、精密轴承、灵巧手、力/触觉传感器以及主控与算力芯片等环节。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力与触觉传感器</w:t>
            </w:r>
          </w:p>
        </w:tc>
        <w:tc>
          <w:tcPr>
            <w:tcW w:w="3125" w:type="pct"/>
            <w:tcBorders>
              <w:top w:val="single" w:sz="4" w:space="0" w:color="010000"/>
            </w:tcBorders>
            <w:vAlign w:val="center"/>
          </w:tcPr>
          <w:p>
            <w:pPr>
              <w:jc w:val="left"/>
            </w:pPr>
            <w:r/>
            <w:r>
              <w:rPr>
                <w:rFonts w:hint="eastAsia"/>
                <w:color w:val="000000"/>
                <w:sz w:val="21"/>
              </w:rPr>
              <w:t>六维力传感器用于末端力控和整机平衡，2025年中国六维力传感器市场规模超3亿元，2026年预计约3.88亿元。当前应变片技术占80%以上份额，MEMS路线正在兴起，可将体积降至传统产品的十分之一。</w:t>
            </w:r>
          </w:p>
        </w:tc>
        <w:tc>
          <w:tcPr>
            <w:tcW w:w="1250" w:type="pct"/>
            <w:tcBorders>
              <w:top w:val="single" w:sz="4" w:space="0" w:color="010000"/>
            </w:tcBorders>
            <w:vAlign w:val="center"/>
          </w:tcPr>
          <w:p>
            <w:pPr>
              <w:jc w:val="left"/>
            </w:pPr>
            <w:r/>
            <w:r>
              <w:rPr>
                <w:rFonts w:hint="eastAsia"/>
                <w:color w:val="000000"/>
                <w:sz w:val="21"/>
              </w:rPr>
              <w:t>坤维科技、宇立仪器、蓝点触控、柯力传感、安培龙等。</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pPr>
      <w:r>
        <w:rPr>
          <w:rFonts w:hint="eastAsia"/>
        </w:rPr>
        <w:t>数据来源：各细分行业研究报告、券商研究报告及公开新闻报道，本报告整理。</w:t>
      </w:r>
    </w:p>
    <w:p>
      <w:pPr>
        <w:pStyle w:val="3"/>
        <w:numPr>
          <w:ilvl w:val="0"/>
          <w:numId w:val="0"/>
        </w:numPr>
        <w:spacing w:before="156" w:after="156"/>
      </w:pPr>
      <w:r>
        <w:rPr>
          <w:rFonts w:hint="eastAsia"/>
        </w:rPr>
        <w:t>2.6 中游：整机制造</w:t>
      </w:r>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r>
        <w:rPr>
          <w:rFonts w:hint="eastAsia"/>
        </w:rPr>
        <w:t>2.7 下游：应用场景与集成服务</w:t>
      </w:r>
    </w:p>
    <w:p>
      <w:pPr>
        <w:pStyle w:val="a0"/>
      </w:pPr>
      <w:r>
        <w:rPr>
          <w:rFonts w:hint="eastAsia"/>
        </w:rPr>
        <w:t>下游通过具体场景把机器人能力转化为付费需求。据高工机器人统计，2025年中国人形机器人已形成教育科研、数据采集、交互服务、工业物流和娱乐表演五大应用场景，各场景在采购主体、采购规模、单价和服务占比上差异明显，因而出货量结构与市场规模结构并不一致。</w:t>
      </w:r>
    </w:p>
    <w:p>
      <w:pPr>
        <w:keepNext/>
        <w:jc w:val="center"/>
      </w:pPr>
      <w:r>
        <w:rPr>
          <w:rFonts w:hint="eastAsia"/>
          <w:b/>
          <w:sz w:val="21"/>
        </w:rPr>
        <w:t>表6  2025年中国人形机器人五大应用场景比较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97" w:type="pct"/>
            <w:tcBorders>
              <w:top w:val="single" w:sz="12" w:space="0" w:color="010000"/>
              <w:bottom w:val="single" w:sz="4" w:space="0" w:color="010000"/>
            </w:tcBorders>
            <w:vAlign w:val="center"/>
          </w:tcPr>
          <w:p>
            <w:pPr>
              <w:keepNext/>
              <w:jc w:val="center"/>
            </w:pPr>
            <w:r/>
            <w:r>
              <w:rPr>
                <w:rFonts w:hint="eastAsia"/>
                <w:b/>
                <w:color w:val="000000"/>
                <w:sz w:val="21"/>
              </w:rPr>
              <w:t>应用场景</w:t>
            </w:r>
          </w:p>
        </w:tc>
        <w:tc>
          <w:tcPr>
            <w:tcW w:w="970" w:type="pct"/>
            <w:tcBorders>
              <w:top w:val="single" w:sz="12" w:space="0" w:color="010000"/>
              <w:bottom w:val="single" w:sz="4" w:space="0" w:color="010000"/>
            </w:tcBorders>
            <w:vAlign w:val="center"/>
          </w:tcPr>
          <w:p>
            <w:pPr>
              <w:keepNext/>
              <w:jc w:val="center"/>
            </w:pPr>
            <w:r/>
            <w:r>
              <w:rPr>
                <w:rFonts w:hint="eastAsia"/>
                <w:b/>
                <w:color w:val="000000"/>
                <w:sz w:val="21"/>
              </w:rPr>
              <w:t>主要采购方</w:t>
            </w:r>
          </w:p>
        </w:tc>
        <w:tc>
          <w:tcPr>
            <w:tcW w:w="1866" w:type="pct"/>
            <w:tcBorders>
              <w:top w:val="single" w:sz="12" w:space="0" w:color="010000"/>
              <w:bottom w:val="single" w:sz="4" w:space="0" w:color="010000"/>
            </w:tcBorders>
            <w:vAlign w:val="center"/>
          </w:tcPr>
          <w:p>
            <w:pPr>
              <w:keepNext/>
              <w:jc w:val="center"/>
            </w:pPr>
            <w:r/>
            <w:r>
              <w:rPr>
                <w:rFonts w:hint="eastAsia"/>
                <w:b/>
                <w:color w:val="000000"/>
                <w:sz w:val="21"/>
              </w:rPr>
              <w:t>采购特征</w:t>
            </w:r>
          </w:p>
        </w:tc>
        <w:tc>
          <w:tcPr>
            <w:tcW w:w="1567" w:type="pct"/>
            <w:tcBorders>
              <w:top w:val="single" w:sz="12" w:space="0" w:color="010000"/>
              <w:bottom w:val="single" w:sz="4" w:space="0" w:color="010000"/>
            </w:tcBorders>
            <w:vAlign w:val="center"/>
          </w:tcPr>
          <w:p>
            <w:pPr>
              <w:keepNext/>
              <w:jc w:val="center"/>
            </w:pPr>
            <w:r/>
            <w:r>
              <w:rPr>
                <w:rFonts w:hint="eastAsia"/>
                <w:b/>
                <w:color w:val="000000"/>
                <w:sz w:val="21"/>
              </w:rPr>
              <w:t>对上游的影响</w:t>
            </w:r>
          </w:p>
        </w:tc>
      </w:tr>
      <w:tr>
        <w:trPr>
          <w:cantSplit/>
          <w:jc w:val="center"/>
        </w:trPr>
        <w:tc>
          <w:tcPr>
            <w:tcW w:w="597" w:type="pct"/>
            <w:tcBorders>
              <w:top w:val="single" w:sz="4" w:space="0" w:color="010000"/>
            </w:tcBorders>
            <w:vAlign w:val="center"/>
          </w:tcPr>
          <w:p>
            <w:pPr>
              <w:jc w:val="left"/>
            </w:pPr>
            <w:r/>
            <w:r>
              <w:rPr>
                <w:rFonts w:hint="eastAsia"/>
                <w:color w:val="000000"/>
                <w:sz w:val="21"/>
              </w:rPr>
              <w:t>教育科研</w:t>
            </w:r>
          </w:p>
        </w:tc>
        <w:tc>
          <w:tcPr>
            <w:tcW w:w="970" w:type="pct"/>
            <w:tcBorders>
              <w:top w:val="single" w:sz="4" w:space="0" w:color="010000"/>
            </w:tcBorders>
            <w:vAlign w:val="center"/>
          </w:tcPr>
          <w:p>
            <w:pPr>
              <w:jc w:val="left"/>
            </w:pPr>
            <w:r/>
            <w:r>
              <w:rPr>
                <w:rFonts w:hint="eastAsia"/>
                <w:color w:val="000000"/>
                <w:sz w:val="21"/>
              </w:rPr>
              <w:t>高校、职业院校及科研机构</w:t>
            </w:r>
          </w:p>
        </w:tc>
        <w:tc>
          <w:tcPr>
            <w:tcW w:w="1866" w:type="pct"/>
            <w:tcBorders>
              <w:top w:val="single" w:sz="4" w:space="0" w:color="010000"/>
            </w:tcBorders>
            <w:vAlign w:val="center"/>
          </w:tcPr>
          <w:p>
            <w:pPr>
              <w:jc w:val="left"/>
            </w:pPr>
            <w:r/>
            <w:r>
              <w:rPr>
                <w:rFonts w:hint="eastAsia"/>
                <w:color w:val="000000"/>
                <w:sz w:val="21"/>
              </w:rPr>
              <w:t>采购频次高但单次规模小，单价从几万元到一二十万元不等；出货量大而市场规模相对较小。</w:t>
            </w:r>
          </w:p>
        </w:tc>
        <w:tc>
          <w:tcPr>
            <w:tcW w:w="1567" w:type="pct"/>
            <w:tcBorders>
              <w:top w:val="single" w:sz="4" w:space="0" w:color="010000"/>
            </w:tcBorders>
            <w:vAlign w:val="center"/>
          </w:tcPr>
          <w:p>
            <w:pPr>
              <w:jc w:val="left"/>
            </w:pPr>
            <w:r/>
            <w:r>
              <w:rPr>
                <w:rFonts w:hint="eastAsia"/>
                <w:color w:val="000000"/>
                <w:sz w:val="21"/>
              </w:rPr>
              <w:t>拉动中小尺寸机型和低成本关节模组需求，对价格敏感度最高。</w:t>
            </w:r>
          </w:p>
        </w:tc>
      </w:tr>
      <w:tr>
        <w:trPr>
          <w:cantSplit/>
          <w:jc w:val="center"/>
        </w:trPr>
        <w:tc>
          <w:tcPr>
            <w:tcW w:w="597" w:type="pct"/>
            <w:tcBorders>
              <w:top w:val="single" w:sz="4" w:space="0" w:color="010000"/>
            </w:tcBorders>
            <w:vAlign w:val="center"/>
          </w:tcPr>
          <w:p>
            <w:pPr>
              <w:jc w:val="left"/>
            </w:pPr>
            <w:r/>
            <w:r>
              <w:rPr>
                <w:rFonts w:hint="eastAsia"/>
                <w:color w:val="000000"/>
                <w:sz w:val="21"/>
              </w:rPr>
              <w:t>数据采集</w:t>
            </w:r>
          </w:p>
        </w:tc>
        <w:tc>
          <w:tcPr>
            <w:tcW w:w="970" w:type="pct"/>
            <w:tcBorders>
              <w:top w:val="single" w:sz="4" w:space="0" w:color="010000"/>
            </w:tcBorders>
            <w:vAlign w:val="center"/>
          </w:tcPr>
          <w:p>
            <w:pPr>
              <w:jc w:val="left"/>
            </w:pPr>
            <w:r/>
            <w:r>
              <w:rPr>
                <w:rFonts w:hint="eastAsia"/>
                <w:color w:val="000000"/>
                <w:sz w:val="21"/>
              </w:rPr>
              <w:t>政务平台与国资产业基地</w:t>
            </w:r>
          </w:p>
        </w:tc>
        <w:tc>
          <w:tcPr>
            <w:tcW w:w="1866" w:type="pct"/>
            <w:tcBorders>
              <w:top w:val="single" w:sz="4" w:space="0" w:color="010000"/>
            </w:tcBorders>
            <w:vAlign w:val="center"/>
          </w:tcPr>
          <w:p>
            <w:pPr>
              <w:jc w:val="left"/>
            </w:pPr>
            <w:r/>
            <w:r>
              <w:rPr>
                <w:rFonts w:hint="eastAsia"/>
                <w:color w:val="000000"/>
                <w:sz w:val="21"/>
              </w:rPr>
              <w:t>单次采购规模一般在百台以上，采购金额较大，服务占比高。</w:t>
            </w:r>
          </w:p>
        </w:tc>
        <w:tc>
          <w:tcPr>
            <w:tcW w:w="1567" w:type="pct"/>
            <w:tcBorders>
              <w:top w:val="single" w:sz="4" w:space="0" w:color="010000"/>
            </w:tcBorders>
            <w:vAlign w:val="center"/>
          </w:tcPr>
          <w:p>
            <w:pPr>
              <w:jc w:val="left"/>
            </w:pPr>
            <w:r/>
            <w:r>
              <w:rPr>
                <w:rFonts w:hint="eastAsia"/>
                <w:color w:val="000000"/>
                <w:sz w:val="21"/>
              </w:rPr>
              <w:t>是2025年千万元级和亿元级订单的主要来源，带动整机厂产能爬坡和关节模组批量采购。</w:t>
            </w:r>
          </w:p>
        </w:tc>
      </w:tr>
      <w:tr>
        <w:trPr>
          <w:cantSplit/>
          <w:jc w:val="center"/>
        </w:trPr>
        <w:tc>
          <w:tcPr>
            <w:tcW w:w="597" w:type="pct"/>
            <w:tcBorders>
              <w:top w:val="single" w:sz="4" w:space="0" w:color="010000"/>
            </w:tcBorders>
            <w:vAlign w:val="center"/>
          </w:tcPr>
          <w:p>
            <w:pPr>
              <w:jc w:val="left"/>
            </w:pPr>
            <w:r/>
            <w:r>
              <w:rPr>
                <w:rFonts w:hint="eastAsia"/>
                <w:color w:val="000000"/>
                <w:sz w:val="21"/>
              </w:rPr>
              <w:t>交互服务</w:t>
            </w:r>
          </w:p>
        </w:tc>
        <w:tc>
          <w:tcPr>
            <w:tcW w:w="970" w:type="pct"/>
            <w:tcBorders>
              <w:top w:val="single" w:sz="4" w:space="0" w:color="010000"/>
            </w:tcBorders>
            <w:vAlign w:val="center"/>
          </w:tcPr>
          <w:p>
            <w:pPr>
              <w:jc w:val="left"/>
            </w:pPr>
            <w:r/>
            <w:r>
              <w:rPr>
                <w:rFonts w:hint="eastAsia"/>
                <w:color w:val="000000"/>
                <w:sz w:val="21"/>
              </w:rPr>
              <w:t>企业展厅、博物馆及文旅场所</w:t>
            </w:r>
          </w:p>
        </w:tc>
        <w:tc>
          <w:tcPr>
            <w:tcW w:w="1866" w:type="pct"/>
            <w:tcBorders>
              <w:top w:val="single" w:sz="4" w:space="0" w:color="010000"/>
            </w:tcBorders>
            <w:vAlign w:val="center"/>
          </w:tcPr>
          <w:p>
            <w:pPr>
              <w:jc w:val="left"/>
            </w:pPr>
            <w:r/>
            <w:r>
              <w:rPr>
                <w:rFonts w:hint="eastAsia"/>
                <w:color w:val="000000"/>
                <w:sz w:val="21"/>
              </w:rPr>
              <w:t>以展示和导览为主，对可靠性和外观要求高，对负载要求低。</w:t>
            </w:r>
          </w:p>
        </w:tc>
        <w:tc>
          <w:tcPr>
            <w:tcW w:w="1567" w:type="pct"/>
            <w:tcBorders>
              <w:top w:val="single" w:sz="4" w:space="0" w:color="010000"/>
            </w:tcBorders>
            <w:vAlign w:val="center"/>
          </w:tcPr>
          <w:p>
            <w:pPr>
              <w:jc w:val="left"/>
            </w:pPr>
            <w:r/>
            <w:r>
              <w:rPr>
                <w:rFonts w:hint="eastAsia"/>
                <w:color w:val="000000"/>
                <w:sz w:val="21"/>
              </w:rPr>
              <w:t>拉动中小尺寸双足和轮式机型，对关节的静音、轻量化有额外要求。</w:t>
            </w:r>
          </w:p>
        </w:tc>
      </w:tr>
      <w:tr>
        <w:trPr>
          <w:cantSplit/>
          <w:jc w:val="center"/>
        </w:trPr>
        <w:tc>
          <w:tcPr>
            <w:tcW w:w="597" w:type="pct"/>
            <w:tcBorders>
              <w:top w:val="single" w:sz="4" w:space="0" w:color="010000"/>
            </w:tcBorders>
            <w:vAlign w:val="center"/>
          </w:tcPr>
          <w:p>
            <w:pPr>
              <w:jc w:val="left"/>
            </w:pPr>
            <w:r/>
            <w:r>
              <w:rPr>
                <w:rFonts w:hint="eastAsia"/>
                <w:color w:val="000000"/>
                <w:sz w:val="21"/>
              </w:rPr>
              <w:t>工业物流</w:t>
            </w:r>
          </w:p>
        </w:tc>
        <w:tc>
          <w:tcPr>
            <w:tcW w:w="970" w:type="pct"/>
            <w:tcBorders>
              <w:top w:val="single" w:sz="4" w:space="0" w:color="010000"/>
            </w:tcBorders>
            <w:vAlign w:val="center"/>
          </w:tcPr>
          <w:p>
            <w:pPr>
              <w:jc w:val="left"/>
            </w:pPr>
            <w:r/>
            <w:r>
              <w:rPr>
                <w:rFonts w:hint="eastAsia"/>
                <w:color w:val="000000"/>
                <w:sz w:val="21"/>
              </w:rPr>
              <w:t>大型制造与物流企业</w:t>
            </w:r>
          </w:p>
        </w:tc>
        <w:tc>
          <w:tcPr>
            <w:tcW w:w="1866" w:type="pct"/>
            <w:tcBorders>
              <w:top w:val="single" w:sz="4" w:space="0" w:color="010000"/>
            </w:tcBorders>
            <w:vAlign w:val="center"/>
          </w:tcPr>
          <w:p>
            <w:pPr>
              <w:jc w:val="left"/>
            </w:pPr>
            <w:r/>
            <w:r>
              <w:rPr>
                <w:rFonts w:hint="eastAsia"/>
                <w:color w:val="000000"/>
                <w:sz w:val="21"/>
              </w:rPr>
              <w:t>单价较高、服务占比高，但目前仍处于试点阶段，整体规模较小。</w:t>
            </w:r>
          </w:p>
        </w:tc>
        <w:tc>
          <w:tcPr>
            <w:tcW w:w="1567" w:type="pct"/>
            <w:tcBorders>
              <w:top w:val="single" w:sz="4" w:space="0" w:color="010000"/>
            </w:tcBorders>
            <w:vAlign w:val="center"/>
          </w:tcPr>
          <w:p>
            <w:pPr>
              <w:jc w:val="left"/>
            </w:pPr>
            <w:r/>
            <w:r>
              <w:rPr>
                <w:rFonts w:hint="eastAsia"/>
                <w:color w:val="000000"/>
                <w:sz w:val="21"/>
              </w:rPr>
              <w:t>对关节的扭矩、寿命、防护等级和连续作业能力要求最高，是高规格关节模组的主要潜在市场。</w:t>
            </w:r>
          </w:p>
        </w:tc>
      </w:tr>
      <w:tr>
        <w:trPr>
          <w:cantSplit/>
          <w:jc w:val="center"/>
        </w:trPr>
        <w:tc>
          <w:tcPr>
            <w:tcW w:w="597" w:type="pct"/>
            <w:tcBorders>
              <w:top w:val="single" w:sz="4" w:space="0" w:color="010000"/>
            </w:tcBorders>
            <w:vAlign w:val="center"/>
          </w:tcPr>
          <w:p>
            <w:pPr>
              <w:jc w:val="left"/>
            </w:pPr>
            <w:r/>
            <w:r>
              <w:rPr>
                <w:rFonts w:hint="eastAsia"/>
                <w:color w:val="000000"/>
                <w:sz w:val="21"/>
              </w:rPr>
              <w:t>娱乐表演</w:t>
            </w:r>
          </w:p>
        </w:tc>
        <w:tc>
          <w:tcPr>
            <w:tcW w:w="970" w:type="pct"/>
            <w:tcBorders>
              <w:top w:val="single" w:sz="4" w:space="0" w:color="010000"/>
            </w:tcBorders>
            <w:vAlign w:val="center"/>
          </w:tcPr>
          <w:p>
            <w:pPr>
              <w:jc w:val="left"/>
            </w:pPr>
            <w:r/>
            <w:r>
              <w:rPr>
                <w:rFonts w:hint="eastAsia"/>
                <w:color w:val="000000"/>
                <w:sz w:val="21"/>
              </w:rPr>
              <w:t>租赁及商演公司</w:t>
            </w:r>
          </w:p>
        </w:tc>
        <w:tc>
          <w:tcPr>
            <w:tcW w:w="1866" w:type="pct"/>
            <w:tcBorders>
              <w:top w:val="single" w:sz="4" w:space="0" w:color="010000"/>
            </w:tcBorders>
            <w:vAlign w:val="center"/>
          </w:tcPr>
          <w:p>
            <w:pPr>
              <w:jc w:val="left"/>
            </w:pPr>
            <w:r/>
            <w:r>
              <w:rPr>
                <w:rFonts w:hint="eastAsia"/>
                <w:color w:val="000000"/>
                <w:sz w:val="21"/>
              </w:rPr>
              <w:t>以短周期租赁和活动为主，对整机数量弹性大。</w:t>
            </w:r>
          </w:p>
        </w:tc>
        <w:tc>
          <w:tcPr>
            <w:tcW w:w="1567" w:type="pct"/>
            <w:tcBorders>
              <w:top w:val="single" w:sz="4" w:space="0" w:color="010000"/>
            </w:tcBorders>
            <w:vAlign w:val="center"/>
          </w:tcPr>
          <w:p>
            <w:pPr>
              <w:jc w:val="left"/>
            </w:pPr>
            <w:r/>
            <w:r>
              <w:rPr>
                <w:rFonts w:hint="eastAsia"/>
                <w:color w:val="000000"/>
                <w:sz w:val="21"/>
              </w:rPr>
              <w:t>需求波动大，对成本和售后响应速度敏感。</w:t>
            </w:r>
          </w:p>
        </w:tc>
      </w:tr>
    </w:tbl>
    <w:p>
      <w:pPr>
        <w:pStyle w:val="a6"/>
      </w:pPr>
      <w:r>
        <w:rPr>
          <w:rFonts w:hint="eastAsia"/>
        </w:rPr>
        <w:t>数据来源：高工机器人（GGII）2025年人形机器人市场研究，本报告整理。</w:t>
      </w:r>
    </w:p>
    <w:p/>
    <w:p/>
    <w:p>
      <w:pPr>
        <w:pStyle w:val="2"/>
        <w:spacing w:before="156" w:after="156"/>
      </w:pPr>
      <w:r>
        <w:rPr>
          <w:rFonts w:hint="eastAsia"/>
          <w:b/>
        </w:rPr>
        <w:t>国内人形机器人市场发展现状及产业规模</w:t>
      </w:r>
    </w:p>
    <w:p>
      <w:pPr>
        <w:pStyle w:val="3"/>
        <w:numPr>
          <w:ilvl w:val="0"/>
          <w:numId w:val="0"/>
        </w:numPr>
        <w:spacing w:before="156" w:after="156"/>
      </w:pPr>
      <w:r>
        <w:rPr>
          <w:rFonts w:hint="eastAsia"/>
        </w:rPr>
        <w:t>3.1 出货量与市场规模</w:t>
      </w:r>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据高工机器人（GGII）统计，2025年中国人形机器人出货量约2万台，同比增长614.29%（对应2024年约0.28万台），其中整机市场规模约50亿—65亿元，包含软件系统集成部署和服务在内的广义市场规模约90亿元。另据2025年人形机器人行业报告（IDC等口径），2025年全球人形机器人出货量约1.7万台，中国企业出货约1.44万台，占全球84.7%；2025年全球范围内中国预计贡献80%—90%的年度出货量。两组数据的差异主要来自统计边界和是否包含轮式机型。</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4" name="Picture 4"/>
            <wp:cNvGraphicFramePr>
              <a:graphicFrameLocks noChangeAspect="1"/>
            </wp:cNvGraphicFramePr>
            <a:graphic>
              <a:graphicData uri="http://schemas.openxmlformats.org/drawingml/2006/picture">
                <pic:pic>
                  <pic:nvPicPr>
                    <pic:cNvPr id="0" name="fig1.png"/>
                    <pic:cNvPicPr/>
                  </pic:nvPicPr>
                  <pic:blipFill>
                    <a:blip r:embed="rId19"/>
                    <a:stretch>
                      <a:fillRect/>
                    </a:stretch>
                  </pic:blipFill>
                  <pic:spPr>
                    <a:xfrm>
                      <a:off x="0" y="0"/>
                      <a:ext cx="5074920" cy="2105551"/>
                    </a:xfrm>
                    <a:prstGeom prst="rect"/>
                  </pic:spPr>
                </pic:pic>
              </a:graphicData>
            </a:graphic>
          </wp:inline>
        </w:drawing>
      </w:r>
    </w:p>
    <w:p>
      <w:pPr>
        <w:jc w:val="center"/>
      </w:pPr>
      <w:r>
        <w:rPr>
          <w:rFonts w:hint="eastAsia"/>
          <w:b/>
          <w:sz w:val="21"/>
        </w:rPr>
        <w:t>图4  中国人形机器人出货量：历史实际与2026年预测</w:t>
      </w:r>
    </w:p>
    <w:p>
      <w:pPr>
        <w:pStyle w:val="a6"/>
      </w:pPr>
      <w:r>
        <w:rPr>
          <w:rFonts w:hint="eastAsia"/>
        </w:rPr>
        <w:t>数据来源：高工机器人（GGII，2024—2025年实际值）、中商产业研究院及摩根士丹利（2026年预测值）。2024年数值系按GGII披露的2025年出货2万台、同比增长614.29%倒算得到，为估算值。2026年上半年实际出货已超4万台（工业和信息化主管部门数据），高于图中年初预测。</w:t>
      </w:r>
    </w:p>
    <w:p>
      <w:pPr>
        <w:pStyle w:val="3"/>
        <w:numPr>
          <w:ilvl w:val="0"/>
          <w:numId w:val="0"/>
        </w:numPr>
        <w:spacing w:before="156" w:after="156"/>
      </w:pPr>
      <w:r>
        <w:rPr>
          <w:rFonts w:hint="eastAsia"/>
        </w:rPr>
        <w:t>3.2 应用结构</w:t>
      </w:r>
    </w:p>
    <w:p>
      <w:pPr>
        <w:pStyle w:val="a0"/>
      </w:pPr>
      <w:r>
        <w:rPr>
          <w:rFonts w:hint="eastAsia"/>
        </w:rPr>
        <w:t>2025年国内人形机器人的出货结构与市场规模结构存在明显错配。教育科研场景采购量最大但单价最低，贡献了大部分出货量而非大部分收入；数据采集场景单次采购规模在百台以上、服务占比高，是千万元级和亿元级订单的主要来源；工业物流场景单价最高但仍处试点，规模有限。这一结构说明，当前行业的真实付费能力主要来自政府和国资平台主导的示范性项目，而非完全市场化的产业需求，这也是判断2026—2027年需求持续性时需要重点跟踪的变量。</w:t>
      </w:r>
    </w:p>
    <w:p>
      <w:pPr>
        <w:pStyle w:val="3"/>
        <w:numPr>
          <w:ilvl w:val="0"/>
          <w:numId w:val="0"/>
        </w:numPr>
        <w:spacing w:before="156" w:after="156"/>
      </w:pPr>
      <w:r>
        <w:rPr>
          <w:rFonts w:hint="eastAsia"/>
        </w:rPr>
        <w:t>3.3 招投标与订单</w:t>
      </w:r>
    </w:p>
    <w:p>
      <w:pPr>
        <w:pStyle w:val="a0"/>
      </w:pPr>
      <w:r>
        <w:rPr>
          <w:rFonts w:hint="eastAsia"/>
        </w:rPr>
        <w:t>招投标数据是观察人形机器人真实需求的重要窗口。据高工机器人统计，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6.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2025年中国人形机器人中标项目金额分布</w:t>
      </w:r>
    </w:p>
    <w:p>
      <w:pPr>
        <w:pStyle w:val="a6"/>
      </w:pPr>
      <w:r>
        <w:rPr>
          <w:rFonts w:hint="eastAsia"/>
        </w:rPr>
        <w:t>数据来源：高工机器人（GGII）2025年人形机器人投招标统计。</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r>
        <w:rPr>
          <w:rFonts w:hint="eastAsia"/>
        </w:rPr>
        <w:t>3.4 成本曲线与降价趋势</w:t>
      </w:r>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r>
        <w:rPr>
          <w:rFonts w:hint="eastAsia"/>
        </w:rPr>
        <w:t>3.5 相关政策</w:t>
      </w:r>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r>
        <w:rPr>
          <w:rFonts w:hint="eastAsia"/>
        </w:rPr>
        <w:t>3.6 区域产业集群与无锡</w:t>
      </w:r>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r>
        <w:rPr>
          <w:rFonts w:hint="eastAsia"/>
          <w:b/>
        </w:rPr>
        <w:t>行业格局、发展趋势及产业机会</w:t>
      </w:r>
    </w:p>
    <w:p>
      <w:pPr>
        <w:pStyle w:val="3"/>
        <w:numPr>
          <w:ilvl w:val="0"/>
          <w:numId w:val="0"/>
        </w:numPr>
        <w:spacing w:before="156" w:after="156"/>
      </w:pPr>
      <w:r>
        <w:rPr>
          <w:rFonts w:hint="eastAsia"/>
        </w:rPr>
        <w:t>4.1 整机环节竞争格局</w:t>
      </w:r>
    </w:p>
    <w:p>
      <w:pPr>
        <w:pStyle w:val="a0"/>
      </w:pPr>
      <w:r>
        <w:rPr>
          <w:rFonts w:hint="eastAsia"/>
        </w:rPr>
        <w:t>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w:t>
      </w:r>
    </w:p>
    <w:p>
      <w:pPr>
        <w:keepNext/>
        <w:jc w:val="center"/>
      </w:pPr>
      <w:r>
        <w:drawing>
          <wp:inline xmlns:a="http://schemas.openxmlformats.org/drawingml/2006/main" xmlns:pic="http://schemas.openxmlformats.org/drawingml/2006/picture">
            <wp:extent cx="5074920" cy="2483471"/>
            <wp:docPr id="6" name="Picture 6"/>
            <wp:cNvGraphicFramePr>
              <a:graphicFrameLocks noChangeAspect="1"/>
            </wp:cNvGraphicFramePr>
            <a:graphic>
              <a:graphicData uri="http://schemas.openxmlformats.org/drawingml/2006/picture">
                <pic:pic>
                  <pic:nvPicPr>
                    <pic:cNvPr id="0" name="fig2.png"/>
                    <pic:cNvPicPr/>
                  </pic:nvPicPr>
                  <pic:blipFill>
                    <a:blip r:embed="rId21"/>
                    <a:stretch>
                      <a:fillRect/>
                    </a:stretch>
                  </pic:blipFill>
                  <pic:spPr>
                    <a:xfrm>
                      <a:off x="0" y="0"/>
                      <a:ext cx="5074920" cy="2483471"/>
                    </a:xfrm>
                    <a:prstGeom prst="rect"/>
                  </pic:spPr>
                </pic:pic>
              </a:graphicData>
            </a:graphic>
          </wp:inline>
        </w:drawing>
      </w:r>
    </w:p>
    <w:p>
      <w:pPr>
        <w:jc w:val="center"/>
      </w:pPr>
      <w:r>
        <w:rPr>
          <w:rFonts w:hint="eastAsia"/>
          <w:b/>
          <w:sz w:val="21"/>
        </w:rPr>
        <w:t>图6  2025年全球人形机器人出货量企业份额</w:t>
      </w:r>
    </w:p>
    <w:p>
      <w:pPr>
        <w:pStyle w:val="a6"/>
      </w:pPr>
      <w:r>
        <w:rPr>
          <w:rFonts w:hint="eastAsia"/>
        </w:rPr>
        <w:t>数据来源：2025年人形机器人行业报告（IDC等第三方口径）转引。需要说明的是，各机构对第二梯队企业的出货口径差异较大：IDC统计银河通用、优必选、众擎、星尘智能等厂商出货在400台至1,000台之间；优必选2025年年报披露全尺寸具身智能人形机器人销量1,079台。本图仅用于观察行业集中度。</w:t>
      </w:r>
    </w:p>
    <w:p>
      <w:pPr>
        <w:pStyle w:val="a0"/>
      </w:pPr>
      <w:r>
        <w:rPr>
          <w:rFonts w:hint="eastAsia"/>
        </w:rPr>
        <w:t>从格局特征看，当前整机环节呈现"双寡头＋长尾"的结构：宇树和智元合计占全球出货量约56%，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r>
        <w:rPr>
          <w:rFonts w:hint="eastAsia"/>
        </w:rPr>
        <w:t>4.2 核心传动与执行环节竞争格局</w:t>
      </w:r>
    </w:p>
    <w:p>
      <w:pPr>
        <w:pStyle w:val="a0"/>
      </w:pPr>
      <w:r>
        <w:rPr>
          <w:rFonts w:hint="eastAsia"/>
        </w:rPr>
        <w:t>核心传动与执行环节的竞争格局可以概括为三句话。第一，谐波减速器环节已形成"哈默纳科全球领先、绿的谐波与来福谐波国内双强、TOP4合计约六成"的格局，国产化率约30%并在快速提升，但价格与毛利率同步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r>
        <w:rPr>
          <w:rFonts w:hint="eastAsia"/>
        </w:rPr>
        <w:t>4.3 产业链价值迁移与业务机会</w:t>
      </w:r>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绑定区域整机生态并沿链条向上。无锡本地已聚集13家整机企业并形成全产业链集群，2026年产业链伙伴大会签约总额超57亿元。对本地零部件企业而言，区位带来的联合开发、快速联调和物流响应优势具有实际价值；同时，向上从关节模组延伸到机械臂、上肢平台乃至半身平台（公司已有通用型上肢硬件平台和人形机械臂产品），能够提高单客户价值量，并在整机厂尚未定型时更早介入产品定义。</w:t>
      </w:r>
    </w:p>
    <w:p>
      <w:pPr>
        <w:pStyle w:val="a0"/>
      </w:pPr>
      <w:r>
        <w:rPr>
          <w:rFonts w:hint="eastAsia"/>
        </w:rPr>
        <w:t>第四，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对处于A轮阶段、累计交付1,320套模组的企业而言，从"能做"到"能稳定量产"的跨越，是未来两年最主要的经营挑战，也是本次拜访中需要重点了解的内容。</w:t>
      </w:r>
    </w:p>
    <w:p/>
    <w:p/>
    <w:p>
      <w:pPr>
        <w:pStyle w:val="2"/>
        <w:spacing w:before="156" w:after="156"/>
      </w:pPr>
      <w:r>
        <w:rPr>
          <w:rFonts w:hint="eastAsia"/>
          <w:b/>
        </w:rPr>
        <w:t>整机制造环节代表性企业</w:t>
      </w:r>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r>
        <w:rPr>
          <w:rFonts w:hint="eastAsia"/>
        </w:rPr>
        <w:t>5.1 宇树科技</w:t>
      </w:r>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本次合计发行新股4,044.64万股，占发行后总股本10%，无老股转让，募资总额约42.02亿元，发行底价约103.9元/股，隐含估值约420亿元；初步询价日为2026年8月5日，网上网下申购日为8月10日。保荐人（主承销商）为中信证券。</w:t>
      </w:r>
    </w:p>
    <w:p>
      <w:pPr>
        <w:pStyle w:val="3"/>
        <w:numPr>
          <w:ilvl w:val="0"/>
          <w:numId w:val="0"/>
        </w:numPr>
        <w:spacing w:before="156" w:after="156"/>
      </w:pPr>
      <w:r>
        <w:rPr>
          <w:rFonts w:hint="eastAsia"/>
        </w:rPr>
        <w:t>5.2 智元机器人</w:t>
      </w:r>
    </w:p>
    <w:p>
      <w:pPr>
        <w:pStyle w:val="a0"/>
      </w:pPr>
      <w:r>
        <w:rPr>
          <w:rFonts w:hint="eastAsia"/>
        </w:rPr>
        <w:t>智元机器人是国内出货量第二、产品矩阵最完整的整机企业之一。据第三方统计，2025年公司人形机器人出货约4,000台，全球份额23.5%；公司自主披露，截至2025年12月8日第5,000台通用具身机器人量产下线交付，其中灵犀X1/X2系列1,846台、远征A1/A2系列1,742台、精灵G1/G2系列1,412台。</w:t>
      </w:r>
    </w:p>
    <w:p>
      <w:pPr>
        <w:pStyle w:val="a0"/>
      </w:pPr>
      <w:r>
        <w:rPr>
          <w:rFonts w:hint="eastAsia"/>
        </w:rPr>
        <w:t>产品条线方面，公司形成灵犀、远征、精灵三大系列：灵犀系列（X1/X2）为中小尺寸双足机型，面向科研教育和交互场景，其中灵犀X2身高约1.3米；远征系列（A1/A2）为全尺寸双足机型，面向工业搬运等场景，2024年8月发布第二代远征A2并宣布正式进入商用交付；精灵系列（G1/G2）为轮式双臂机型，面向商用服务和家庭场景。三条产品线的出货较为均衡，说明公司采取的是"多形态覆盖多场景"的策略，而非押注单一形态。</w:t>
      </w:r>
    </w:p>
    <w:p>
      <w:pPr>
        <w:pStyle w:val="a0"/>
      </w:pPr>
      <w:r>
        <w:rPr>
          <w:rFonts w:hint="eastAsia"/>
        </w:rPr>
        <w:t>资本化方面，智元采取了通过上市公司平台实现证券化的路径。2025年7月8日，公司先通过协议转让取得上纬新材（688585.SH）29.99%股份；9月23日完成过户登记，以"协议转让＋部分要约收购"合计21亿元对价取得上纬新材66.99%控股权，公司董事长、CEO邓泰华成为上市公司实际控制人。智元方面回应称该交易不构成重组上市，不属于借壳上市。该安排为智元的投资人（高瓴、红杉、腾讯等）提供了未来通过上市公司定增退出的路径，也为公司提供了年研发投入超10亿元所需的低成本融资平台。</w:t>
      </w:r>
    </w:p>
    <w:p>
      <w:pPr>
        <w:pStyle w:val="3"/>
        <w:numPr>
          <w:ilvl w:val="0"/>
          <w:numId w:val="0"/>
        </w:numPr>
        <w:spacing w:before="156" w:after="156"/>
      </w:pPr>
      <w:r>
        <w:rPr>
          <w:rFonts w:hint="eastAsia"/>
        </w:rPr>
        <w:t>5.3 优必选</w:t>
      </w:r>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r>
        <w:rPr>
          <w:rFonts w:hint="eastAsia"/>
        </w:rPr>
        <w:t>5.4 第二梯队与新兴整机企业</w:t>
      </w:r>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表7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pPr>
      <w:r>
        <w:rPr>
          <w:rFonts w:hint="eastAsia"/>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r>
        <w:rPr>
          <w:rFonts w:hint="eastAsia"/>
        </w:rPr>
        <w:t>5.5 海外对照：特斯拉Optimus</w:t>
      </w:r>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r>
        <w:rPr>
          <w:rFonts w:hint="eastAsia"/>
          <w:b/>
        </w:rPr>
        <w:t>人形机器人产业链企业资本化进度</w:t>
      </w:r>
    </w:p>
    <w:p>
      <w:pPr>
        <w:pStyle w:val="a0"/>
      </w:pPr>
      <w:r>
        <w:rPr>
          <w:rFonts w:hint="eastAsia"/>
        </w:rPr>
        <w:t>本章资本化进度统一核验至2026年8月上旬公开信息。未上市企业的估值均来自公开报道的融资后估值或按拟募集资金倒算的参考值，不代表实际发行定价或市场估值。据公开统计，截至2026年7月，国内已有超过20家人形机器人核心企业进入IPO辅导、申报、聆讯或发行阶段；另有统计口径显示，机器人相关企业在A股与港股合计排队数量达38家以上，港股排队机器人相关企业接近50家，形成2026—2027年集中的IPO窗口。</w:t>
      </w:r>
    </w:p>
    <w:p>
      <w:pPr>
        <w:pStyle w:val="3"/>
        <w:numPr>
          <w:ilvl w:val="0"/>
          <w:numId w:val="0"/>
        </w:numPr>
        <w:spacing w:before="156" w:after="156"/>
      </w:pPr>
      <w:r>
        <w:rPr>
          <w:rFonts w:hint="eastAsia"/>
        </w:rPr>
        <w:t>6.1 已上市或已完成发行的企业</w:t>
      </w:r>
    </w:p>
    <w:p>
      <w:pPr>
        <w:keepNext/>
        <w:jc w:val="center"/>
      </w:pPr>
      <w:r>
        <w:rPr>
          <w:rFonts w:hint="eastAsia"/>
          <w:b/>
          <w:sz w:val="21"/>
        </w:rPr>
        <w:t>表8  已上市或已完成发行的人形机器人产业链企业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9"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712" w:type="pct"/>
            <w:tcBorders>
              <w:top w:val="single" w:sz="12" w:space="0" w:color="010000"/>
              <w:bottom w:val="single" w:sz="4" w:space="0" w:color="010000"/>
            </w:tcBorders>
            <w:vAlign w:val="center"/>
          </w:tcPr>
          <w:p>
            <w:pPr>
              <w:keepNext/>
              <w:jc w:val="center"/>
            </w:pPr>
            <w:r/>
            <w:r>
              <w:rPr>
                <w:rFonts w:hint="eastAsia"/>
                <w:b/>
                <w:color w:val="000000"/>
                <w:sz w:val="21"/>
              </w:rPr>
              <w:t>上市进度</w:t>
            </w:r>
          </w:p>
        </w:tc>
        <w:tc>
          <w:tcPr>
            <w:tcW w:w="1096" w:type="pct"/>
            <w:tcBorders>
              <w:top w:val="single" w:sz="12" w:space="0" w:color="010000"/>
              <w:bottom w:val="single" w:sz="4" w:space="0" w:color="010000"/>
            </w:tcBorders>
            <w:vAlign w:val="center"/>
          </w:tcPr>
          <w:p>
            <w:pPr>
              <w:keepNext/>
              <w:jc w:val="center"/>
            </w:pPr>
            <w:r/>
            <w:r>
              <w:rPr>
                <w:rFonts w:hint="eastAsia"/>
                <w:b/>
                <w:color w:val="000000"/>
                <w:sz w:val="21"/>
              </w:rPr>
              <w:t>核心业务</w:t>
            </w:r>
          </w:p>
        </w:tc>
        <w:tc>
          <w:tcPr>
            <w:tcW w:w="1712" w:type="pct"/>
            <w:tcBorders>
              <w:top w:val="single" w:sz="12" w:space="0" w:color="010000"/>
              <w:bottom w:val="single" w:sz="4" w:space="0" w:color="010000"/>
            </w:tcBorders>
            <w:vAlign w:val="center"/>
          </w:tcPr>
          <w:p>
            <w:pPr>
              <w:keepNext/>
              <w:jc w:val="center"/>
            </w:pPr>
            <w:r/>
            <w:r>
              <w:rPr>
                <w:rFonts w:hint="eastAsia"/>
                <w:b/>
                <w:color w:val="000000"/>
                <w:sz w:val="21"/>
              </w:rPr>
              <w:t>公开财务及估值信息</w:t>
            </w:r>
          </w:p>
        </w:tc>
      </w:tr>
      <w:tr>
        <w:trPr>
          <w:cantSplit/>
          <w:jc w:val="center"/>
        </w:trPr>
        <w:tc>
          <w:tcPr>
            <w:tcW w:w="479" w:type="pct"/>
            <w:tcBorders>
              <w:top w:val="single" w:sz="4" w:space="0" w:color="010000"/>
            </w:tcBorders>
            <w:vAlign w:val="center"/>
          </w:tcPr>
          <w:p>
            <w:pPr>
              <w:jc w:val="left"/>
            </w:pPr>
            <w:r/>
            <w:r>
              <w:rPr>
                <w:rFonts w:hint="eastAsia"/>
                <w:color w:val="000000"/>
                <w:sz w:val="21"/>
              </w:rPr>
              <w:t>优必选</w:t>
            </w:r>
          </w:p>
        </w:tc>
        <w:tc>
          <w:tcPr>
            <w:tcW w:w="1712" w:type="pct"/>
            <w:tcBorders>
              <w:top w:val="single" w:sz="4" w:space="0" w:color="010000"/>
            </w:tcBorders>
            <w:vAlign w:val="center"/>
          </w:tcPr>
          <w:p>
            <w:pPr>
              <w:jc w:val="left"/>
            </w:pPr>
            <w:r/>
            <w:r>
              <w:rPr>
                <w:rFonts w:hint="eastAsia"/>
                <w:color w:val="000000"/>
                <w:sz w:val="21"/>
              </w:rPr>
              <w:t>已于港交所上市，股份代号09880，为首家上市的人形机器人企业。</w:t>
            </w:r>
          </w:p>
        </w:tc>
        <w:tc>
          <w:tcPr>
            <w:tcW w:w="1096" w:type="pct"/>
            <w:tcBorders>
              <w:top w:val="single" w:sz="4" w:space="0" w:color="010000"/>
            </w:tcBorders>
            <w:vAlign w:val="center"/>
          </w:tcPr>
          <w:p>
            <w:pPr>
              <w:jc w:val="left"/>
            </w:pPr>
            <w:r/>
            <w:r>
              <w:rPr>
                <w:rFonts w:hint="eastAsia"/>
                <w:color w:val="000000"/>
                <w:sz w:val="21"/>
              </w:rPr>
              <w:t>以Walker系列全尺寸工业人形机器人为核心，同时经营教育、物流、康养机器人业务。</w:t>
            </w:r>
          </w:p>
        </w:tc>
        <w:tc>
          <w:tcPr>
            <w:tcW w:w="1712" w:type="pct"/>
            <w:tcBorders>
              <w:top w:val="single" w:sz="4" w:space="0" w:color="010000"/>
            </w:tcBorders>
            <w:vAlign w:val="center"/>
          </w:tcPr>
          <w:p>
            <w:pPr>
              <w:jc w:val="left"/>
            </w:pPr>
            <w:r/>
            <w:r>
              <w:rPr>
                <w:rFonts w:hint="eastAsia"/>
                <w:color w:val="000000"/>
                <w:sz w:val="21"/>
              </w:rPr>
              <w:t>2025年总营收20.01亿元，同比增长53.3%；全尺寸具身智能人形机器人收入8.2亿元、销量1,079台；2025年订单合计接近14亿元。</w:t>
            </w:r>
          </w:p>
        </w:tc>
      </w:tr>
      <w:tr>
        <w:trPr>
          <w:cantSplit/>
          <w:jc w:val="center"/>
        </w:trPr>
        <w:tc>
          <w:tcPr>
            <w:tcW w:w="479" w:type="pct"/>
            <w:tcBorders>
              <w:top w:val="single" w:sz="4" w:space="0" w:color="010000"/>
            </w:tcBorders>
            <w:vAlign w:val="center"/>
          </w:tcPr>
          <w:p>
            <w:pPr>
              <w:jc w:val="left"/>
            </w:pPr>
            <w:r/>
            <w:r>
              <w:rPr>
                <w:rFonts w:hint="eastAsia"/>
                <w:color w:val="000000"/>
                <w:sz w:val="21"/>
              </w:rPr>
              <w:t>宇树科技</w:t>
            </w:r>
          </w:p>
        </w:tc>
        <w:tc>
          <w:tcPr>
            <w:tcW w:w="1712" w:type="pct"/>
            <w:tcBorders>
              <w:top w:val="single" w:sz="4" w:space="0" w:color="010000"/>
            </w:tcBorders>
            <w:vAlign w:val="center"/>
          </w:tcPr>
          <w:p>
            <w:pPr>
              <w:jc w:val="left"/>
            </w:pPr>
            <w:r/>
            <w:r>
              <w:rPr>
                <w:rFonts w:hint="eastAsia"/>
                <w:color w:val="000000"/>
                <w:sz w:val="21"/>
              </w:rPr>
              <w:t>科创板IPO于2026年3月20日受理，7月初获证监会同意注册（全流程104天），8月5日初步询价、8月10日申购，保荐人（主承销商）为中信证券。</w:t>
            </w:r>
          </w:p>
        </w:tc>
        <w:tc>
          <w:tcPr>
            <w:tcW w:w="1096" w:type="pct"/>
            <w:tcBorders>
              <w:top w:val="single" w:sz="4" w:space="0" w:color="010000"/>
            </w:tcBorders>
            <w:vAlign w:val="center"/>
          </w:tcPr>
          <w:p>
            <w:pPr>
              <w:jc w:val="left"/>
            </w:pPr>
            <w:r/>
            <w:r>
              <w:rPr>
                <w:rFonts w:hint="eastAsia"/>
                <w:color w:val="000000"/>
                <w:sz w:val="21"/>
              </w:rPr>
              <w:t>四足机器人与人形机器人研发、生产及销售。</w:t>
            </w:r>
          </w:p>
        </w:tc>
        <w:tc>
          <w:tcPr>
            <w:tcW w:w="1712" w:type="pct"/>
            <w:tcBorders>
              <w:top w:val="single" w:sz="4" w:space="0" w:color="010000"/>
            </w:tcBorders>
            <w:vAlign w:val="center"/>
          </w:tcPr>
          <w:p>
            <w:pPr>
              <w:jc w:val="left"/>
            </w:pPr>
            <w:r/>
            <w:r>
              <w:rPr>
                <w:rFonts w:hint="eastAsia"/>
                <w:color w:val="000000"/>
                <w:sz w:val="21"/>
              </w:rPr>
              <w:t>2025年营业收入17.08亿元，扣非归母净利润6.001亿元，毛利率60.27%；发行新股4,044.64万股（占发行后总股本10%），募资约42.02亿元，隐含估值约420亿元。</w:t>
            </w:r>
          </w:p>
        </w:tc>
      </w:tr>
      <w:tr>
        <w:trPr>
          <w:cantSplit/>
          <w:jc w:val="center"/>
        </w:trPr>
        <w:tc>
          <w:tcPr>
            <w:tcW w:w="479" w:type="pct"/>
            <w:tcBorders>
              <w:top w:val="single" w:sz="4" w:space="0" w:color="010000"/>
            </w:tcBorders>
            <w:vAlign w:val="center"/>
          </w:tcPr>
          <w:p>
            <w:pPr>
              <w:jc w:val="left"/>
            </w:pPr>
            <w:r/>
            <w:r>
              <w:rPr>
                <w:rFonts w:hint="eastAsia"/>
                <w:color w:val="000000"/>
                <w:sz w:val="21"/>
              </w:rPr>
              <w:t>来福谐波</w:t>
            </w:r>
          </w:p>
        </w:tc>
        <w:tc>
          <w:tcPr>
            <w:tcW w:w="1712" w:type="pct"/>
            <w:tcBorders>
              <w:top w:val="single" w:sz="4" w:space="0" w:color="010000"/>
            </w:tcBorders>
            <w:vAlign w:val="center"/>
          </w:tcPr>
          <w:p>
            <w:pPr>
              <w:jc w:val="left"/>
            </w:pPr>
            <w:r/>
            <w:r>
              <w:rPr>
                <w:rFonts w:hint="eastAsia"/>
                <w:color w:val="000000"/>
                <w:sz w:val="21"/>
              </w:rPr>
              <w:t>2026年1月2日递表港交所，5月29日获中国证监会备案，6月14日通过聆讯，6月22—25日招股，6月30日在港交所主板挂牌，股份代号03952，为港股"谐波减速器第一股"。</w:t>
            </w:r>
          </w:p>
        </w:tc>
        <w:tc>
          <w:tcPr>
            <w:tcW w:w="1096" w:type="pct"/>
            <w:tcBorders>
              <w:top w:val="single" w:sz="4" w:space="0" w:color="010000"/>
            </w:tcBorders>
            <w:vAlign w:val="center"/>
          </w:tcPr>
          <w:p>
            <w:pPr>
              <w:jc w:val="left"/>
            </w:pPr>
            <w:r/>
            <w:r>
              <w:rPr>
                <w:rFonts w:hint="eastAsia"/>
                <w:color w:val="000000"/>
                <w:sz w:val="21"/>
              </w:rPr>
              <w:t>谐波减速器、关节模组、机械臂及自动化工作站四大品类。</w:t>
            </w:r>
          </w:p>
        </w:tc>
        <w:tc>
          <w:tcPr>
            <w:tcW w:w="1712" w:type="pct"/>
            <w:tcBorders>
              <w:top w:val="single" w:sz="4" w:space="0" w:color="010000"/>
            </w:tcBorders>
            <w:vAlign w:val="center"/>
          </w:tcPr>
          <w:p>
            <w:pPr>
              <w:jc w:val="left"/>
            </w:pPr>
            <w:r/>
            <w:r>
              <w:rPr>
                <w:rFonts w:hint="eastAsia"/>
                <w:color w:val="000000"/>
                <w:sz w:val="21"/>
              </w:rPr>
              <w:t>2023—2025年营业收入分别为9,455万元、1.08亿元、2.61亿元；2025年谐波减速器销量29.15万台、平均售价571元/台；三年连续亏损，2025年亏损1.71亿元；发行前估值约15亿元，股东包括联想、国开基金、紫金矿业等。</w:t>
            </w:r>
          </w:p>
        </w:tc>
      </w:tr>
      <w:tr>
        <w:trPr>
          <w:cantSplit/>
          <w:jc w:val="center"/>
        </w:trPr>
        <w:tc>
          <w:tcPr>
            <w:tcW w:w="479" w:type="pct"/>
            <w:tcBorders>
              <w:top w:val="single" w:sz="4" w:space="0" w:color="010000"/>
            </w:tcBorders>
            <w:vAlign w:val="center"/>
          </w:tcPr>
          <w:p>
            <w:pPr>
              <w:jc w:val="left"/>
            </w:pPr>
            <w:r/>
            <w:r>
              <w:rPr>
                <w:rFonts w:hint="eastAsia"/>
                <w:color w:val="000000"/>
                <w:sz w:val="21"/>
              </w:rPr>
              <w:t>乐动机器人</w:t>
            </w:r>
          </w:p>
        </w:tc>
        <w:tc>
          <w:tcPr>
            <w:tcW w:w="1712" w:type="pct"/>
            <w:tcBorders>
              <w:top w:val="single" w:sz="4" w:space="0" w:color="010000"/>
            </w:tcBorders>
            <w:vAlign w:val="center"/>
          </w:tcPr>
          <w:p>
            <w:pPr>
              <w:jc w:val="left"/>
            </w:pPr>
            <w:r/>
            <w:r>
              <w:rPr>
                <w:rFonts w:hint="eastAsia"/>
                <w:color w:val="000000"/>
                <w:sz w:val="21"/>
              </w:rPr>
              <w:t>2026年5月在港交所主板上市，国泰海通集团旗下国泰君安国际担任联席保荐人、保荐人兼整体协调人，携手海通国际共同完成发行。</w:t>
            </w:r>
          </w:p>
        </w:tc>
        <w:tc>
          <w:tcPr>
            <w:tcW w:w="1096" w:type="pct"/>
            <w:tcBorders>
              <w:top w:val="single" w:sz="4" w:space="0" w:color="010000"/>
            </w:tcBorders>
            <w:vAlign w:val="center"/>
          </w:tcPr>
          <w:p>
            <w:pPr>
              <w:jc w:val="left"/>
            </w:pPr>
            <w:r/>
            <w:r>
              <w:rPr>
                <w:rFonts w:hint="eastAsia"/>
                <w:color w:val="000000"/>
                <w:sz w:val="21"/>
              </w:rPr>
              <w:t>激光雷达及机器人核心传感与解决方案。</w:t>
            </w:r>
          </w:p>
        </w:tc>
        <w:tc>
          <w:tcPr>
            <w:tcW w:w="1712" w:type="pct"/>
            <w:tcBorders>
              <w:top w:val="single" w:sz="4" w:space="0" w:color="010000"/>
            </w:tcBorders>
            <w:vAlign w:val="center"/>
          </w:tcPr>
          <w:p>
            <w:pPr>
              <w:jc w:val="left"/>
            </w:pPr>
            <w:r/>
            <w:r>
              <w:rPr>
                <w:rFonts w:hint="eastAsia"/>
                <w:color w:val="000000"/>
                <w:sz w:val="21"/>
              </w:rPr>
              <w:t>本次发行总集资额约8.8亿港元。</w:t>
            </w:r>
          </w:p>
        </w:tc>
      </w:tr>
      <w:tr>
        <w:trPr>
          <w:cantSplit/>
          <w:jc w:val="center"/>
        </w:trPr>
        <w:tc>
          <w:tcPr>
            <w:tcW w:w="479" w:type="pct"/>
            <w:tcBorders>
              <w:top w:val="single" w:sz="4" w:space="0" w:color="010000"/>
            </w:tcBorders>
            <w:vAlign w:val="center"/>
          </w:tcPr>
          <w:p>
            <w:pPr>
              <w:jc w:val="left"/>
            </w:pPr>
            <w:r/>
            <w:r>
              <w:rPr>
                <w:rFonts w:hint="eastAsia"/>
                <w:color w:val="000000"/>
                <w:sz w:val="21"/>
              </w:rPr>
              <w:t>绿的谐波</w:t>
            </w:r>
          </w:p>
        </w:tc>
        <w:tc>
          <w:tcPr>
            <w:tcW w:w="1712" w:type="pct"/>
            <w:tcBorders>
              <w:top w:val="single" w:sz="4" w:space="0" w:color="010000"/>
            </w:tcBorders>
            <w:vAlign w:val="center"/>
          </w:tcPr>
          <w:p>
            <w:pPr>
              <w:jc w:val="left"/>
            </w:pPr>
            <w:r/>
            <w:r>
              <w:rPr>
                <w:rFonts w:hint="eastAsia"/>
                <w:color w:val="000000"/>
                <w:sz w:val="21"/>
              </w:rPr>
              <w:t>已在科创板上市，证券代码688017。</w:t>
            </w:r>
          </w:p>
        </w:tc>
        <w:tc>
          <w:tcPr>
            <w:tcW w:w="1096" w:type="pct"/>
            <w:tcBorders>
              <w:top w:val="single" w:sz="4" w:space="0" w:color="010000"/>
            </w:tcBorders>
            <w:vAlign w:val="center"/>
          </w:tcPr>
          <w:p>
            <w:pPr>
              <w:jc w:val="left"/>
            </w:pPr>
            <w:r/>
            <w:r>
              <w:rPr>
                <w:rFonts w:hint="eastAsia"/>
                <w:color w:val="000000"/>
                <w:sz w:val="21"/>
              </w:rPr>
              <w:t>谐波减速器、机电一体化产品及关节模组，国内谐波减速器龙头。</w:t>
            </w:r>
          </w:p>
        </w:tc>
        <w:tc>
          <w:tcPr>
            <w:tcW w:w="1712" w:type="pct"/>
            <w:tcBorders>
              <w:top w:val="single" w:sz="4" w:space="0" w:color="010000"/>
            </w:tcBorders>
            <w:vAlign w:val="center"/>
          </w:tcPr>
          <w:p>
            <w:pPr>
              <w:jc w:val="left"/>
            </w:pPr>
            <w:r/>
            <w:r>
              <w:rPr>
                <w:rFonts w:hint="eastAsia"/>
                <w:color w:val="000000"/>
                <w:sz w:val="21"/>
              </w:rPr>
              <w:t>2025年营业总收入5.71亿元，同比增长47.31%；归母净利润1.24亿元，同比增长121.42%；谐波减速器及金属部件销量42.52万台，同比增长72.48%；机电一体化业务收入0.74亿元。</w:t>
            </w:r>
          </w:p>
        </w:tc>
      </w:tr>
    </w:tbl>
    <w:p>
      <w:pPr>
        <w:pStyle w:val="a6"/>
      </w:pPr>
      <w:r>
        <w:rPr>
          <w:rFonts w:hint="eastAsia"/>
        </w:rPr>
        <w:t>数据来源：上海证券交易所、香港交易所公开披露文件，各公司年报及公告，公开新闻报道，本报告整理。</w:t>
      </w:r>
    </w:p>
    <w:p>
      <w:pPr>
        <w:pStyle w:val="3"/>
        <w:numPr>
          <w:ilvl w:val="0"/>
          <w:numId w:val="0"/>
        </w:numPr>
        <w:spacing w:before="156" w:after="156"/>
      </w:pPr>
      <w:r>
        <w:rPr>
          <w:rFonts w:hint="eastAsia"/>
        </w:rPr>
        <w:t>6.2 在审、已问询或已递表的企业</w:t>
      </w:r>
    </w:p>
    <w:p>
      <w:pPr>
        <w:keepNext/>
        <w:jc w:val="center"/>
      </w:pPr>
      <w:r>
        <w:rPr>
          <w:rFonts w:hint="eastAsia"/>
          <w:b/>
          <w:sz w:val="21"/>
        </w:rPr>
        <w:t>表9  在审、已问询或已递表的人形机器人产业链企业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9"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712" w:type="pct"/>
            <w:tcBorders>
              <w:top w:val="single" w:sz="12" w:space="0" w:color="010000"/>
              <w:bottom w:val="single" w:sz="4" w:space="0" w:color="010000"/>
            </w:tcBorders>
            <w:vAlign w:val="center"/>
          </w:tcPr>
          <w:p>
            <w:pPr>
              <w:keepNext/>
              <w:jc w:val="center"/>
            </w:pPr>
            <w:r/>
            <w:r>
              <w:rPr>
                <w:rFonts w:hint="eastAsia"/>
                <w:b/>
                <w:color w:val="000000"/>
                <w:sz w:val="21"/>
              </w:rPr>
              <w:t>上市进度</w:t>
            </w:r>
          </w:p>
        </w:tc>
        <w:tc>
          <w:tcPr>
            <w:tcW w:w="1233" w:type="pct"/>
            <w:tcBorders>
              <w:top w:val="single" w:sz="12" w:space="0" w:color="010000"/>
              <w:bottom w:val="single" w:sz="4" w:space="0" w:color="010000"/>
            </w:tcBorders>
            <w:vAlign w:val="center"/>
          </w:tcPr>
          <w:p>
            <w:pPr>
              <w:keepNext/>
              <w:jc w:val="center"/>
            </w:pPr>
            <w:r/>
            <w:r>
              <w:rPr>
                <w:rFonts w:hint="eastAsia"/>
                <w:b/>
                <w:color w:val="000000"/>
                <w:sz w:val="21"/>
              </w:rPr>
              <w:t>核心业务</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公开财务及估值信息</w:t>
            </w:r>
          </w:p>
        </w:tc>
      </w:tr>
      <w:tr>
        <w:trPr>
          <w:cantSplit/>
          <w:jc w:val="center"/>
        </w:trPr>
        <w:tc>
          <w:tcPr>
            <w:tcW w:w="479" w:type="pct"/>
            <w:tcBorders>
              <w:top w:val="single" w:sz="4" w:space="0" w:color="010000"/>
            </w:tcBorders>
            <w:vAlign w:val="center"/>
          </w:tcPr>
          <w:p>
            <w:pPr>
              <w:jc w:val="left"/>
            </w:pPr>
            <w:r/>
            <w:r>
              <w:rPr>
                <w:rFonts w:hint="eastAsia"/>
                <w:color w:val="000000"/>
                <w:sz w:val="21"/>
              </w:rPr>
              <w:t>乐聚智能</w:t>
            </w:r>
          </w:p>
        </w:tc>
        <w:tc>
          <w:tcPr>
            <w:tcW w:w="1712" w:type="pct"/>
            <w:tcBorders>
              <w:top w:val="single" w:sz="4" w:space="0" w:color="010000"/>
            </w:tcBorders>
            <w:vAlign w:val="center"/>
          </w:tcPr>
          <w:p>
            <w:pPr>
              <w:jc w:val="left"/>
            </w:pPr>
            <w:r/>
            <w:r>
              <w:rPr>
                <w:rFonts w:hint="eastAsia"/>
                <w:color w:val="000000"/>
                <w:sz w:val="21"/>
              </w:rPr>
              <w:t>创业板IPO于2026年5月19日获深交所受理，5月26日进入已问询状态；为首家适用创业板第四套上市标准获受理的企业，保荐人为东方证券。</w:t>
            </w:r>
          </w:p>
        </w:tc>
        <w:tc>
          <w:tcPr>
            <w:tcW w:w="1233" w:type="pct"/>
            <w:tcBorders>
              <w:top w:val="single" w:sz="4" w:space="0" w:color="010000"/>
            </w:tcBorders>
            <w:vAlign w:val="center"/>
          </w:tcPr>
          <w:p>
            <w:pPr>
              <w:jc w:val="left"/>
            </w:pPr>
            <w:r/>
            <w:r>
              <w:rPr>
                <w:rFonts w:hint="eastAsia"/>
                <w:color w:val="000000"/>
                <w:sz w:val="21"/>
              </w:rPr>
              <w:t>轻量化人形机器人整机及具身智能解决方案，已掌握全身运动控制算法等核心技术。</w:t>
            </w:r>
          </w:p>
        </w:tc>
        <w:tc>
          <w:tcPr>
            <w:tcW w:w="1575" w:type="pct"/>
            <w:tcBorders>
              <w:top w:val="single" w:sz="4" w:space="0" w:color="010000"/>
            </w:tcBorders>
            <w:vAlign w:val="center"/>
          </w:tcPr>
          <w:p>
            <w:pPr>
              <w:jc w:val="left"/>
            </w:pPr>
            <w:r/>
            <w:r>
              <w:rPr>
                <w:rFonts w:hint="eastAsia"/>
                <w:color w:val="000000"/>
                <w:sz w:val="21"/>
              </w:rPr>
              <w:t>拟募资26亿元，投向人形机器人产业化基地、具身智能研发中心及大规模数据集建设；2025年出货约1,000台；招股信息显示预计最早2028年盈利；股东包括腾讯、深创投。</w:t>
            </w:r>
          </w:p>
        </w:tc>
      </w:tr>
      <w:tr>
        <w:trPr>
          <w:cantSplit/>
          <w:jc w:val="center"/>
        </w:trPr>
        <w:tc>
          <w:tcPr>
            <w:tcW w:w="479" w:type="pct"/>
            <w:tcBorders>
              <w:top w:val="single" w:sz="4" w:space="0" w:color="010000"/>
            </w:tcBorders>
            <w:vAlign w:val="center"/>
          </w:tcPr>
          <w:p>
            <w:pPr>
              <w:jc w:val="left"/>
            </w:pPr>
            <w:r/>
            <w:r>
              <w:rPr>
                <w:rFonts w:hint="eastAsia"/>
                <w:color w:val="000000"/>
                <w:sz w:val="21"/>
              </w:rPr>
              <w:t>云深处科技</w:t>
            </w:r>
          </w:p>
        </w:tc>
        <w:tc>
          <w:tcPr>
            <w:tcW w:w="1712" w:type="pct"/>
            <w:tcBorders>
              <w:top w:val="single" w:sz="4" w:space="0" w:color="010000"/>
            </w:tcBorders>
            <w:vAlign w:val="center"/>
          </w:tcPr>
          <w:p>
            <w:pPr>
              <w:jc w:val="left"/>
            </w:pPr>
            <w:r/>
            <w:r>
              <w:rPr>
                <w:rFonts w:hint="eastAsia"/>
                <w:color w:val="000000"/>
                <w:sz w:val="21"/>
              </w:rPr>
              <w:t>2025年12月23日提交辅导备案，2026年5月18日科创板IPO审核状态变更为已受理，保荐机构为中信建投证券。</w:t>
            </w:r>
          </w:p>
        </w:tc>
        <w:tc>
          <w:tcPr>
            <w:tcW w:w="1233" w:type="pct"/>
            <w:tcBorders>
              <w:top w:val="single" w:sz="4" w:space="0" w:color="010000"/>
            </w:tcBorders>
            <w:vAlign w:val="center"/>
          </w:tcPr>
          <w:p>
            <w:pPr>
              <w:jc w:val="left"/>
            </w:pPr>
            <w:r/>
            <w:r>
              <w:rPr>
                <w:rFonts w:hint="eastAsia"/>
                <w:color w:val="000000"/>
                <w:sz w:val="21"/>
              </w:rPr>
              <w:t>高负载四足机器人及人形机器人，聚焦电力与矿山巡检。</w:t>
            </w:r>
          </w:p>
        </w:tc>
        <w:tc>
          <w:tcPr>
            <w:tcW w:w="1575" w:type="pct"/>
            <w:tcBorders>
              <w:top w:val="single" w:sz="4" w:space="0" w:color="010000"/>
            </w:tcBorders>
            <w:vAlign w:val="center"/>
          </w:tcPr>
          <w:p>
            <w:pPr>
              <w:jc w:val="left"/>
            </w:pPr>
            <w:r/>
            <w:r>
              <w:rPr>
                <w:rFonts w:hint="eastAsia"/>
                <w:color w:val="000000"/>
                <w:sz w:val="21"/>
              </w:rPr>
              <w:t>拟募资25.03亿元；四足机器人领域收入超过波士顿动力，已扭亏为盈；市场估值参考约139亿元。</w:t>
            </w:r>
          </w:p>
        </w:tc>
      </w:tr>
    </w:tbl>
    <w:p>
      <w:pPr>
        <w:pStyle w:val="a6"/>
      </w:pPr>
      <w:r>
        <w:rPr>
          <w:rFonts w:hint="eastAsia"/>
        </w:rPr>
        <w:t>数据来源：深圳证券交易所、上海证券交易所公开披露，公开新闻报道，本报告整理。</w:t>
      </w:r>
    </w:p>
    <w:p>
      <w:pPr>
        <w:pStyle w:val="3"/>
        <w:numPr>
          <w:ilvl w:val="0"/>
          <w:numId w:val="0"/>
        </w:numPr>
        <w:spacing w:before="156" w:after="156"/>
      </w:pPr>
      <w:r>
        <w:rPr>
          <w:rFonts w:hint="eastAsia"/>
        </w:rPr>
        <w:t>6.3 正在辅导备案或已完成股改的企业</w:t>
      </w:r>
    </w:p>
    <w:p>
      <w:pPr>
        <w:keepNext/>
        <w:jc w:val="center"/>
      </w:pPr>
      <w:r>
        <w:rPr>
          <w:rFonts w:hint="eastAsia"/>
          <w:b/>
          <w:sz w:val="21"/>
        </w:rPr>
        <w:t>表10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1301" w:type="pct"/>
            <w:tcBorders>
              <w:top w:val="single" w:sz="12" w:space="0" w:color="010000"/>
              <w:bottom w:val="single" w:sz="4" w:space="0" w:color="010000"/>
            </w:tcBorders>
            <w:vAlign w:val="center"/>
          </w:tcPr>
          <w:p>
            <w:pPr>
              <w:keepNext/>
              <w:jc w:val="center"/>
            </w:pPr>
            <w:r/>
            <w:r>
              <w:rPr>
                <w:rFonts w:hint="eastAsia"/>
                <w:b/>
                <w:color w:val="000000"/>
                <w:sz w:val="21"/>
              </w:rPr>
              <w:t>核心业务</w:t>
            </w:r>
          </w:p>
        </w:tc>
        <w:tc>
          <w:tcPr>
            <w:tcW w:w="1507" w:type="pct"/>
            <w:tcBorders>
              <w:top w:val="single" w:sz="12" w:space="0" w:color="010000"/>
              <w:bottom w:val="single" w:sz="4" w:space="0" w:color="010000"/>
            </w:tcBorders>
            <w:vAlign w:val="center"/>
          </w:tcPr>
          <w:p>
            <w:pPr>
              <w:keepNext/>
              <w:jc w:val="center"/>
            </w:pPr>
            <w:r/>
            <w:r>
              <w:rPr>
                <w:rFonts w:hint="eastAsia"/>
                <w:b/>
                <w:color w:val="000000"/>
                <w:sz w:val="21"/>
              </w:rPr>
              <w:t>公开财务及估值信息</w:t>
            </w:r>
          </w:p>
        </w:tc>
      </w:tr>
      <w:tr>
        <w:trPr>
          <w:cantSplit/>
          <w:jc w:val="center"/>
        </w:trPr>
        <w:tc>
          <w:tcPr>
            <w:tcW w:w="616" w:type="pct"/>
            <w:tcBorders>
              <w:top w:val="single" w:sz="4" w:space="0" w:color="010000"/>
            </w:tcBorders>
            <w:vAlign w:val="center"/>
          </w:tcPr>
          <w:p>
            <w:pPr>
              <w:jc w:val="left"/>
            </w:pPr>
            <w:r/>
            <w:r>
              <w:rPr>
                <w:rFonts w:hint="eastAsia"/>
                <w:color w:val="000000"/>
                <w:sz w:val="21"/>
              </w:rPr>
              <w:t>傅利叶智能</w:t>
            </w:r>
          </w:p>
        </w:tc>
        <w:tc>
          <w:tcPr>
            <w:tcW w:w="1575"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c>
          <w:tcPr>
            <w:tcW w:w="1301" w:type="pct"/>
            <w:tcBorders>
              <w:top w:val="single" w:sz="4" w:space="0" w:color="010000"/>
            </w:tcBorders>
            <w:vAlign w:val="center"/>
          </w:tcPr>
          <w:p>
            <w:pPr>
              <w:jc w:val="left"/>
            </w:pPr>
            <w:r/>
            <w:r>
              <w:rPr>
                <w:rFonts w:hint="eastAsia"/>
                <w:color w:val="000000"/>
                <w:sz w:val="21"/>
              </w:rPr>
              <w:t>由康复机器人切入通用人形赛道，GR系列全尺寸人形机器人，柔性力控技术领先。</w:t>
            </w:r>
          </w:p>
        </w:tc>
        <w:tc>
          <w:tcPr>
            <w:tcW w:w="1507" w:type="pct"/>
            <w:tcBorders>
              <w:top w:val="single" w:sz="4" w:space="0" w:color="010000"/>
            </w:tcBorders>
            <w:vAlign w:val="center"/>
          </w:tcPr>
          <w:p>
            <w:pPr>
              <w:jc w:val="left"/>
            </w:pPr>
            <w:r/>
            <w:r>
              <w:rPr>
                <w:rFonts w:hint="eastAsia"/>
                <w:color w:val="000000"/>
                <w:sz w:val="21"/>
              </w:rPr>
              <w:t>已实现数百台商业交付；尚处辅导阶段，未形成公开招股书。</w:t>
            </w:r>
          </w:p>
        </w:tc>
      </w:tr>
      <w:tr>
        <w:trPr>
          <w:cantSplit/>
          <w:jc w:val="center"/>
        </w:trPr>
        <w:tc>
          <w:tcPr>
            <w:tcW w:w="616" w:type="pct"/>
            <w:tcBorders>
              <w:top w:val="single" w:sz="4" w:space="0" w:color="010000"/>
            </w:tcBorders>
            <w:vAlign w:val="center"/>
          </w:tcPr>
          <w:p>
            <w:pPr>
              <w:jc w:val="left"/>
            </w:pPr>
            <w:r/>
            <w:r>
              <w:rPr>
                <w:rFonts w:hint="eastAsia"/>
                <w:color w:val="000000"/>
                <w:sz w:val="21"/>
              </w:rPr>
              <w:t>银河通用</w:t>
            </w:r>
          </w:p>
        </w:tc>
        <w:tc>
          <w:tcPr>
            <w:tcW w:w="1575" w:type="pct"/>
            <w:tcBorders>
              <w:top w:val="single" w:sz="4" w:space="0" w:color="010000"/>
            </w:tcBorders>
            <w:vAlign w:val="center"/>
          </w:tcPr>
          <w:p>
            <w:pPr>
              <w:jc w:val="left"/>
            </w:pPr>
            <w:r/>
            <w:r>
              <w:rPr>
                <w:rFonts w:hint="eastAsia"/>
                <w:color w:val="000000"/>
                <w:sz w:val="21"/>
              </w:rPr>
              <w:t>已完成股改，最新一轮融资被业内视为Pre-IPO轮，计划2026年下半年递交港股申请。</w:t>
            </w:r>
          </w:p>
        </w:tc>
        <w:tc>
          <w:tcPr>
            <w:tcW w:w="1301" w:type="pct"/>
            <w:tcBorders>
              <w:top w:val="single" w:sz="4" w:space="0" w:color="010000"/>
            </w:tcBorders>
            <w:vAlign w:val="center"/>
          </w:tcPr>
          <w:p>
            <w:pPr>
              <w:jc w:val="left"/>
            </w:pPr>
            <w:r/>
            <w:r>
              <w:rPr>
                <w:rFonts w:hint="eastAsia"/>
                <w:color w:val="000000"/>
                <w:sz w:val="21"/>
              </w:rPr>
              <w:t>轮式双臂人形机器人及具身智能大模型（银河星脑AstraBrain）。</w:t>
            </w:r>
          </w:p>
        </w:tc>
        <w:tc>
          <w:tcPr>
            <w:tcW w:w="1507" w:type="pct"/>
            <w:tcBorders>
              <w:top w:val="single" w:sz="4" w:space="0" w:color="010000"/>
            </w:tcBorders>
            <w:vAlign w:val="center"/>
          </w:tcPr>
          <w:p>
            <w:pPr>
              <w:jc w:val="left"/>
            </w:pPr>
            <w:r/>
            <w:r>
              <w:rPr>
                <w:rFonts w:hint="eastAsia"/>
                <w:color w:val="000000"/>
                <w:sz w:val="21"/>
              </w:rPr>
              <w:t>2026年3月完成25亿元D轮融资（国家大基金参与），累计融资超70亿元，估值约260亿元。</w:t>
            </w:r>
          </w:p>
        </w:tc>
      </w:tr>
      <w:tr>
        <w:trPr>
          <w:cantSplit/>
          <w:jc w:val="center"/>
        </w:trPr>
        <w:tc>
          <w:tcPr>
            <w:tcW w:w="616" w:type="pct"/>
            <w:tcBorders>
              <w:top w:val="single" w:sz="4" w:space="0" w:color="010000"/>
            </w:tcBorders>
            <w:vAlign w:val="center"/>
          </w:tcPr>
          <w:p>
            <w:pPr>
              <w:jc w:val="left"/>
            </w:pPr>
            <w:r/>
            <w:r>
              <w:rPr>
                <w:rFonts w:hint="eastAsia"/>
                <w:color w:val="000000"/>
                <w:sz w:val="21"/>
              </w:rPr>
              <w:t>众擎机器人</w:t>
            </w:r>
          </w:p>
        </w:tc>
        <w:tc>
          <w:tcPr>
            <w:tcW w:w="1575" w:type="pct"/>
            <w:tcBorders>
              <w:top w:val="single" w:sz="4" w:space="0" w:color="010000"/>
            </w:tcBorders>
            <w:vAlign w:val="center"/>
          </w:tcPr>
          <w:p>
            <w:pPr>
              <w:jc w:val="left"/>
            </w:pPr>
            <w:r/>
            <w:r>
              <w:rPr>
                <w:rFonts w:hint="eastAsia"/>
                <w:color w:val="000000"/>
                <w:sz w:val="21"/>
              </w:rPr>
              <w:t>已完成股改，明确上市计划。</w:t>
            </w:r>
          </w:p>
        </w:tc>
        <w:tc>
          <w:tcPr>
            <w:tcW w:w="1301" w:type="pct"/>
            <w:tcBorders>
              <w:top w:val="single" w:sz="4" w:space="0" w:color="010000"/>
            </w:tcBorders>
            <w:vAlign w:val="center"/>
          </w:tcPr>
          <w:p>
            <w:pPr>
              <w:jc w:val="left"/>
            </w:pPr>
            <w:r/>
            <w:r>
              <w:rPr>
                <w:rFonts w:hint="eastAsia"/>
                <w:color w:val="000000"/>
                <w:sz w:val="21"/>
              </w:rPr>
              <w:t>PM01等中小尺寸双足人形机器人。</w:t>
            </w:r>
          </w:p>
        </w:tc>
        <w:tc>
          <w:tcPr>
            <w:tcW w:w="1507" w:type="pct"/>
            <w:tcBorders>
              <w:top w:val="single" w:sz="4" w:space="0" w:color="010000"/>
            </w:tcBorders>
            <w:vAlign w:val="center"/>
          </w:tcPr>
          <w:p>
            <w:pPr>
              <w:jc w:val="left"/>
            </w:pPr>
            <w:r/>
            <w:r>
              <w:rPr>
                <w:rFonts w:hint="eastAsia"/>
                <w:color w:val="000000"/>
                <w:sz w:val="21"/>
              </w:rPr>
              <w:t>估值进入百亿元阵营；与多伦科技签署2,000台三年期框架采购协议。</w:t>
            </w:r>
          </w:p>
        </w:tc>
      </w:tr>
      <w:tr>
        <w:trPr>
          <w:cantSplit/>
          <w:jc w:val="center"/>
        </w:trPr>
        <w:tc>
          <w:tcPr>
            <w:tcW w:w="616" w:type="pct"/>
            <w:tcBorders>
              <w:top w:val="single" w:sz="4" w:space="0" w:color="010000"/>
            </w:tcBorders>
            <w:vAlign w:val="center"/>
          </w:tcPr>
          <w:p>
            <w:pPr>
              <w:jc w:val="left"/>
            </w:pPr>
            <w:r/>
            <w:r>
              <w:rPr>
                <w:rFonts w:hint="eastAsia"/>
                <w:color w:val="000000"/>
                <w:sz w:val="21"/>
              </w:rPr>
              <w:t>松延动力</w:t>
            </w:r>
          </w:p>
        </w:tc>
        <w:tc>
          <w:tcPr>
            <w:tcW w:w="1575" w:type="pct"/>
            <w:tcBorders>
              <w:top w:val="single" w:sz="4" w:space="0" w:color="010000"/>
            </w:tcBorders>
            <w:vAlign w:val="center"/>
          </w:tcPr>
          <w:p>
            <w:pPr>
              <w:jc w:val="left"/>
            </w:pPr>
            <w:r/>
            <w:r>
              <w:rPr>
                <w:rFonts w:hint="eastAsia"/>
                <w:color w:val="000000"/>
                <w:sz w:val="21"/>
              </w:rPr>
              <w:t>已完成股改。</w:t>
            </w:r>
          </w:p>
        </w:tc>
        <w:tc>
          <w:tcPr>
            <w:tcW w:w="1301" w:type="pct"/>
            <w:tcBorders>
              <w:top w:val="single" w:sz="4" w:space="0" w:color="010000"/>
            </w:tcBorders>
            <w:vAlign w:val="center"/>
          </w:tcPr>
          <w:p>
            <w:pPr>
              <w:jc w:val="left"/>
            </w:pPr>
            <w:r/>
            <w:r>
              <w:rPr>
                <w:rFonts w:hint="eastAsia"/>
                <w:color w:val="000000"/>
                <w:sz w:val="21"/>
              </w:rPr>
              <w:t>N2等中小尺寸双足人形机器人。</w:t>
            </w:r>
          </w:p>
        </w:tc>
        <w:tc>
          <w:tcPr>
            <w:tcW w:w="1507" w:type="pct"/>
            <w:tcBorders>
              <w:top w:val="single" w:sz="4" w:space="0" w:color="010000"/>
            </w:tcBorders>
            <w:vAlign w:val="center"/>
          </w:tcPr>
          <w:p>
            <w:pPr>
              <w:jc w:val="left"/>
            </w:pPr>
            <w:r/>
            <w:r>
              <w:rPr>
                <w:rFonts w:hint="eastAsia"/>
                <w:color w:val="000000"/>
                <w:sz w:val="21"/>
              </w:rPr>
              <w:t>2025年总订单超2,500台，合同总额超1亿元。</w:t>
            </w:r>
          </w:p>
        </w:tc>
      </w:tr>
      <w:tr>
        <w:trPr>
          <w:cantSplit/>
          <w:jc w:val="center"/>
        </w:trPr>
        <w:tc>
          <w:tcPr>
            <w:tcW w:w="616" w:type="pct"/>
            <w:tcBorders>
              <w:top w:val="single" w:sz="4" w:space="0" w:color="010000"/>
            </w:tcBorders>
            <w:vAlign w:val="center"/>
          </w:tcPr>
          <w:p>
            <w:pPr>
              <w:jc w:val="left"/>
            </w:pPr>
            <w:r/>
            <w:r>
              <w:rPr>
                <w:rFonts w:hint="eastAsia"/>
                <w:color w:val="000000"/>
                <w:sz w:val="21"/>
              </w:rPr>
              <w:t>星海图</w:t>
            </w:r>
          </w:p>
        </w:tc>
        <w:tc>
          <w:tcPr>
            <w:tcW w:w="1575" w:type="pct"/>
            <w:tcBorders>
              <w:top w:val="single" w:sz="4" w:space="0" w:color="010000"/>
            </w:tcBorders>
            <w:vAlign w:val="center"/>
          </w:tcPr>
          <w:p>
            <w:pPr>
              <w:jc w:val="left"/>
            </w:pPr>
            <w:r/>
            <w:r>
              <w:rPr>
                <w:rFonts w:hint="eastAsia"/>
                <w:color w:val="000000"/>
                <w:sz w:val="21"/>
              </w:rPr>
              <w:t>已完成股改，最新一轮融资被业内视为Pre-IPO轮。</w:t>
            </w:r>
          </w:p>
        </w:tc>
        <w:tc>
          <w:tcPr>
            <w:tcW w:w="1301" w:type="pct"/>
            <w:tcBorders>
              <w:top w:val="single" w:sz="4" w:space="0" w:color="010000"/>
            </w:tcBorders>
            <w:vAlign w:val="center"/>
          </w:tcPr>
          <w:p>
            <w:pPr>
              <w:jc w:val="left"/>
            </w:pPr>
            <w:r/>
            <w:r>
              <w:rPr>
                <w:rFonts w:hint="eastAsia"/>
                <w:color w:val="000000"/>
                <w:sz w:val="21"/>
              </w:rPr>
              <w:t>具身智能整机及模型。</w:t>
            </w:r>
          </w:p>
        </w:tc>
        <w:tc>
          <w:tcPr>
            <w:tcW w:w="1507" w:type="pct"/>
            <w:tcBorders>
              <w:top w:val="single" w:sz="4" w:space="0" w:color="010000"/>
            </w:tcBorders>
            <w:vAlign w:val="center"/>
          </w:tcPr>
          <w:p>
            <w:pPr>
              <w:jc w:val="left"/>
            </w:pPr>
            <w:r/>
            <w:r>
              <w:rPr>
                <w:rFonts w:hint="eastAsia"/>
                <w:color w:val="000000"/>
                <w:sz w:val="21"/>
              </w:rPr>
              <w:t>已进入百亿估值阵营。</w:t>
            </w:r>
          </w:p>
        </w:tc>
      </w:tr>
      <w:tr>
        <w:trPr>
          <w:cantSplit/>
          <w:jc w:val="center"/>
        </w:trPr>
        <w:tc>
          <w:tcPr>
            <w:tcW w:w="616" w:type="pct"/>
            <w:tcBorders>
              <w:top w:val="single" w:sz="4" w:space="0" w:color="010000"/>
            </w:tcBorders>
            <w:vAlign w:val="center"/>
          </w:tcPr>
          <w:p>
            <w:pPr>
              <w:jc w:val="left"/>
            </w:pPr>
            <w:r/>
            <w:r>
              <w:rPr>
                <w:rFonts w:hint="eastAsia"/>
                <w:color w:val="000000"/>
                <w:sz w:val="21"/>
              </w:rPr>
              <w:t>魔法原子</w:t>
            </w:r>
          </w:p>
        </w:tc>
        <w:tc>
          <w:tcPr>
            <w:tcW w:w="1575" w:type="pct"/>
            <w:tcBorders>
              <w:top w:val="single" w:sz="4" w:space="0" w:color="010000"/>
            </w:tcBorders>
            <w:vAlign w:val="center"/>
          </w:tcPr>
          <w:p>
            <w:pPr>
              <w:jc w:val="left"/>
            </w:pPr>
            <w:r/>
            <w:r>
              <w:rPr>
                <w:rFonts w:hint="eastAsia"/>
                <w:color w:val="000000"/>
                <w:sz w:val="21"/>
              </w:rPr>
              <w:t>正在推进上市准备，联合创始人表示最快可能在2026年登陆二级市场。</w:t>
            </w:r>
          </w:p>
        </w:tc>
        <w:tc>
          <w:tcPr>
            <w:tcW w:w="1301" w:type="pct"/>
            <w:tcBorders>
              <w:top w:val="single" w:sz="4" w:space="0" w:color="010000"/>
            </w:tcBorders>
            <w:vAlign w:val="center"/>
          </w:tcPr>
          <w:p>
            <w:pPr>
              <w:jc w:val="left"/>
            </w:pPr>
            <w:r/>
            <w:r>
              <w:rPr>
                <w:rFonts w:hint="eastAsia"/>
                <w:color w:val="000000"/>
                <w:sz w:val="21"/>
              </w:rPr>
              <w:t>人形机器人整机。</w:t>
            </w:r>
          </w:p>
        </w:tc>
        <w:tc>
          <w:tcPr>
            <w:tcW w:w="1507" w:type="pct"/>
            <w:tcBorders>
              <w:top w:val="single" w:sz="4" w:space="0" w:color="010000"/>
            </w:tcBorders>
            <w:vAlign w:val="center"/>
          </w:tcPr>
          <w:p>
            <w:pPr>
              <w:jc w:val="left"/>
            </w:pPr>
            <w:r/>
            <w:r>
              <w:rPr>
                <w:rFonts w:hint="eastAsia"/>
                <w:color w:val="000000"/>
                <w:sz w:val="21"/>
              </w:rPr>
              <w:t>未公开披露拟募金额和发行比例。</w:t>
            </w:r>
          </w:p>
        </w:tc>
      </w:tr>
      <w:tr>
        <w:trPr>
          <w:cantSplit/>
          <w:jc w:val="center"/>
        </w:trPr>
        <w:tc>
          <w:tcPr>
            <w:tcW w:w="616" w:type="pct"/>
            <w:tcBorders>
              <w:top w:val="single" w:sz="4" w:space="0" w:color="010000"/>
            </w:tcBorders>
            <w:vAlign w:val="center"/>
          </w:tcPr>
          <w:p>
            <w:pPr>
              <w:jc w:val="left"/>
            </w:pPr>
            <w:r/>
            <w:r>
              <w:rPr>
                <w:rFonts w:hint="eastAsia"/>
                <w:color w:val="000000"/>
                <w:sz w:val="21"/>
              </w:rPr>
              <w:t>精密传动/减速器类企业</w:t>
            </w:r>
          </w:p>
        </w:tc>
        <w:tc>
          <w:tcPr>
            <w:tcW w:w="1575" w:type="pct"/>
            <w:tcBorders>
              <w:top w:val="single" w:sz="4" w:space="0" w:color="010000"/>
            </w:tcBorders>
            <w:vAlign w:val="center"/>
          </w:tcPr>
          <w:p>
            <w:pPr>
              <w:jc w:val="left"/>
            </w:pPr>
            <w:r/>
            <w:r>
              <w:rPr>
                <w:rFonts w:hint="eastAsia"/>
                <w:color w:val="000000"/>
                <w:sz w:val="21"/>
              </w:rPr>
              <w:t>新剑传动、智同科技、纽氏达特、金力传动等已签署辅导协议并报送材料，集中于精密传动/RV减速器领域。</w:t>
            </w:r>
          </w:p>
        </w:tc>
        <w:tc>
          <w:tcPr>
            <w:tcW w:w="1301" w:type="pct"/>
            <w:tcBorders>
              <w:top w:val="single" w:sz="4" w:space="0" w:color="010000"/>
            </w:tcBorders>
            <w:vAlign w:val="center"/>
          </w:tcPr>
          <w:p>
            <w:pPr>
              <w:jc w:val="left"/>
            </w:pPr>
            <w:r/>
            <w:r>
              <w:rPr>
                <w:rFonts w:hint="eastAsia"/>
                <w:color w:val="000000"/>
                <w:sz w:val="21"/>
              </w:rPr>
              <w:t>RV减速器、精密传动部件。</w:t>
            </w:r>
          </w:p>
        </w:tc>
        <w:tc>
          <w:tcPr>
            <w:tcW w:w="1507" w:type="pct"/>
            <w:tcBorders>
              <w:top w:val="single" w:sz="4" w:space="0" w:color="010000"/>
            </w:tcBorders>
            <w:vAlign w:val="center"/>
          </w:tcPr>
          <w:p>
            <w:pPr>
              <w:jc w:val="left"/>
            </w:pPr>
            <w:r/>
            <w:r>
              <w:rPr>
                <w:rFonts w:hint="eastAsia"/>
                <w:color w:val="000000"/>
                <w:sz w:val="21"/>
              </w:rPr>
              <w:t>均处辅导阶段，未形成公开招股书。</w:t>
            </w:r>
          </w:p>
        </w:tc>
      </w:tr>
    </w:tbl>
    <w:p>
      <w:pPr>
        <w:pStyle w:val="a6"/>
      </w:pPr>
      <w:r>
        <w:rPr>
          <w:rFonts w:hint="eastAsia"/>
        </w:rPr>
        <w:t>数据来源：中国证监会及各地证监局辅导备案公示，公开新闻报道，本报告整理。辅导阶段企业尚未形成公开招股书，财务数据以公开报道为准。</w:t>
      </w:r>
    </w:p>
    <w:p>
      <w:pPr>
        <w:pStyle w:val="3"/>
        <w:numPr>
          <w:ilvl w:val="0"/>
          <w:numId w:val="0"/>
        </w:numPr>
        <w:spacing w:before="156" w:after="156"/>
      </w:pPr>
      <w:r>
        <w:rPr>
          <w:rFonts w:hint="eastAsia"/>
        </w:rPr>
        <w:t>6.4 通过上市公司平台实现资本化的企业</w:t>
      </w:r>
    </w:p>
    <w:p>
      <w:pPr>
        <w:keepNext/>
        <w:jc w:val="center"/>
      </w:pPr>
      <w:r>
        <w:rPr>
          <w:rFonts w:hint="eastAsia"/>
          <w:b/>
          <w:sz w:val="21"/>
        </w:rPr>
        <w:t>表11  通过上市公司平台实现资本化的企业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9"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233" w:type="pct"/>
            <w:tcBorders>
              <w:top w:val="single" w:sz="12" w:space="0" w:color="010000"/>
              <w:bottom w:val="single" w:sz="4" w:space="0" w:color="010000"/>
            </w:tcBorders>
            <w:vAlign w:val="center"/>
          </w:tcPr>
          <w:p>
            <w:pPr>
              <w:keepNext/>
              <w:jc w:val="center"/>
            </w:pPr>
            <w:r/>
            <w:r>
              <w:rPr>
                <w:rFonts w:hint="eastAsia"/>
                <w:b/>
                <w:color w:val="000000"/>
                <w:sz w:val="21"/>
              </w:rPr>
              <w:t>资本化方式</w:t>
            </w:r>
          </w:p>
        </w:tc>
        <w:tc>
          <w:tcPr>
            <w:tcW w:w="1712" w:type="pct"/>
            <w:tcBorders>
              <w:top w:val="single" w:sz="12" w:space="0" w:color="010000"/>
              <w:bottom w:val="single" w:sz="4" w:space="0" w:color="010000"/>
            </w:tcBorders>
            <w:vAlign w:val="center"/>
          </w:tcPr>
          <w:p>
            <w:pPr>
              <w:keepNext/>
              <w:jc w:val="center"/>
            </w:pPr>
            <w:r/>
            <w:r>
              <w:rPr>
                <w:rFonts w:hint="eastAsia"/>
                <w:b/>
                <w:color w:val="000000"/>
                <w:sz w:val="21"/>
              </w:rPr>
              <w:t>交易要点</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公开财务及估值信息</w:t>
            </w:r>
          </w:p>
        </w:tc>
      </w:tr>
      <w:tr>
        <w:trPr>
          <w:cantSplit/>
          <w:jc w:val="center"/>
        </w:trPr>
        <w:tc>
          <w:tcPr>
            <w:tcW w:w="479" w:type="pct"/>
            <w:tcBorders>
              <w:top w:val="single" w:sz="4" w:space="0" w:color="010000"/>
            </w:tcBorders>
            <w:vAlign w:val="center"/>
          </w:tcPr>
          <w:p>
            <w:pPr>
              <w:jc w:val="left"/>
            </w:pPr>
            <w:r/>
            <w:r>
              <w:rPr>
                <w:rFonts w:hint="eastAsia"/>
                <w:color w:val="000000"/>
                <w:sz w:val="21"/>
              </w:rPr>
              <w:t>智元机器人</w:t>
            </w:r>
          </w:p>
        </w:tc>
        <w:tc>
          <w:tcPr>
            <w:tcW w:w="1233" w:type="pct"/>
            <w:tcBorders>
              <w:top w:val="single" w:sz="4" w:space="0" w:color="010000"/>
            </w:tcBorders>
            <w:vAlign w:val="center"/>
          </w:tcPr>
          <w:p>
            <w:pPr>
              <w:jc w:val="left"/>
            </w:pPr>
            <w:r/>
            <w:r>
              <w:rPr>
                <w:rFonts w:hint="eastAsia"/>
                <w:color w:val="000000"/>
                <w:sz w:val="21"/>
              </w:rPr>
              <w:t>通过"协议转让＋部分要约收购"取得A股上市公司上纬新材（688585.SH）控股权。</w:t>
            </w:r>
          </w:p>
        </w:tc>
        <w:tc>
          <w:tcPr>
            <w:tcW w:w="1712" w:type="pct"/>
            <w:tcBorders>
              <w:top w:val="single" w:sz="4" w:space="0" w:color="010000"/>
            </w:tcBorders>
            <w:vAlign w:val="center"/>
          </w:tcPr>
          <w:p>
            <w:pPr>
              <w:jc w:val="left"/>
            </w:pPr>
            <w:r/>
            <w:r>
              <w:rPr>
                <w:rFonts w:hint="eastAsia"/>
                <w:color w:val="000000"/>
                <w:sz w:val="21"/>
              </w:rPr>
              <w:t>2025年7月8日先行受让29.99%股份；9月23日完成过户登记，合计21亿元对价取得66.99%控股权，公司董事长、CEO邓泰华成为上市公司实际控制人。公司回应称不构成重组上市，不属于借壳上市。</w:t>
            </w:r>
          </w:p>
        </w:tc>
        <w:tc>
          <w:tcPr>
            <w:tcW w:w="1575" w:type="pct"/>
            <w:tcBorders>
              <w:top w:val="single" w:sz="4" w:space="0" w:color="010000"/>
            </w:tcBorders>
            <w:vAlign w:val="center"/>
          </w:tcPr>
          <w:p>
            <w:pPr>
              <w:jc w:val="left"/>
            </w:pPr>
            <w:r/>
            <w:r>
              <w:rPr>
                <w:rFonts w:hint="eastAsia"/>
                <w:color w:val="000000"/>
                <w:sz w:val="21"/>
              </w:rPr>
              <w:t>上纬新材2024年营业收入14.94亿元，交易对应约1.4倍市销率；要约收购价格7.78元/股，截至2025年9月24日收盘上纬新材股价已达112.7元/股。该安排为高瓴、红杉、腾讯等投资人提供了未来通过上市公司定增退出的路径。</w:t>
            </w:r>
          </w:p>
        </w:tc>
      </w:tr>
    </w:tbl>
    <w:p>
      <w:pPr>
        <w:pStyle w:val="a6"/>
      </w:pPr>
      <w:r>
        <w:rPr>
          <w:rFonts w:hint="eastAsia"/>
        </w:rPr>
        <w:t>数据来源：上纬新材（688585.SH）公告，公开新闻报道，本报告整理。</w:t>
      </w:r>
    </w:p>
    <w:p>
      <w:pPr>
        <w:pStyle w:val="3"/>
        <w:numPr>
          <w:ilvl w:val="0"/>
          <w:numId w:val="0"/>
        </w:numPr>
        <w:spacing w:before="156" w:after="156"/>
      </w:pPr>
      <w:r>
        <w:rPr>
          <w:rFonts w:hint="eastAsia"/>
        </w:rPr>
        <w:t>6.5 资本化特征小结</w:t>
      </w:r>
    </w:p>
    <w:p>
      <w:pPr>
        <w:pStyle w:val="a0"/>
      </w:pPr>
      <w:r>
        <w:rPr>
          <w:rFonts w:hint="eastAsia"/>
        </w:rPr>
        <w:t>综合来看，本轮人形机器人产业链的资本化呈现四个特征。第一，通道多元：A股科创板第五套标准与创业板第四套标准同时向未盈利的具身智能企业开放，港股18C特专科技通道承接高研发投入企业，形成"A股＋港股"双通道格局。第二，审核提速：宇树科技从受理到证监会同意注册仅104天，创下科创板最快全流程审核纪录，反映监管对该赛道的支持态度。第三，估值分层明显：整机头部企业估值在百亿至数百亿元量级（宇树发行估值约420亿元、银河通用约260亿元、智平方超200亿元），而零部件企业估值显著低于整机（来福谐波发行前估值约15亿元），说明当前资本市场对"整机＋模型"给予的溢价远高于纯零部件。第四，盈利尚未普及：乐聚智能招股信息预计最早2028年盈利，来福谐波三年连续亏损，说明多数产业链企业仍处于以规模换份额的阶段。</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的是量产交付规模、头部客户导入情况和毛利率趋势，而非短期利润。若要在未来两三年内推进资本化，需要在这三项指标上形成可验证的进展。</w:t>
      </w:r>
    </w:p>
    <w:p/>
    <w:p/>
    <w:p>
      <w:pPr>
        <w:pStyle w:val="2"/>
        <w:spacing w:before="156" w:after="156"/>
      </w:pPr>
      <w:r>
        <w:rPr>
          <w:rFonts w:hint="eastAsia"/>
          <w:b/>
        </w:rPr>
        <w:t>与国泰海通相关的产业链公司</w:t>
      </w:r>
    </w:p>
    <w:p>
      <w:pPr>
        <w:pStyle w:val="a0"/>
      </w:pPr>
      <w:r>
        <w:rPr>
          <w:rFonts w:hint="eastAsia"/>
        </w:rPr>
        <w:t>本章梳理国泰海通证券股份有限公司（以下简称"国泰海通"，由国泰君安证券与海通证券于2025年3月14日合并而成）及其下属机构在人形机器人及相关产业链中的保荐承销、上市辅导和股权投资情况。以下信息均来自交易所公开披露文件、监管机构辅导备案公示及公开报道。需要说明的是，证券公司的在审项目、辅导项目和股权投资组合并非全部对外披露，本章仅覆盖可公开检索到的部分，不构成完整清单。</w:t>
      </w:r>
    </w:p>
    <w:p>
      <w:pPr>
        <w:pStyle w:val="3"/>
        <w:numPr>
          <w:ilvl w:val="0"/>
          <w:numId w:val="0"/>
        </w:numPr>
        <w:spacing w:before="156" w:after="156"/>
      </w:pPr>
      <w:r>
        <w:rPr>
          <w:rFonts w:hint="eastAsia"/>
        </w:rPr>
        <w:t>7.1 国泰海通的整体投行业务位置</w:t>
      </w:r>
    </w:p>
    <w:p>
      <w:pPr>
        <w:pStyle w:val="a0"/>
      </w:pPr>
      <w:r>
        <w:rPr>
          <w:rFonts w:hint="eastAsia"/>
        </w:rPr>
        <w:t>国泰海通合并后在A股股权承销业务中处于领先位置。据公开统计，2026年上半年国泰海通以13单A股IPO保荐上市数量位居行业第一，市占率约18.3%，较第二名领先4单；承销金额646亿元位列行业第三；在IPO受理家数及在审家数上与华泰联合并列前二。这一业务体量意味着，在2026—2027年人形机器人产业链集中IPO的窗口期，国泰海通具备较强的项目承接能力。</w:t>
      </w:r>
    </w:p>
    <w:p>
      <w:pPr>
        <w:pStyle w:val="3"/>
        <w:numPr>
          <w:ilvl w:val="0"/>
          <w:numId w:val="0"/>
        </w:numPr>
        <w:spacing w:before="156" w:after="156"/>
      </w:pPr>
      <w:r>
        <w:rPr>
          <w:rFonts w:hint="eastAsia"/>
        </w:rPr>
        <w:t>7.2 保荐与承销业务</w:t>
      </w:r>
    </w:p>
    <w:p>
      <w:pPr>
        <w:keepNext/>
        <w:jc w:val="center"/>
      </w:pPr>
      <w:r>
        <w:rPr>
          <w:rFonts w:hint="eastAsia"/>
          <w:b/>
          <w:sz w:val="21"/>
        </w:rPr>
        <w:t>表12  国泰海通保荐或承销的机器人产业链相关公司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38"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2705"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1557" w:type="pct"/>
            <w:tcBorders>
              <w:top w:val="single" w:sz="12" w:space="0" w:color="010000"/>
              <w:bottom w:val="single" w:sz="4" w:space="0" w:color="010000"/>
            </w:tcBorders>
            <w:vAlign w:val="center"/>
          </w:tcPr>
          <w:p>
            <w:pPr>
              <w:keepNext/>
              <w:jc w:val="center"/>
            </w:pPr>
            <w:r/>
            <w:r>
              <w:rPr>
                <w:rFonts w:hint="eastAsia"/>
                <w:b/>
                <w:color w:val="000000"/>
                <w:sz w:val="21"/>
              </w:rPr>
              <w:t>业务与产业链定位</w:t>
            </w:r>
          </w:p>
        </w:tc>
      </w:tr>
      <w:tr>
        <w:trPr>
          <w:cantSplit/>
          <w:jc w:val="center"/>
        </w:trPr>
        <w:tc>
          <w:tcPr>
            <w:tcW w:w="738" w:type="pct"/>
            <w:tcBorders>
              <w:top w:val="single" w:sz="4" w:space="0" w:color="010000"/>
            </w:tcBorders>
            <w:vAlign w:val="center"/>
          </w:tcPr>
          <w:p>
            <w:pPr>
              <w:jc w:val="left"/>
            </w:pPr>
            <w:r/>
            <w:r>
              <w:rPr>
                <w:rFonts w:hint="eastAsia"/>
                <w:color w:val="000000"/>
                <w:sz w:val="21"/>
              </w:rPr>
              <w:t>乐动机器人</w:t>
            </w:r>
          </w:p>
        </w:tc>
        <w:tc>
          <w:tcPr>
            <w:tcW w:w="2705" w:type="pct"/>
            <w:tcBorders>
              <w:top w:val="single" w:sz="4" w:space="0" w:color="010000"/>
            </w:tcBorders>
            <w:vAlign w:val="center"/>
          </w:tcPr>
          <w:p>
            <w:pPr>
              <w:jc w:val="left"/>
            </w:pPr>
            <w:r/>
            <w:r>
              <w:rPr>
                <w:rFonts w:hint="eastAsia"/>
                <w:color w:val="000000"/>
                <w:sz w:val="21"/>
              </w:rPr>
              <w:t>2026年5月在港交所主板上市，国泰海通集团下属国泰君安国际控股有限公司担任联席保荐人、保荐人兼整体协调人，携手集团旗下海通国际共同完成发行，总集资额约8.8亿港元。</w:t>
            </w:r>
          </w:p>
        </w:tc>
        <w:tc>
          <w:tcPr>
            <w:tcW w:w="1557" w:type="pct"/>
            <w:tcBorders>
              <w:top w:val="single" w:sz="4" w:space="0" w:color="010000"/>
            </w:tcBorders>
            <w:vAlign w:val="center"/>
          </w:tcPr>
          <w:p>
            <w:pPr>
              <w:jc w:val="left"/>
            </w:pPr>
            <w:r/>
            <w:r>
              <w:rPr>
                <w:rFonts w:hint="eastAsia"/>
                <w:color w:val="000000"/>
                <w:sz w:val="21"/>
              </w:rPr>
              <w:t>激光雷达及机器人核心传感与解决方案，属于机器人感知环节。</w:t>
            </w:r>
          </w:p>
        </w:tc>
      </w:tr>
      <w:tr>
        <w:trPr>
          <w:cantSplit/>
          <w:jc w:val="center"/>
        </w:trPr>
        <w:tc>
          <w:tcPr>
            <w:tcW w:w="738" w:type="pct"/>
            <w:tcBorders>
              <w:top w:val="single" w:sz="4" w:space="0" w:color="010000"/>
            </w:tcBorders>
            <w:vAlign w:val="center"/>
          </w:tcPr>
          <w:p>
            <w:pPr>
              <w:jc w:val="left"/>
            </w:pPr>
            <w:r/>
            <w:r>
              <w:rPr>
                <w:rFonts w:hint="eastAsia"/>
                <w:color w:val="000000"/>
                <w:sz w:val="21"/>
              </w:rPr>
              <w:t>晋拓科技（603211.SH）</w:t>
            </w:r>
          </w:p>
        </w:tc>
        <w:tc>
          <w:tcPr>
            <w:tcW w:w="2705" w:type="pct"/>
            <w:tcBorders>
              <w:top w:val="single" w:sz="4" w:space="0" w:color="010000"/>
            </w:tcBorders>
            <w:vAlign w:val="center"/>
          </w:tcPr>
          <w:p>
            <w:pPr>
              <w:jc w:val="left"/>
            </w:pPr>
            <w:r/>
            <w:r>
              <w:rPr>
                <w:rFonts w:hint="eastAsia"/>
                <w:color w:val="000000"/>
                <w:sz w:val="21"/>
              </w:rPr>
              <w:t>国泰海通证券担任公司2026年度向特定对象发行股票的保荐人（主承销商）。</w:t>
            </w:r>
          </w:p>
        </w:tc>
        <w:tc>
          <w:tcPr>
            <w:tcW w:w="1557" w:type="pct"/>
            <w:tcBorders>
              <w:top w:val="single" w:sz="4" w:space="0" w:color="010000"/>
            </w:tcBorders>
            <w:vAlign w:val="center"/>
          </w:tcPr>
          <w:p>
            <w:pPr>
              <w:jc w:val="left"/>
            </w:pPr>
            <w:r/>
            <w:r>
              <w:rPr>
                <w:rFonts w:hint="eastAsia"/>
                <w:color w:val="000000"/>
                <w:sz w:val="21"/>
              </w:rPr>
              <w:t>机器人零部件企业，核心产品覆盖机器人手臂、腿部、关节臂等关键结构部件，与关节模组环节的结构件配套相关。</w:t>
            </w:r>
          </w:p>
        </w:tc>
      </w:tr>
      <w:tr>
        <w:trPr>
          <w:cantSplit/>
          <w:jc w:val="center"/>
        </w:trPr>
        <w:tc>
          <w:tcPr>
            <w:tcW w:w="738" w:type="pct"/>
            <w:tcBorders>
              <w:top w:val="single" w:sz="4" w:space="0" w:color="010000"/>
            </w:tcBorders>
            <w:vAlign w:val="center"/>
          </w:tcPr>
          <w:p>
            <w:pPr>
              <w:jc w:val="left"/>
            </w:pPr>
            <w:r/>
            <w:r>
              <w:rPr>
                <w:rFonts w:hint="eastAsia"/>
                <w:color w:val="000000"/>
                <w:sz w:val="21"/>
              </w:rPr>
              <w:t>新睿电子</w:t>
            </w:r>
          </w:p>
        </w:tc>
        <w:tc>
          <w:tcPr>
            <w:tcW w:w="2705" w:type="pct"/>
            <w:tcBorders>
              <w:top w:val="single" w:sz="4" w:space="0" w:color="010000"/>
            </w:tcBorders>
            <w:vAlign w:val="center"/>
          </w:tcPr>
          <w:p>
            <w:pPr>
              <w:jc w:val="left"/>
            </w:pPr>
            <w:r/>
            <w:r>
              <w:rPr>
                <w:rFonts w:hint="eastAsia"/>
                <w:color w:val="000000"/>
                <w:sz w:val="21"/>
              </w:rPr>
              <w:t>国泰海通证券担任临海市新睿电子科技股份有限公司向不特定合格投资者公开发行股票并在北京证券交易所上市的保荐人（主承销商）。</w:t>
            </w:r>
          </w:p>
        </w:tc>
        <w:tc>
          <w:tcPr>
            <w:tcW w:w="1557" w:type="pct"/>
            <w:tcBorders>
              <w:top w:val="single" w:sz="4" w:space="0" w:color="010000"/>
            </w:tcBorders>
            <w:vAlign w:val="center"/>
          </w:tcPr>
          <w:p>
            <w:pPr>
              <w:jc w:val="left"/>
            </w:pPr>
            <w:r/>
            <w:r>
              <w:rPr>
                <w:rFonts w:hint="eastAsia"/>
                <w:color w:val="000000"/>
                <w:sz w:val="21"/>
              </w:rPr>
              <w:t>国家级高新技术企业，专注工业机器人控制系统，属于机器人控制环节。</w:t>
            </w:r>
          </w:p>
        </w:tc>
      </w:tr>
      <w:tr>
        <w:trPr>
          <w:cantSplit/>
          <w:jc w:val="center"/>
        </w:trPr>
        <w:tc>
          <w:tcPr>
            <w:tcW w:w="738" w:type="pct"/>
            <w:tcBorders>
              <w:top w:val="single" w:sz="4" w:space="0" w:color="010000"/>
            </w:tcBorders>
            <w:vAlign w:val="center"/>
          </w:tcPr>
          <w:p>
            <w:pPr>
              <w:jc w:val="left"/>
            </w:pPr>
            <w:r/>
            <w:r>
              <w:rPr>
                <w:rFonts w:hint="eastAsia"/>
                <w:color w:val="000000"/>
                <w:sz w:val="21"/>
              </w:rPr>
              <w:t>三瑞智能</w:t>
            </w:r>
          </w:p>
        </w:tc>
        <w:tc>
          <w:tcPr>
            <w:tcW w:w="2705" w:type="pct"/>
            <w:tcBorders>
              <w:top w:val="single" w:sz="4" w:space="0" w:color="010000"/>
            </w:tcBorders>
            <w:vAlign w:val="center"/>
          </w:tcPr>
          <w:p>
            <w:pPr>
              <w:jc w:val="left"/>
            </w:pPr>
            <w:r/>
            <w:r>
              <w:rPr>
                <w:rFonts w:hint="eastAsia"/>
                <w:color w:val="000000"/>
                <w:sz w:val="21"/>
              </w:rPr>
              <w:t>国泰海通证券担任南昌三瑞智能科技股份有限公司首次公开发行股票并在创业板上市的保荐人（主承销商）。</w:t>
            </w:r>
          </w:p>
        </w:tc>
        <w:tc>
          <w:tcPr>
            <w:tcW w:w="1557" w:type="pct"/>
            <w:tcBorders>
              <w:top w:val="single" w:sz="4" w:space="0" w:color="010000"/>
            </w:tcBorders>
            <w:vAlign w:val="center"/>
          </w:tcPr>
          <w:p>
            <w:pPr>
              <w:jc w:val="left"/>
            </w:pPr>
            <w:r/>
            <w:r>
              <w:rPr>
                <w:rFonts w:hint="eastAsia"/>
                <w:color w:val="000000"/>
                <w:sz w:val="21"/>
              </w:rPr>
              <w:t>智能装备制造相关企业。</w:t>
            </w:r>
          </w:p>
        </w:tc>
      </w:tr>
    </w:tbl>
    <w:p>
      <w:pPr>
        <w:pStyle w:val="a6"/>
      </w:pPr>
      <w:r>
        <w:rPr>
          <w:rFonts w:hint="eastAsia"/>
        </w:rPr>
        <w:t>数据来源：上海证券交易所、深圳证券交易所、全国中小企业股份转让系统公开披露的发行保荐书及上市保荐书，公开新闻报道，本报告整理。</w:t>
      </w:r>
    </w:p>
    <w:p>
      <w:pPr>
        <w:pStyle w:val="3"/>
        <w:numPr>
          <w:ilvl w:val="0"/>
          <w:numId w:val="0"/>
        </w:numPr>
        <w:spacing w:before="156" w:after="156"/>
      </w:pPr>
      <w:r>
        <w:rPr>
          <w:rFonts w:hint="eastAsia"/>
        </w:rPr>
        <w:t>7.3 上市辅导业务</w:t>
      </w:r>
    </w:p>
    <w:p>
      <w:pPr>
        <w:keepNext/>
        <w:jc w:val="center"/>
      </w:pPr>
      <w:r>
        <w:rPr>
          <w:rFonts w:hint="eastAsia"/>
          <w:b/>
          <w:sz w:val="21"/>
        </w:rPr>
        <w:t>表13  国泰海通担任辅导机构的相关公司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1066"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803" w:type="pct"/>
            <w:tcBorders>
              <w:top w:val="single" w:sz="12" w:space="0" w:color="010000"/>
              <w:bottom w:val="single" w:sz="4" w:space="0" w:color="010000"/>
            </w:tcBorders>
            <w:vAlign w:val="center"/>
          </w:tcPr>
          <w:p>
            <w:pPr>
              <w:keepNext/>
              <w:jc w:val="center"/>
            </w:pPr>
            <w:r/>
            <w:r>
              <w:rPr>
                <w:rFonts w:hint="eastAsia"/>
                <w:b/>
                <w:color w:val="000000"/>
                <w:sz w:val="21"/>
              </w:rPr>
              <w:t>辅导备案情况</w:t>
            </w:r>
          </w:p>
        </w:tc>
        <w:tc>
          <w:tcPr>
            <w:tcW w:w="2131" w:type="pct"/>
            <w:tcBorders>
              <w:top w:val="single" w:sz="12" w:space="0" w:color="010000"/>
              <w:bottom w:val="single" w:sz="4" w:space="0" w:color="010000"/>
            </w:tcBorders>
            <w:vAlign w:val="center"/>
          </w:tcPr>
          <w:p>
            <w:pPr>
              <w:keepNext/>
              <w:jc w:val="center"/>
            </w:pPr>
            <w:r/>
            <w:r>
              <w:rPr>
                <w:rFonts w:hint="eastAsia"/>
                <w:b/>
                <w:color w:val="000000"/>
                <w:sz w:val="21"/>
              </w:rPr>
              <w:t>业务定位与相关性</w:t>
            </w:r>
          </w:p>
        </w:tc>
      </w:tr>
      <w:tr>
        <w:trPr>
          <w:cantSplit/>
          <w:jc w:val="center"/>
        </w:trPr>
        <w:tc>
          <w:tcPr>
            <w:tcW w:w="1066" w:type="pct"/>
            <w:tcBorders>
              <w:top w:val="single" w:sz="4" w:space="0" w:color="010000"/>
            </w:tcBorders>
            <w:vAlign w:val="center"/>
          </w:tcPr>
          <w:p>
            <w:pPr>
              <w:jc w:val="left"/>
            </w:pPr>
            <w:r/>
            <w:r>
              <w:rPr>
                <w:rFonts w:hint="eastAsia"/>
                <w:color w:val="000000"/>
                <w:sz w:val="21"/>
              </w:rPr>
              <w:t>镭神技术（深圳）股份有限公司</w:t>
            </w:r>
          </w:p>
        </w:tc>
        <w:tc>
          <w:tcPr>
            <w:tcW w:w="1803" w:type="pct"/>
            <w:tcBorders>
              <w:top w:val="single" w:sz="4" w:space="0" w:color="010000"/>
            </w:tcBorders>
            <w:vAlign w:val="center"/>
          </w:tcPr>
          <w:p>
            <w:pPr>
              <w:jc w:val="left"/>
            </w:pPr>
            <w:r/>
            <w:r>
              <w:rPr>
                <w:rFonts w:hint="eastAsia"/>
                <w:color w:val="000000"/>
                <w:sz w:val="21"/>
              </w:rPr>
              <w:t>2026年4月15日启动上市辅导，辅导机构为国泰海通证券，已在深圳证监局办理辅导备案登记。</w:t>
            </w:r>
          </w:p>
        </w:tc>
        <w:tc>
          <w:tcPr>
            <w:tcW w:w="2131" w:type="pct"/>
            <w:tcBorders>
              <w:top w:val="single" w:sz="4" w:space="0" w:color="010000"/>
            </w:tcBorders>
            <w:vAlign w:val="center"/>
          </w:tcPr>
          <w:p>
            <w:pPr>
              <w:jc w:val="left"/>
            </w:pPr>
            <w:r/>
            <w:r>
              <w:rPr>
                <w:rFonts w:hint="eastAsia"/>
                <w:color w:val="000000"/>
                <w:sz w:val="21"/>
              </w:rPr>
              <w:t>成立于2017年10月，为光通信、半导体行业提供精密装备和系统化解决方案，精密耦合设备国内市场占有率超50%，累计交付高精密设备超600台。属于精密装备制造，与机器人产业链非直接相关，此处列出以说明国泰海通在精密制造领域的辅导布局。</w:t>
            </w:r>
          </w:p>
        </w:tc>
      </w:tr>
      <w:tr>
        <w:trPr>
          <w:cantSplit/>
          <w:jc w:val="center"/>
        </w:trPr>
        <w:tc>
          <w:tcPr>
            <w:tcW w:w="1066" w:type="pct"/>
            <w:tcBorders>
              <w:top w:val="single" w:sz="4" w:space="0" w:color="010000"/>
            </w:tcBorders>
            <w:vAlign w:val="center"/>
          </w:tcPr>
          <w:p>
            <w:pPr>
              <w:jc w:val="left"/>
            </w:pPr>
            <w:r/>
            <w:r>
              <w:rPr>
                <w:rFonts w:hint="eastAsia"/>
                <w:color w:val="000000"/>
                <w:sz w:val="21"/>
              </w:rPr>
              <w:t>智谱</w:t>
            </w:r>
          </w:p>
        </w:tc>
        <w:tc>
          <w:tcPr>
            <w:tcW w:w="1803" w:type="pct"/>
            <w:tcBorders>
              <w:top w:val="single" w:sz="4" w:space="0" w:color="010000"/>
            </w:tcBorders>
            <w:vAlign w:val="center"/>
          </w:tcPr>
          <w:p>
            <w:pPr>
              <w:jc w:val="left"/>
            </w:pPr>
            <w:r/>
            <w:r>
              <w:rPr>
                <w:rFonts w:hint="eastAsia"/>
                <w:color w:val="000000"/>
                <w:sz w:val="21"/>
              </w:rPr>
              <w:t>2026年2月公开信息显示，公司撤回2025年4月提交的辅导备案并重新办理备案登记，IPO辅导机构变更为国泰海通证券和中金公司两家。</w:t>
            </w:r>
          </w:p>
        </w:tc>
        <w:tc>
          <w:tcPr>
            <w:tcW w:w="2131" w:type="pct"/>
            <w:tcBorders>
              <w:top w:val="single" w:sz="4" w:space="0" w:color="010000"/>
            </w:tcBorders>
            <w:vAlign w:val="center"/>
          </w:tcPr>
          <w:p>
            <w:pPr>
              <w:jc w:val="left"/>
            </w:pPr>
            <w:r/>
            <w:r>
              <w:rPr>
                <w:rFonts w:hint="eastAsia"/>
                <w:color w:val="000000"/>
                <w:sz w:val="21"/>
              </w:rPr>
              <w:t>人工智能大模型企业。具身智能的"大脑"层依赖多模态大模型能力，与人形机器人产业链在算法层存在关联。</w:t>
            </w:r>
          </w:p>
        </w:tc>
      </w:tr>
      <w:tr>
        <w:trPr>
          <w:cantSplit/>
          <w:jc w:val="center"/>
        </w:trPr>
        <w:tc>
          <w:tcPr>
            <w:tcW w:w="1066" w:type="pct"/>
            <w:tcBorders>
              <w:top w:val="single" w:sz="4" w:space="0" w:color="010000"/>
            </w:tcBorders>
            <w:vAlign w:val="center"/>
          </w:tcPr>
          <w:p>
            <w:pPr>
              <w:jc w:val="left"/>
            </w:pPr>
            <w:r/>
            <w:r>
              <w:rPr>
                <w:rFonts w:hint="eastAsia"/>
                <w:color w:val="000000"/>
                <w:sz w:val="21"/>
              </w:rPr>
              <w:t>上海图灵智算量子科技股份有限公司</w:t>
            </w:r>
          </w:p>
        </w:tc>
        <w:tc>
          <w:tcPr>
            <w:tcW w:w="1803" w:type="pct"/>
            <w:tcBorders>
              <w:top w:val="single" w:sz="4" w:space="0" w:color="010000"/>
            </w:tcBorders>
            <w:vAlign w:val="center"/>
          </w:tcPr>
          <w:p>
            <w:pPr>
              <w:jc w:val="left"/>
            </w:pPr>
            <w:r/>
            <w:r>
              <w:rPr>
                <w:rFonts w:hint="eastAsia"/>
                <w:color w:val="000000"/>
                <w:sz w:val="21"/>
              </w:rPr>
              <w:t>2026年7月24日与国泰海通证券签署IPO辅导协议，8月5日在上海证监局完成备案。</w:t>
            </w:r>
          </w:p>
        </w:tc>
        <w:tc>
          <w:tcPr>
            <w:tcW w:w="2131" w:type="pct"/>
            <w:tcBorders>
              <w:top w:val="single" w:sz="4" w:space="0" w:color="010000"/>
            </w:tcBorders>
            <w:vAlign w:val="center"/>
          </w:tcPr>
          <w:p>
            <w:pPr>
              <w:jc w:val="left"/>
            </w:pPr>
            <w:r/>
            <w:r>
              <w:rPr>
                <w:rFonts w:hint="eastAsia"/>
                <w:color w:val="000000"/>
                <w:sz w:val="21"/>
              </w:rPr>
              <w:t>量子计算与智能算力相关企业，属于国泰海通在硬科技领域的辅导储备。</w:t>
            </w:r>
          </w:p>
        </w:tc>
      </w:tr>
    </w:tbl>
    <w:p>
      <w:pPr>
        <w:pStyle w:val="a6"/>
      </w:pPr>
      <w:r>
        <w:rPr>
          <w:rFonts w:hint="eastAsia"/>
        </w:rPr>
        <w:t>数据来源：中国证监会及各地证监局辅导备案公示，公开新闻报道，本报告整理。截至本报告统计日，未检索到国泰海通担任人形机器人整机或关节模组企业辅导机构的公开信息。</w:t>
      </w:r>
    </w:p>
    <w:p>
      <w:pPr>
        <w:pStyle w:val="3"/>
        <w:numPr>
          <w:ilvl w:val="0"/>
          <w:numId w:val="0"/>
        </w:numPr>
        <w:spacing w:before="156" w:after="156"/>
      </w:pPr>
      <w:r>
        <w:rPr>
          <w:rFonts w:hint="eastAsia"/>
        </w:rPr>
        <w:t>7.4 股权投资业务</w:t>
      </w:r>
    </w:p>
    <w:p>
      <w:pPr>
        <w:keepNext/>
        <w:jc w:val="center"/>
      </w:pPr>
      <w:r>
        <w:rPr>
          <w:rFonts w:hint="eastAsia"/>
          <w:b/>
          <w:sz w:val="21"/>
        </w:rPr>
        <w:t>表14  国泰海通体系已投资的机器人产业链公司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739" w:type="pct"/>
            <w:tcBorders>
              <w:top w:val="single" w:sz="12" w:space="0" w:color="010000"/>
              <w:bottom w:val="single" w:sz="4" w:space="0" w:color="010000"/>
            </w:tcBorders>
            <w:vAlign w:val="center"/>
          </w:tcPr>
          <w:p>
            <w:pPr>
              <w:keepNext/>
              <w:jc w:val="center"/>
            </w:pPr>
            <w:r/>
            <w:r>
              <w:rPr>
                <w:rFonts w:hint="eastAsia"/>
                <w:b/>
                <w:color w:val="000000"/>
                <w:sz w:val="21"/>
              </w:rPr>
              <w:t>投资情况</w:t>
            </w:r>
          </w:p>
        </w:tc>
        <w:tc>
          <w:tcPr>
            <w:tcW w:w="2464" w:type="pct"/>
            <w:tcBorders>
              <w:top w:val="single" w:sz="12" w:space="0" w:color="010000"/>
              <w:bottom w:val="single" w:sz="4" w:space="0" w:color="010000"/>
            </w:tcBorders>
            <w:vAlign w:val="center"/>
          </w:tcPr>
          <w:p>
            <w:pPr>
              <w:keepNext/>
              <w:jc w:val="center"/>
            </w:pPr>
            <w:r/>
            <w:r>
              <w:rPr>
                <w:rFonts w:hint="eastAsia"/>
                <w:b/>
                <w:color w:val="000000"/>
                <w:sz w:val="21"/>
              </w:rPr>
              <w:t>企业基本情况与产业链定位</w:t>
            </w:r>
          </w:p>
        </w:tc>
      </w:tr>
      <w:tr>
        <w:trPr>
          <w:cantSplit/>
          <w:jc w:val="center"/>
        </w:trPr>
        <w:tc>
          <w:tcPr>
            <w:tcW w:w="797" w:type="pct"/>
            <w:tcBorders>
              <w:top w:val="single" w:sz="4" w:space="0" w:color="010000"/>
            </w:tcBorders>
            <w:vAlign w:val="center"/>
          </w:tcPr>
          <w:p>
            <w:pPr>
              <w:jc w:val="left"/>
            </w:pPr>
            <w:r/>
            <w:r>
              <w:rPr>
                <w:rFonts w:hint="eastAsia"/>
                <w:color w:val="000000"/>
                <w:sz w:val="21"/>
              </w:rPr>
              <w:t>智平方（深圳智平方科技有限公司）</w:t>
            </w:r>
          </w:p>
        </w:tc>
        <w:tc>
          <w:tcPr>
            <w:tcW w:w="1739" w:type="pct"/>
            <w:tcBorders>
              <w:top w:val="single" w:sz="4" w:space="0" w:color="010000"/>
            </w:tcBorders>
            <w:vAlign w:val="center"/>
          </w:tcPr>
          <w:p>
            <w:pPr>
              <w:jc w:val="left"/>
            </w:pPr>
            <w:r/>
            <w:r>
              <w:rPr>
                <w:rFonts w:hint="eastAsia"/>
                <w:color w:val="000000"/>
                <w:sz w:val="21"/>
              </w:rPr>
              <w:t>2026年2月23日完成B轮系列融资，融资规模超10亿元，投资方包括百度战投、中国中车、沄柏资本、国泰海通等，老股东持续加注。</w:t>
            </w:r>
          </w:p>
        </w:tc>
        <w:tc>
          <w:tcPr>
            <w:tcW w:w="2464" w:type="pct"/>
            <w:tcBorders>
              <w:top w:val="single" w:sz="4" w:space="0" w:color="010000"/>
            </w:tcBorders>
            <w:vAlign w:val="center"/>
          </w:tcPr>
          <w:p>
            <w:pPr>
              <w:jc w:val="left"/>
            </w:pPr>
            <w:r/>
            <w:r>
              <w:rPr>
                <w:rFonts w:hint="eastAsia"/>
                <w:color w:val="000000"/>
                <w:sz w:val="21"/>
              </w:rPr>
              <w:t>AGI原生的通用智能机器人企业，成立于2023年4月，聚焦生产力型通用机器人、坚持端到端大模型路线并自建产线。B轮后估值突破100亿元，成为深圳首家估值超百亿元的具身智能独角兽；2026年6月完成50亿元新融资，估值超200亿元。AlphaBot系列2025年12月单月交付百台级，自建产线具备年产千台能力，2026年规划扩产至万台规模。属于人形机器人整机（轮式双臂）环节。</w:t>
            </w:r>
          </w:p>
        </w:tc>
      </w:tr>
      <w:tr>
        <w:trPr>
          <w:cantSplit/>
          <w:jc w:val="center"/>
        </w:trPr>
        <w:tc>
          <w:tcPr>
            <w:tcW w:w="797" w:type="pct"/>
            <w:tcBorders>
              <w:top w:val="single" w:sz="4" w:space="0" w:color="010000"/>
            </w:tcBorders>
            <w:vAlign w:val="center"/>
          </w:tcPr>
          <w:p>
            <w:pPr>
              <w:jc w:val="left"/>
            </w:pPr>
            <w:r/>
            <w:r>
              <w:rPr>
                <w:rFonts w:hint="eastAsia"/>
                <w:color w:val="000000"/>
                <w:sz w:val="21"/>
              </w:rPr>
              <w:t>飒智智能（上海飒智智能科技有限公司）</w:t>
            </w:r>
          </w:p>
        </w:tc>
        <w:tc>
          <w:tcPr>
            <w:tcW w:w="1739" w:type="pct"/>
            <w:tcBorders>
              <w:top w:val="single" w:sz="4" w:space="0" w:color="010000"/>
            </w:tcBorders>
            <w:vAlign w:val="center"/>
          </w:tcPr>
          <w:p>
            <w:pPr>
              <w:jc w:val="left"/>
            </w:pPr>
            <w:r/>
            <w:r>
              <w:rPr>
                <w:rFonts w:hint="eastAsia"/>
                <w:color w:val="000000"/>
                <w:sz w:val="21"/>
              </w:rPr>
              <w:t>完成数亿元A++及A+++轮融资，由海通开元（现国泰海通体系内私募股权投资平台）与国元股权联合投资。</w:t>
            </w:r>
          </w:p>
        </w:tc>
        <w:tc>
          <w:tcPr>
            <w:tcW w:w="2464" w:type="pct"/>
            <w:tcBorders>
              <w:top w:val="single" w:sz="4" w:space="0" w:color="010000"/>
            </w:tcBorders>
            <w:vAlign w:val="center"/>
          </w:tcPr>
          <w:p>
            <w:pPr>
              <w:jc w:val="left"/>
            </w:pPr>
            <w:r/>
            <w:r>
              <w:rPr>
                <w:rFonts w:hint="eastAsia"/>
                <w:color w:val="000000"/>
                <w:sz w:val="21"/>
              </w:rPr>
              <w:t>智能移动共融机器人技术及产品的研发、集成与应用企业，产品包括多模态协同作业机器人、高精度上下料移动作业复合机器人、高柔性类人作业移动双臂机器人。属于工业/复合机器人整机环节，与人形机器人在双臂作业和移动操作技术上有交集。</w:t>
            </w:r>
          </w:p>
        </w:tc>
      </w:tr>
    </w:tbl>
    <w:p>
      <w:pPr>
        <w:pStyle w:val="a6"/>
      </w:pPr>
      <w:r>
        <w:rPr>
          <w:rFonts w:hint="eastAsia"/>
        </w:rPr>
        <w:t>数据来源：公开融资新闻报道，本报告整理。证券公司私募股权子公司的投资组合并非全部对外披露，本表仅覆盖可公开检索到的案例。</w:t>
      </w:r>
    </w:p>
    <w:p>
      <w:pPr>
        <w:pStyle w:val="a0"/>
      </w:pPr>
      <w:r>
        <w:rPr>
          <w:rFonts w:hint="eastAsia"/>
        </w:rPr>
        <w:t>此外，国泰海通研究所对人形机器人产业链持续覆盖，公开研究观点看好机器人感知系统、核心零部件与本体厂商，并建议关注丝杠、轻量化材料等核心零部件方向；2026年4月国泰海通将优必选目标价上调至184.77港元。研究覆盖虽不构成业务关系，但反映了机构对该赛道的持续关注。</w:t>
      </w:r>
    </w:p>
    <w:p>
      <w:pPr>
        <w:pStyle w:val="3"/>
        <w:numPr>
          <w:ilvl w:val="0"/>
          <w:numId w:val="0"/>
        </w:numPr>
        <w:spacing w:before="156" w:after="156"/>
      </w:pPr>
      <w:r>
        <w:rPr>
          <w:rFonts w:hint="eastAsia"/>
        </w:rPr>
        <w:t>7.5 小结</w:t>
      </w:r>
    </w:p>
    <w:p>
      <w:pPr>
        <w:pStyle w:val="a0"/>
      </w:pPr>
      <w:r>
        <w:rPr>
          <w:rFonts w:hint="eastAsia"/>
        </w:rPr>
        <w:t>从公开信息看，国泰海通在人形机器人产业链的参与呈现"投行侧偏结构件与传感、投资侧偏整机与具身智能"的特征：保荐承销项目集中在晋拓科技（机器人结构件）、新睿电子（工业机器人控制系统）和乐动机器人（激光雷达与感知）等零部件与感知环节；股权投资则参与了智平方（整机与具身智能，估值已超200亿元）和飒智智能（移动复合机器人）等本体环节。截至本报告统计日，尚未检索到国泰海通在谐波减速器、关节模组或编码器等核心传动执行环节的保荐、辅导或投资案例。</w:t>
      </w:r>
    </w:p>
    <w:p>
      <w:pPr>
        <w:pStyle w:val="a0"/>
      </w:pPr>
      <w:r>
        <w:rPr>
          <w:rFonts w:hint="eastAsia"/>
        </w:rPr>
        <w:t>这一空白对本次拜访具有直接意义：无锡巨蟹所处的"谐波减速器＋驱动器＋编码器＋一体化关节模组"环节，恰好是国泰海通现有机器人项目储备中相对薄弱的部分；同时该环节已有来福谐波（港股）、绿的谐波（科创板）等可比上市公司作为估值参照，以及新剑传动、智同科技等同类企业进入辅导阶段，具备较为清晰的资本化路径参照。</w:t>
      </w:r>
    </w:p>
    <w:p/>
    <w:p/>
    <w:p>
      <w:pPr>
        <w:pStyle w:val="2"/>
        <w:spacing w:before="156" w:after="156"/>
      </w:pPr>
      <w:r>
        <w:rPr>
          <w:rFonts w:hint="eastAsia"/>
          <w:b/>
        </w:rPr>
        <w:t>无锡巨蟹的产业链定位与拜访关注要点</w:t>
      </w:r>
    </w:p>
    <w:p>
      <w:pPr>
        <w:pStyle w:val="3"/>
        <w:numPr>
          <w:ilvl w:val="0"/>
          <w:numId w:val="0"/>
        </w:numPr>
        <w:spacing w:before="156" w:after="156"/>
      </w:pPr>
      <w:r>
        <w:rPr>
          <w:rFonts w:hint="eastAsia"/>
        </w:rPr>
        <w:t>8.1 公司概况与产品体系</w:t>
      </w:r>
    </w:p>
    <w:p>
      <w:pPr>
        <w:pStyle w:val="a0"/>
      </w:pPr>
      <w:r>
        <w:rPr>
          <w:rFonts w:hint="eastAsia"/>
        </w:rPr>
        <w:t>无锡巨蟹智能驱动科技有限公司成立于2019年，位于无锡，系江苏省重点智能制造企业，拥有约8,000平方米研制基地，创始人赵伟为东南大学博士。公司以谐波减速器为核心，自主研发微型低压驱动器、编码器与力传感器，并将上述部件高度集成为可直接装配的人形关节模组，产品线还包括通用型上肢硬件平台和人形机械臂。</w:t>
      </w:r>
    </w:p>
    <w:p>
      <w:pPr>
        <w:pStyle w:val="a0"/>
      </w:pPr>
      <w:r>
        <w:rPr>
          <w:rFonts w:hint="eastAsia"/>
        </w:rPr>
        <w:t>关节模组产品体系包含R48、R58、R68、R83、R102、R120六大系列，全系标配双编码器：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2025年度人形机器人核心供应商"称号；2025年10月宣布完成近亿元人民币A轮融资，由科沃斯的战略投资平台领投，资金用于动力模组研发与产能扩建。</w:t>
      </w:r>
    </w:p>
    <w:p>
      <w:pPr>
        <w:pStyle w:val="3"/>
        <w:numPr>
          <w:ilvl w:val="0"/>
          <w:numId w:val="0"/>
        </w:numPr>
        <w:spacing w:before="156" w:after="156"/>
      </w:pPr>
      <w:r>
        <w:rPr>
          <w:rFonts w:hint="eastAsia"/>
        </w:rPr>
        <w:t>8.2 产业链定位与可比公司</w:t>
      </w:r>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传感器四项自研，其中编码器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r>
        <w:rPr>
          <w:rFonts w:hint="eastAsia"/>
        </w:rPr>
        <w:t>8.3 拜访关注要点</w:t>
      </w:r>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表15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自研编码器与驱动器的实际水平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是否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编码器是核心零部件中国产化程度最低的环节（国内前五仅一家内资），自研编码器若确有竞争力，是区别于同类模组厂商的关键差异点。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pPr>
      <w:r>
        <w:rPr>
          <w:rFonts w:hint="eastAsia"/>
        </w:rPr>
        <w:t>资料来源：本报告基于前述行业分析整理。</w:t>
      </w:r>
    </w:p>
    <w:p>
      <w:pPr>
        <w:pStyle w:val="3"/>
        <w:numPr>
          <w:ilvl w:val="0"/>
          <w:numId w:val="0"/>
        </w:numPr>
        <w:spacing w:before="156" w:after="156"/>
      </w:pPr>
      <w:r>
        <w:rPr>
          <w:rFonts w:hint="eastAsia"/>
        </w:rPr>
        <w:t>8.4 初步判断</w:t>
      </w:r>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r>
        <w:rPr>
          <w:rFonts w:hint="eastAsia"/>
          <w:b/>
        </w:rPr>
        <w:t>主要数据来源与口径说明</w:t>
      </w:r>
    </w:p>
    <w:p>
      <w:pPr>
        <w:pStyle w:val="a0"/>
      </w:pPr>
      <w:r>
        <w:rPr>
          <w:rFonts w:hint="eastAsia"/>
        </w:rPr>
        <w:t>本报告的数据来源以公开可检索资料为主，包括：（1）交易所与监管机构公开披露文件，如上海证券交易所、深圳证券交易所、香港交易所的受理公告、招股说明书、发行保荐书与上市保荐书，中国证监会及各地证监局的辅导备案公示；（2）上市公司定期报告与公告，如绿的谐波2025年年度报告、优必选2025年年度报告、上纬新材相关公告；（3）第三方行业研究机构统计，主要包括高工机器人（GGII）、IDC、MIR DATABANK、中商产业研究院、中国电子学会，以及境外机构摩根士丹利、高盛的公开预测；（4）政府部门与官方媒体信息，包括工业和信息化部相关政策文件、新华网及地方政府门户网站报道；（5）行业媒体与公司公开资料，包括公司官网、世界机器人大会展商资料及产品手册、公开新闻报道。</w:t>
      </w:r>
    </w:p>
    <w:p>
      <w:pPr>
        <w:pStyle w:val="a0"/>
      </w:pPr>
      <w:r>
        <w:rPr>
          <w:rFonts w:hint="eastAsia"/>
        </w:rPr>
        <w:t>关于口径，需要提示三点。第一，人形机器人出货量统计尚无统一标准，各机构在是否包含轮式双臂机型、是否包含半身/上肢平台等方面存在差异，本报告已对主要数据逐项标注来源与口径，同一指标的不同来源数值不宜直接比较。第二，第二梯队整机企业的出货量多来自第三方估算或企业自主披露，与企业年报口径可能存在出入，如优必选年报披露全尺寸人形机器人销量1,079台，而第三方统计将其归入400—1,000台区间。第三，未上市企业的估值均为公开报道的融资后估值，不代表实际发行定价或二级市场估值；辅导阶段企业尚未形成公开招股书，其财务数据以公开报道为准，未经审计核验。</w:t>
      </w:r>
    </w:p>
    <w:p>
      <w:pPr>
        <w:pStyle w:val="a0"/>
      </w:pPr>
      <w:r>
        <w:rPr>
          <w:rFonts w:hint="eastAsia"/>
        </w:rPr>
        <w:t>本报告完成于2026年8月，产业链信息与资本化进度核验至2026年8月上旬。人形机器人行业变化较快，报告中的产能规划、上市进度和融资估值等信息可能随时间发生变化，使用时请以最新公开披露为准。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