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《中国人形机器人产业链研究》大纲与数据来源memo</w:t>
      </w:r>
    </w:p>
    <w:p/>
    <w:p/>
    <w:p>
      <w:pPr>
        <w:pStyle w:val="2"/>
        <w:spacing w:before="156" w:after="156"/>
      </w:pPr>
      <w:r>
        <w:rPr>
          <w:rFonts w:hint="eastAsia"/>
          <w:b/>
        </w:rPr>
        <w:t>研究背景、目的与范围</w:t>
      </w:r>
    </w:p>
    <w:p>
      <w:pPr>
        <w:pStyle w:val="3"/>
        <w:numPr>
          <w:ilvl w:val="0"/>
          <w:numId w:val="0"/>
        </w:numPr>
        <w:spacing w:before="156" w:after="156"/>
      </w:pPr>
      <w:r>
        <w:rPr>
          <w:rFonts w:hint="eastAsia"/>
        </w:rPr>
        <w:t>1.1 研究背景与目的</w:t>
      </w:r>
    </w:p>
    <w:p>
      <w:pPr>
        <w:pStyle w:val="a0"/>
      </w:pPr>
      <w:r>
        <w:rPr>
          <w:rFonts w:hint="eastAsia"/>
        </w:rPr>
        <w:t>本次研究服务于对无锡巨蟹智能驱动科技有限公司（以下简称"无锡巨蟹"）的实地拜访。该公司主营谐波减速器、驱动器、编码器以及一体化动力关节模组（电机＋减速机＋驱动＋编码器集成），处于人形机器人产业链中价值量最高、技术壁垒最集中的核心传动与执行环节。研究目的有三：一是厘清人形机器人产业链各环节的发展现状、市场规模与竞争格局，为判断标的所处环节的景气度和竞争强度提供依据；二是系统梳理产业链公司的资本化进度（在辅导、已保荐、在审、已上市及通过上市公司平台实现证券化等），为判断标的的资本化路径和估值参照提供依据；三是梳理与国泰海通相关的产业链公司（含已保荐承销、已辅导、体系内基金已投资），为判断业务协同机会提供依据。</w:t>
      </w:r>
    </w:p>
    <w:p>
      <w:pPr>
        <w:pStyle w:val="3"/>
        <w:numPr>
          <w:ilvl w:val="0"/>
          <w:numId w:val="0"/>
        </w:numPr>
        <w:spacing w:before="156" w:after="156"/>
      </w:pPr>
      <w:r>
        <w:rPr>
          <w:rFonts w:hint="eastAsia"/>
        </w:rPr>
        <w:t>1.2 研究范围与篇幅安排</w:t>
      </w:r>
    </w:p>
    <w:p>
      <w:pPr>
        <w:pStyle w:val="a0"/>
      </w:pPr>
      <w:r>
        <w:rPr>
          <w:rFonts w:hint="eastAsia"/>
        </w:rPr>
        <w:t>人形机器人产业链覆盖面广，本报告按照与无锡巨蟹主营业务的相关度分配篇幅，具体安排如下：</w:t>
      </w:r>
    </w:p>
    <w:p>
      <w:pPr>
        <w:keepNext/>
        <w:jc w:val="center"/>
      </w:pPr>
      <w:r>
        <w:rPr>
          <w:rFonts w:hint="eastAsia"/>
          <w:b/>
          <w:sz w:val="21"/>
        </w:rPr>
        <w:t>表1  报告篇幅安排</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33"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与无锡巨蟹的相关度</w:t>
            </w:r>
          </w:p>
        </w:tc>
        <w:tc>
          <w:tcPr>
            <w:tcW w:w="2273" w:type="pct"/>
            <w:tcBorders>
              <w:top w:val="single" w:sz="12" w:space="0" w:color="010000"/>
              <w:bottom w:val="single" w:sz="4" w:space="0" w:color="010000"/>
            </w:tcBorders>
            <w:vAlign w:val="center"/>
          </w:tcPr>
          <w:p>
            <w:pPr>
              <w:keepNext/>
              <w:jc w:val="center"/>
            </w:pPr>
            <w:r/>
            <w:r>
              <w:rPr>
                <w:rFonts w:hint="eastAsia"/>
                <w:b/>
                <w:color w:val="000000"/>
                <w:sz w:val="21"/>
              </w:rPr>
              <w:t>篇幅安排</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报告对应章节</w:t>
            </w:r>
          </w:p>
        </w:tc>
      </w:tr>
      <w:tr>
        <w:trPr>
          <w:cantSplit/>
          <w:jc w:val="center"/>
        </w:trPr>
        <w:tc>
          <w:tcPr>
            <w:tcW w:w="833" w:type="pct"/>
            <w:tcBorders>
              <w:top w:val="single" w:sz="4" w:space="0" w:color="010000"/>
            </w:tcBorders>
            <w:vAlign w:val="center"/>
          </w:tcPr>
          <w:p>
            <w:pPr>
              <w:jc w:val="left"/>
            </w:pPr>
            <w:r/>
            <w:r>
              <w:rPr>
                <w:rFonts w:hint="eastAsia"/>
                <w:color w:val="000000"/>
                <w:sz w:val="21"/>
              </w:rPr>
              <w:t>谐波减速器</w:t>
            </w:r>
          </w:p>
        </w:tc>
        <w:tc>
          <w:tcPr>
            <w:tcW w:w="909" w:type="pct"/>
            <w:tcBorders>
              <w:top w:val="single" w:sz="4" w:space="0" w:color="010000"/>
            </w:tcBorders>
            <w:vAlign w:val="center"/>
          </w:tcPr>
          <w:p>
            <w:pPr>
              <w:jc w:val="left"/>
            </w:pPr>
            <w:r/>
            <w:r>
              <w:rPr>
                <w:rFonts w:hint="eastAsia"/>
                <w:color w:val="000000"/>
                <w:sz w:val="21"/>
              </w:rPr>
              <w:t>直接主营</w:t>
            </w:r>
          </w:p>
        </w:tc>
        <w:tc>
          <w:tcPr>
            <w:tcW w:w="2273" w:type="pct"/>
            <w:tcBorders>
              <w:top w:val="single" w:sz="4" w:space="0" w:color="010000"/>
            </w:tcBorders>
            <w:vAlign w:val="center"/>
          </w:tcPr>
          <w:p>
            <w:pPr>
              <w:jc w:val="left"/>
            </w:pPr>
            <w:r/>
            <w:r>
              <w:rPr>
                <w:rFonts w:hint="eastAsia"/>
                <w:color w:val="000000"/>
                <w:sz w:val="21"/>
              </w:rPr>
              <w:t>重点，含市场规模、竞争格局、代表企业经营对比、材料与工艺瓶颈、价格趋势</w:t>
            </w:r>
          </w:p>
        </w:tc>
        <w:tc>
          <w:tcPr>
            <w:tcW w:w="985" w:type="pct"/>
            <w:tcBorders>
              <w:top w:val="single" w:sz="4" w:space="0" w:color="010000"/>
            </w:tcBorders>
            <w:vAlign w:val="center"/>
          </w:tcPr>
          <w:p>
            <w:pPr>
              <w:jc w:val="left"/>
            </w:pPr>
            <w:r/>
            <w:r>
              <w:rPr>
                <w:rFonts w:hint="eastAsia"/>
                <w:color w:val="000000"/>
                <w:sz w:val="21"/>
              </w:rPr>
              <w:t>2.2节，图2、图3</w:t>
            </w:r>
          </w:p>
        </w:tc>
      </w:tr>
      <w:tr>
        <w:trPr>
          <w:cantSplit/>
          <w:jc w:val="center"/>
        </w:trPr>
        <w:tc>
          <w:tcPr>
            <w:tcW w:w="833" w:type="pct"/>
            <w:tcBorders>
              <w:top w:val="single" w:sz="4" w:space="0" w:color="010000"/>
            </w:tcBorders>
            <w:vAlign w:val="center"/>
          </w:tcPr>
          <w:p>
            <w:pPr>
              <w:jc w:val="left"/>
            </w:pPr>
            <w:r/>
            <w:r>
              <w:rPr>
                <w:rFonts w:hint="eastAsia"/>
                <w:color w:val="000000"/>
                <w:sz w:val="21"/>
              </w:rPr>
              <w:t>电机、驱动器、编码器</w:t>
            </w:r>
          </w:p>
        </w:tc>
        <w:tc>
          <w:tcPr>
            <w:tcW w:w="909" w:type="pct"/>
            <w:tcBorders>
              <w:top w:val="single" w:sz="4" w:space="0" w:color="010000"/>
            </w:tcBorders>
            <w:vAlign w:val="center"/>
          </w:tcPr>
          <w:p>
            <w:pPr>
              <w:jc w:val="left"/>
            </w:pPr>
            <w:r/>
            <w:r>
              <w:rPr>
                <w:rFonts w:hint="eastAsia"/>
                <w:color w:val="000000"/>
                <w:sz w:val="21"/>
              </w:rPr>
              <w:t>直接主营（驱动器、编码器自研）</w:t>
            </w:r>
          </w:p>
        </w:tc>
        <w:tc>
          <w:tcPr>
            <w:tcW w:w="2273" w:type="pct"/>
            <w:tcBorders>
              <w:top w:val="single" w:sz="4" w:space="0" w:color="010000"/>
            </w:tcBorders>
            <w:vAlign w:val="center"/>
          </w:tcPr>
          <w:p>
            <w:pPr>
              <w:jc w:val="left"/>
            </w:pPr>
            <w:r/>
            <w:r>
              <w:rPr>
                <w:rFonts w:hint="eastAsia"/>
                <w:color w:val="000000"/>
                <w:sz w:val="21"/>
              </w:rPr>
              <w:t>重点，含三个子环节的技术路线、竞争格局与国产化情况对比</w:t>
            </w:r>
          </w:p>
        </w:tc>
        <w:tc>
          <w:tcPr>
            <w:tcW w:w="985" w:type="pct"/>
            <w:tcBorders>
              <w:top w:val="single" w:sz="4" w:space="0" w:color="010000"/>
            </w:tcBorders>
            <w:vAlign w:val="center"/>
          </w:tcPr>
          <w:p>
            <w:pPr>
              <w:jc w:val="left"/>
            </w:pPr>
            <w:r/>
            <w:r>
              <w:rPr>
                <w:rFonts w:hint="eastAsia"/>
                <w:color w:val="000000"/>
                <w:sz w:val="21"/>
              </w:rPr>
              <w:t>2.3节，表3</w:t>
            </w:r>
          </w:p>
        </w:tc>
      </w:tr>
      <w:tr>
        <w:trPr>
          <w:cantSplit/>
          <w:jc w:val="center"/>
        </w:trPr>
        <w:tc>
          <w:tcPr>
            <w:tcW w:w="833" w:type="pct"/>
            <w:tcBorders>
              <w:top w:val="single" w:sz="4" w:space="0" w:color="010000"/>
            </w:tcBorders>
            <w:vAlign w:val="center"/>
          </w:tcPr>
          <w:p>
            <w:pPr>
              <w:jc w:val="left"/>
            </w:pPr>
            <w:r/>
            <w:r>
              <w:rPr>
                <w:rFonts w:hint="eastAsia"/>
                <w:color w:val="000000"/>
                <w:sz w:val="21"/>
              </w:rPr>
              <w:t>一体化动力关节模组</w:t>
            </w:r>
          </w:p>
        </w:tc>
        <w:tc>
          <w:tcPr>
            <w:tcW w:w="909" w:type="pct"/>
            <w:tcBorders>
              <w:top w:val="single" w:sz="4" w:space="0" w:color="010000"/>
            </w:tcBorders>
            <w:vAlign w:val="center"/>
          </w:tcPr>
          <w:p>
            <w:pPr>
              <w:jc w:val="left"/>
            </w:pPr>
            <w:r/>
            <w:r>
              <w:rPr>
                <w:rFonts w:hint="eastAsia"/>
                <w:color w:val="000000"/>
                <w:sz w:val="21"/>
              </w:rPr>
              <w:t>直接主营</w:t>
            </w:r>
          </w:p>
        </w:tc>
        <w:tc>
          <w:tcPr>
            <w:tcW w:w="2273" w:type="pct"/>
            <w:tcBorders>
              <w:top w:val="single" w:sz="4" w:space="0" w:color="010000"/>
            </w:tcBorders>
            <w:vAlign w:val="center"/>
          </w:tcPr>
          <w:p>
            <w:pPr>
              <w:jc w:val="left"/>
            </w:pPr>
            <w:r/>
            <w:r>
              <w:rPr>
                <w:rFonts w:hint="eastAsia"/>
                <w:color w:val="000000"/>
                <w:sz w:val="21"/>
              </w:rPr>
              <w:t>重点，含市场需求测算、技术架构收敛趋势、四类参与者比较、标的定位</w:t>
            </w:r>
          </w:p>
        </w:tc>
        <w:tc>
          <w:tcPr>
            <w:tcW w:w="985" w:type="pct"/>
            <w:tcBorders>
              <w:top w:val="single" w:sz="4" w:space="0" w:color="010000"/>
            </w:tcBorders>
            <w:vAlign w:val="center"/>
          </w:tcPr>
          <w:p>
            <w:pPr>
              <w:jc w:val="left"/>
            </w:pPr>
            <w:r/>
            <w:r>
              <w:rPr>
                <w:rFonts w:hint="eastAsia"/>
                <w:color w:val="000000"/>
                <w:sz w:val="21"/>
              </w:rPr>
              <w:t>2.4节，表4</w:t>
            </w:r>
          </w:p>
        </w:tc>
      </w:tr>
      <w:tr>
        <w:trPr>
          <w:cantSplit/>
          <w:jc w:val="center"/>
        </w:trPr>
        <w:tc>
          <w:tcPr>
            <w:tcW w:w="833" w:type="pct"/>
            <w:tcBorders>
              <w:top w:val="single" w:sz="4" w:space="0" w:color="010000"/>
            </w:tcBorders>
            <w:vAlign w:val="center"/>
          </w:tcPr>
          <w:p>
            <w:pPr>
              <w:jc w:val="left"/>
            </w:pPr>
            <w:r/>
            <w:r>
              <w:rPr>
                <w:rFonts w:hint="eastAsia"/>
                <w:color w:val="000000"/>
                <w:sz w:val="21"/>
              </w:rPr>
              <w:t>整机制造</w:t>
            </w:r>
          </w:p>
        </w:tc>
        <w:tc>
          <w:tcPr>
            <w:tcW w:w="909" w:type="pct"/>
            <w:tcBorders>
              <w:top w:val="single" w:sz="4" w:space="0" w:color="010000"/>
            </w:tcBorders>
            <w:vAlign w:val="center"/>
          </w:tcPr>
          <w:p>
            <w:pPr>
              <w:jc w:val="left"/>
            </w:pPr>
            <w:r/>
            <w:r>
              <w:rPr>
                <w:rFonts w:hint="eastAsia"/>
                <w:color w:val="000000"/>
                <w:sz w:val="21"/>
              </w:rPr>
              <w:t>直接下游客户</w:t>
            </w:r>
          </w:p>
        </w:tc>
        <w:tc>
          <w:tcPr>
            <w:tcW w:w="2273" w:type="pct"/>
            <w:tcBorders>
              <w:top w:val="single" w:sz="4" w:space="0" w:color="010000"/>
            </w:tcBorders>
            <w:vAlign w:val="center"/>
          </w:tcPr>
          <w:p>
            <w:pPr>
              <w:jc w:val="left"/>
            </w:pPr>
            <w:r/>
            <w:r>
              <w:rPr>
                <w:rFonts w:hint="eastAsia"/>
                <w:color w:val="000000"/>
                <w:sz w:val="21"/>
              </w:rPr>
              <w:t>重点，含头部企业逐家分析、第二梯队企业表格化梳理、海外对照</w:t>
            </w:r>
          </w:p>
        </w:tc>
        <w:tc>
          <w:tcPr>
            <w:tcW w:w="985" w:type="pct"/>
            <w:tcBorders>
              <w:top w:val="single" w:sz="4" w:space="0" w:color="010000"/>
            </w:tcBorders>
            <w:vAlign w:val="center"/>
          </w:tcPr>
          <w:p>
            <w:pPr>
              <w:jc w:val="left"/>
            </w:pPr>
            <w:r/>
            <w:r>
              <w:rPr>
                <w:rFonts w:hint="eastAsia"/>
                <w:color w:val="000000"/>
                <w:sz w:val="21"/>
              </w:rPr>
              <w:t>2.6节及第5章，表7</w:t>
            </w:r>
          </w:p>
        </w:tc>
      </w:tr>
      <w:tr>
        <w:trPr>
          <w:cantSplit/>
          <w:jc w:val="center"/>
        </w:trPr>
        <w:tc>
          <w:tcPr>
            <w:tcW w:w="833" w:type="pct"/>
            <w:tcBorders>
              <w:top w:val="single" w:sz="4" w:space="0" w:color="010000"/>
            </w:tcBorders>
            <w:vAlign w:val="center"/>
          </w:tcPr>
          <w:p>
            <w:pPr>
              <w:jc w:val="left"/>
            </w:pPr>
            <w:r/>
            <w:r>
              <w:rPr>
                <w:rFonts w:hint="eastAsia"/>
                <w:color w:val="000000"/>
                <w:sz w:val="21"/>
              </w:rPr>
              <w:t>丝杠、轴承、灵巧手、传感器、芯片</w:t>
            </w:r>
          </w:p>
        </w:tc>
        <w:tc>
          <w:tcPr>
            <w:tcW w:w="909" w:type="pct"/>
            <w:tcBorders>
              <w:top w:val="single" w:sz="4" w:space="0" w:color="010000"/>
            </w:tcBorders>
            <w:vAlign w:val="center"/>
          </w:tcPr>
          <w:p>
            <w:pPr>
              <w:jc w:val="left"/>
            </w:pPr>
            <w:r/>
            <w:r>
              <w:rPr>
                <w:rFonts w:hint="eastAsia"/>
                <w:color w:val="000000"/>
                <w:sz w:val="21"/>
              </w:rPr>
              <w:t>相关度较低</w:t>
            </w:r>
          </w:p>
        </w:tc>
        <w:tc>
          <w:tcPr>
            <w:tcW w:w="2273" w:type="pct"/>
            <w:tcBorders>
              <w:top w:val="single" w:sz="4" w:space="0" w:color="010000"/>
            </w:tcBorders>
            <w:vAlign w:val="center"/>
          </w:tcPr>
          <w:p>
            <w:pPr>
              <w:jc w:val="left"/>
            </w:pPr>
            <w:r/>
            <w:r>
              <w:rPr>
                <w:rFonts w:hint="eastAsia"/>
                <w:color w:val="000000"/>
                <w:sz w:val="21"/>
              </w:rPr>
              <w:t>从简，一张概览表加简要说明</w:t>
            </w:r>
          </w:p>
        </w:tc>
        <w:tc>
          <w:tcPr>
            <w:tcW w:w="985" w:type="pct"/>
            <w:tcBorders>
              <w:top w:val="single" w:sz="4" w:space="0" w:color="010000"/>
            </w:tcBorders>
            <w:vAlign w:val="center"/>
          </w:tcPr>
          <w:p>
            <w:pPr>
              <w:jc w:val="left"/>
            </w:pPr>
            <w:r/>
            <w:r>
              <w:rPr>
                <w:rFonts w:hint="eastAsia"/>
                <w:color w:val="000000"/>
                <w:sz w:val="21"/>
              </w:rPr>
              <w:t>2.5节，表5</w:t>
            </w:r>
          </w:p>
        </w:tc>
      </w:tr>
      <w:tr>
        <w:trPr>
          <w:cantSplit/>
          <w:jc w:val="center"/>
        </w:trPr>
        <w:tc>
          <w:tcPr>
            <w:tcW w:w="833" w:type="pct"/>
            <w:tcBorders>
              <w:top w:val="single" w:sz="4" w:space="0" w:color="010000"/>
            </w:tcBorders>
            <w:vAlign w:val="center"/>
          </w:tcPr>
          <w:p>
            <w:pPr>
              <w:jc w:val="left"/>
            </w:pPr>
            <w:r/>
            <w:r>
              <w:rPr>
                <w:rFonts w:hint="eastAsia"/>
                <w:color w:val="000000"/>
                <w:sz w:val="21"/>
              </w:rPr>
              <w:t>下游应用场景</w:t>
            </w:r>
          </w:p>
        </w:tc>
        <w:tc>
          <w:tcPr>
            <w:tcW w:w="909" w:type="pct"/>
            <w:tcBorders>
              <w:top w:val="single" w:sz="4" w:space="0" w:color="010000"/>
            </w:tcBorders>
            <w:vAlign w:val="center"/>
          </w:tcPr>
          <w:p>
            <w:pPr>
              <w:jc w:val="left"/>
            </w:pPr>
            <w:r/>
            <w:r>
              <w:rPr>
                <w:rFonts w:hint="eastAsia"/>
                <w:color w:val="000000"/>
                <w:sz w:val="21"/>
              </w:rPr>
              <w:t>间接相关</w:t>
            </w:r>
          </w:p>
        </w:tc>
        <w:tc>
          <w:tcPr>
            <w:tcW w:w="2273" w:type="pct"/>
            <w:tcBorders>
              <w:top w:val="single" w:sz="4" w:space="0" w:color="010000"/>
            </w:tcBorders>
            <w:vAlign w:val="center"/>
          </w:tcPr>
          <w:p>
            <w:pPr>
              <w:jc w:val="left"/>
            </w:pPr>
            <w:r/>
            <w:r>
              <w:rPr>
                <w:rFonts w:hint="eastAsia"/>
                <w:color w:val="000000"/>
                <w:sz w:val="21"/>
              </w:rPr>
              <w:t>从简，五大场景对比表加简要说明</w:t>
            </w:r>
          </w:p>
        </w:tc>
        <w:tc>
          <w:tcPr>
            <w:tcW w:w="985" w:type="pct"/>
            <w:tcBorders>
              <w:top w:val="single" w:sz="4" w:space="0" w:color="010000"/>
            </w:tcBorders>
            <w:vAlign w:val="center"/>
          </w:tcPr>
          <w:p>
            <w:pPr>
              <w:jc w:val="left"/>
            </w:pPr>
            <w:r/>
            <w:r>
              <w:rPr>
                <w:rFonts w:hint="eastAsia"/>
                <w:color w:val="000000"/>
                <w:sz w:val="21"/>
              </w:rPr>
              <w:t>2.7节及3.2节，表6</w:t>
            </w:r>
          </w:p>
        </w:tc>
      </w:tr>
      <w:tr>
        <w:trPr>
          <w:cantSplit/>
          <w:jc w:val="center"/>
        </w:trPr>
        <w:tc>
          <w:tcPr>
            <w:tcW w:w="833" w:type="pct"/>
            <w:tcBorders>
              <w:top w:val="single" w:sz="4" w:space="0" w:color="010000"/>
            </w:tcBorders>
            <w:vAlign w:val="center"/>
          </w:tcPr>
          <w:p>
            <w:pPr>
              <w:jc w:val="left"/>
            </w:pPr>
            <w:r/>
            <w:r>
              <w:rPr>
                <w:rFonts w:hint="eastAsia"/>
                <w:color w:val="000000"/>
                <w:sz w:val="21"/>
              </w:rPr>
              <w:t>资本化进度</w:t>
            </w:r>
          </w:p>
        </w:tc>
        <w:tc>
          <w:tcPr>
            <w:tcW w:w="909" w:type="pct"/>
            <w:tcBorders>
              <w:top w:val="single" w:sz="4" w:space="0" w:color="010000"/>
            </w:tcBorders>
            <w:vAlign w:val="center"/>
          </w:tcPr>
          <w:p>
            <w:pPr>
              <w:jc w:val="left"/>
            </w:pPr>
            <w:r/>
            <w:r>
              <w:rPr>
                <w:rFonts w:hint="eastAsia"/>
                <w:color w:val="000000"/>
                <w:sz w:val="21"/>
              </w:rPr>
              <w:t>服务于投行业务判断</w:t>
            </w:r>
          </w:p>
        </w:tc>
        <w:tc>
          <w:tcPr>
            <w:tcW w:w="2273" w:type="pct"/>
            <w:tcBorders>
              <w:top w:val="single" w:sz="4" w:space="0" w:color="010000"/>
            </w:tcBorders>
            <w:vAlign w:val="center"/>
          </w:tcPr>
          <w:p>
            <w:pPr>
              <w:jc w:val="left"/>
            </w:pPr>
            <w:r/>
            <w:r>
              <w:rPr>
                <w:rFonts w:hint="eastAsia"/>
                <w:color w:val="000000"/>
                <w:sz w:val="21"/>
              </w:rPr>
              <w:t>重点，按上市进度分类梳理，含估值参照</w:t>
            </w:r>
          </w:p>
        </w:tc>
        <w:tc>
          <w:tcPr>
            <w:tcW w:w="985" w:type="pct"/>
            <w:tcBorders>
              <w:top w:val="single" w:sz="4" w:space="0" w:color="010000"/>
            </w:tcBorders>
            <w:vAlign w:val="center"/>
          </w:tcPr>
          <w:p>
            <w:pPr>
              <w:jc w:val="left"/>
            </w:pPr>
            <w:r/>
            <w:r>
              <w:rPr>
                <w:rFonts w:hint="eastAsia"/>
                <w:color w:val="000000"/>
                <w:sz w:val="21"/>
              </w:rPr>
              <w:t>第6章，表8—表11</w:t>
            </w:r>
          </w:p>
        </w:tc>
      </w:tr>
      <w:tr>
        <w:trPr>
          <w:cantSplit/>
          <w:jc w:val="center"/>
        </w:trPr>
        <w:tc>
          <w:tcPr>
            <w:tcW w:w="833" w:type="pct"/>
            <w:tcBorders>
              <w:top w:val="single" w:sz="4" w:space="0" w:color="010000"/>
            </w:tcBorders>
            <w:vAlign w:val="center"/>
          </w:tcPr>
          <w:p>
            <w:pPr>
              <w:jc w:val="left"/>
            </w:pPr>
            <w:r/>
            <w:r>
              <w:rPr>
                <w:rFonts w:hint="eastAsia"/>
                <w:color w:val="000000"/>
                <w:sz w:val="21"/>
              </w:rPr>
              <w:t>国泰海通相关公司</w:t>
            </w:r>
          </w:p>
        </w:tc>
        <w:tc>
          <w:tcPr>
            <w:tcW w:w="909" w:type="pct"/>
            <w:tcBorders>
              <w:top w:val="single" w:sz="4" w:space="0" w:color="010000"/>
            </w:tcBorders>
            <w:vAlign w:val="center"/>
          </w:tcPr>
          <w:p>
            <w:pPr>
              <w:jc w:val="left"/>
            </w:pPr>
            <w:r/>
            <w:r>
              <w:rPr>
                <w:rFonts w:hint="eastAsia"/>
                <w:color w:val="000000"/>
                <w:sz w:val="21"/>
              </w:rPr>
              <w:t>服务于业务协同判断</w:t>
            </w:r>
          </w:p>
        </w:tc>
        <w:tc>
          <w:tcPr>
            <w:tcW w:w="2273" w:type="pct"/>
            <w:tcBorders>
              <w:top w:val="single" w:sz="4" w:space="0" w:color="010000"/>
            </w:tcBorders>
            <w:vAlign w:val="center"/>
          </w:tcPr>
          <w:p>
            <w:pPr>
              <w:jc w:val="left"/>
            </w:pPr>
            <w:r/>
            <w:r>
              <w:rPr>
                <w:rFonts w:hint="eastAsia"/>
                <w:color w:val="000000"/>
                <w:sz w:val="21"/>
              </w:rPr>
              <w:t>重点，按保荐承销、上市辅导、股权投资三类梳理</w:t>
            </w:r>
          </w:p>
        </w:tc>
        <w:tc>
          <w:tcPr>
            <w:tcW w:w="985" w:type="pct"/>
            <w:tcBorders>
              <w:top w:val="single" w:sz="4" w:space="0" w:color="010000"/>
            </w:tcBorders>
            <w:vAlign w:val="center"/>
          </w:tcPr>
          <w:p>
            <w:pPr>
              <w:jc w:val="left"/>
            </w:pPr>
            <w:r/>
            <w:r>
              <w:rPr>
                <w:rFonts w:hint="eastAsia"/>
                <w:color w:val="000000"/>
                <w:sz w:val="21"/>
              </w:rPr>
              <w:t>第7章，表12—表14</w:t>
            </w:r>
          </w:p>
        </w:tc>
      </w:tr>
      <w:tr>
        <w:trPr>
          <w:cantSplit/>
          <w:jc w:val="center"/>
        </w:trPr>
        <w:tc>
          <w:tcPr>
            <w:tcW w:w="833" w:type="pct"/>
            <w:tcBorders>
              <w:top w:val="single" w:sz="4" w:space="0" w:color="010000"/>
            </w:tcBorders>
            <w:vAlign w:val="center"/>
          </w:tcPr>
          <w:p>
            <w:pPr>
              <w:jc w:val="left"/>
            </w:pPr>
            <w:r/>
            <w:r>
              <w:rPr>
                <w:rFonts w:hint="eastAsia"/>
                <w:color w:val="000000"/>
                <w:sz w:val="21"/>
              </w:rPr>
              <w:t>标的公司分析</w:t>
            </w:r>
          </w:p>
        </w:tc>
        <w:tc>
          <w:tcPr>
            <w:tcW w:w="909" w:type="pct"/>
            <w:tcBorders>
              <w:top w:val="single" w:sz="4" w:space="0" w:color="010000"/>
            </w:tcBorders>
            <w:vAlign w:val="center"/>
          </w:tcPr>
          <w:p>
            <w:pPr>
              <w:jc w:val="left"/>
            </w:pPr>
            <w:r/>
            <w:r>
              <w:rPr>
                <w:rFonts w:hint="eastAsia"/>
                <w:color w:val="000000"/>
                <w:sz w:val="21"/>
              </w:rPr>
              <w:t>核心</w:t>
            </w:r>
          </w:p>
        </w:tc>
        <w:tc>
          <w:tcPr>
            <w:tcW w:w="2273" w:type="pct"/>
            <w:tcBorders>
              <w:top w:val="single" w:sz="4" w:space="0" w:color="010000"/>
            </w:tcBorders>
            <w:vAlign w:val="center"/>
          </w:tcPr>
          <w:p>
            <w:pPr>
              <w:jc w:val="left"/>
            </w:pPr>
            <w:r/>
            <w:r>
              <w:rPr>
                <w:rFonts w:hint="eastAsia"/>
                <w:color w:val="000000"/>
                <w:sz w:val="21"/>
              </w:rPr>
              <w:t>重点，含公司概况、产品体系、可比公司对照、拜访关注要点</w:t>
            </w:r>
          </w:p>
        </w:tc>
        <w:tc>
          <w:tcPr>
            <w:tcW w:w="985" w:type="pct"/>
            <w:tcBorders>
              <w:top w:val="single" w:sz="4" w:space="0" w:color="010000"/>
            </w:tcBorders>
            <w:vAlign w:val="center"/>
          </w:tcPr>
          <w:p>
            <w:pPr>
              <w:jc w:val="left"/>
            </w:pPr>
            <w:r/>
            <w:r>
              <w:rPr>
                <w:rFonts w:hint="eastAsia"/>
                <w:color w:val="000000"/>
                <w:sz w:val="21"/>
              </w:rPr>
              <w:t>第8章，表15</w:t>
            </w:r>
          </w:p>
        </w:tc>
      </w:tr>
    </w:tbl>
    <w:p>
      <w:pPr>
        <w:pStyle w:val="a6"/>
      </w:pPr>
      <w:r>
        <w:rPr>
          <w:rFonts w:hint="eastAsia"/>
        </w:rPr>
        <w:t>资料来源：本memo整理。</w:t>
      </w:r>
    </w:p>
    <w:p/>
    <w:p>
      <w:pPr>
        <w:pStyle w:val="2"/>
        <w:spacing w:before="156" w:after="156"/>
      </w:pPr>
      <w:r>
        <w:rPr>
          <w:rFonts w:hint="eastAsia"/>
          <w:b/>
        </w:rPr>
        <w:t>研究方法</w:t>
      </w:r>
    </w:p>
    <w:p>
      <w:pPr>
        <w:pStyle w:val="3"/>
        <w:numPr>
          <w:ilvl w:val="0"/>
          <w:numId w:val="0"/>
        </w:numPr>
        <w:spacing w:before="156" w:after="156"/>
      </w:pPr>
      <w:r>
        <w:rPr>
          <w:rFonts w:hint="eastAsia"/>
        </w:rPr>
        <w:t>2.1 总体方法</w:t>
      </w:r>
    </w:p>
    <w:p>
      <w:pPr>
        <w:pStyle w:val="a0"/>
      </w:pPr>
      <w:r>
        <w:rPr>
          <w:rFonts w:hint="eastAsia"/>
        </w:rPr>
        <w:t>本报告采用"公开信息为基础、多源交叉验证、口径逐项标注"的研究方法，具体遵循以下原则：</w:t>
      </w:r>
    </w:p>
    <w:p>
      <w:pPr>
        <w:pStyle w:val="a0"/>
      </w:pPr>
      <w:r>
        <w:rPr>
          <w:rFonts w:hint="eastAsia"/>
        </w:rPr>
        <w:t>第一，来源优先级。优先采用交易所与监管机构的公开披露文件（招股说明书、发行保荐书、受理与问询公告、辅导备案公示）和上市公司定期报告；其次采用第三方专业机构的行业统计（高工机器人GGII、IDC、MIR DATABANK等）；再次采用政府部门与官方媒体信息；最后采用行业媒体报道和公司自主披露资料。对同一事实存在多个来源时，以优先级高者为准。</w:t>
      </w:r>
    </w:p>
    <w:p>
      <w:pPr>
        <w:pStyle w:val="a0"/>
      </w:pPr>
      <w:r>
        <w:rPr>
          <w:rFonts w:hint="eastAsia"/>
        </w:rPr>
        <w:t>第二，口径标注。人形机器人行业尚无统一统计口径，本报告在引用每一项关键数据时均标注其来源机构与统计口径，对同一指标的不同来源数值不作合并或平均，而是并列呈现并说明差异原因。例如，2025年出货量存在"中国2万台（GGII口径）"与"全球1.7万台、中国1.44万台（IDC等口径）"两组数据，本报告分别标注并说明差异主要来自统计边界和是否包含轮式机型。</w:t>
      </w:r>
    </w:p>
    <w:p>
      <w:pPr>
        <w:pStyle w:val="a0"/>
      </w:pPr>
      <w:r>
        <w:rPr>
          <w:rFonts w:hint="eastAsia"/>
        </w:rPr>
        <w:t>第三，估值参照的处理。未上市企业的估值均采用公开报道的融资后估值，不进行推算；对已发行企业采用发行价对应的隐含估值。本报告明确说明这些数值不代表实际交易定价，仅用于形成数量级参考。</w:t>
      </w:r>
    </w:p>
    <w:p>
      <w:pPr>
        <w:pStyle w:val="a0"/>
      </w:pPr>
      <w:r>
        <w:rPr>
          <w:rFonts w:hint="eastAsia"/>
        </w:rPr>
        <w:t>第四，差异化和不确定性的显性化。对于行业内存在分歧的判断（如第二梯队企业的出货量区间、特斯拉产能规划的可信度），本报告不作单一结论，而是并列呈现不同来源并提示不确定性。</w:t>
      </w:r>
    </w:p>
    <w:p>
      <w:pPr>
        <w:pStyle w:val="3"/>
        <w:numPr>
          <w:ilvl w:val="0"/>
          <w:numId w:val="0"/>
        </w:numPr>
        <w:spacing w:before="156" w:after="156"/>
      </w:pPr>
      <w:r>
        <w:rPr>
          <w:rFonts w:hint="eastAsia"/>
        </w:rPr>
        <w:t>2.2 数据处理与轧差说明</w:t>
      </w:r>
    </w:p>
    <w:p>
      <w:pPr>
        <w:pStyle w:val="a0"/>
      </w:pPr>
      <w:r>
        <w:rPr>
          <w:rFonts w:hint="eastAsia"/>
        </w:rPr>
        <w:t>报告中部分数据为轧差或倒算得到，均已在图表附注中标明，此处集中列示以便复核：</w:t>
      </w:r>
    </w:p>
    <w:p>
      <w:pPr>
        <w:keepNext/>
        <w:jc w:val="center"/>
      </w:pPr>
      <w:r>
        <w:rPr>
          <w:rFonts w:hint="eastAsia"/>
          <w:b/>
          <w:sz w:val="21"/>
        </w:rPr>
        <w:t>表2  轧差与倒算数据说明</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21" w:type="pct"/>
            <w:tcBorders>
              <w:top w:val="single" w:sz="12" w:space="0" w:color="010000"/>
              <w:bottom w:val="single" w:sz="4" w:space="0" w:color="010000"/>
            </w:tcBorders>
            <w:vAlign w:val="center"/>
          </w:tcPr>
          <w:p>
            <w:pPr>
              <w:keepNext/>
              <w:jc w:val="center"/>
            </w:pPr>
            <w:r/>
            <w:r>
              <w:rPr>
                <w:rFonts w:hint="eastAsia"/>
                <w:b/>
                <w:color w:val="000000"/>
                <w:sz w:val="21"/>
              </w:rPr>
              <w:t>数据项</w:t>
            </w:r>
          </w:p>
        </w:tc>
        <w:tc>
          <w:tcPr>
            <w:tcW w:w="603" w:type="pct"/>
            <w:tcBorders>
              <w:top w:val="single" w:sz="12" w:space="0" w:color="010000"/>
              <w:bottom w:val="single" w:sz="4" w:space="0" w:color="010000"/>
            </w:tcBorders>
            <w:vAlign w:val="center"/>
          </w:tcPr>
          <w:p>
            <w:pPr>
              <w:keepNext/>
              <w:jc w:val="center"/>
            </w:pPr>
            <w:r/>
            <w:r>
              <w:rPr>
                <w:rFonts w:hint="eastAsia"/>
                <w:b/>
                <w:color w:val="000000"/>
                <w:sz w:val="21"/>
              </w:rPr>
              <w:t>处理方式</w:t>
            </w:r>
          </w:p>
        </w:tc>
        <w:tc>
          <w:tcPr>
            <w:tcW w:w="2759" w:type="pct"/>
            <w:tcBorders>
              <w:top w:val="single" w:sz="12" w:space="0" w:color="010000"/>
              <w:bottom w:val="single" w:sz="4" w:space="0" w:color="010000"/>
            </w:tcBorders>
            <w:vAlign w:val="center"/>
          </w:tcPr>
          <w:p>
            <w:pPr>
              <w:keepNext/>
              <w:jc w:val="center"/>
            </w:pPr>
            <w:r/>
            <w:r>
              <w:rPr>
                <w:rFonts w:hint="eastAsia"/>
                <w:b/>
                <w:color w:val="000000"/>
                <w:sz w:val="21"/>
              </w:rPr>
              <w:t>计算过程</w:t>
            </w:r>
          </w:p>
        </w:tc>
        <w:tc>
          <w:tcPr>
            <w:tcW w:w="517" w:type="pct"/>
            <w:tcBorders>
              <w:top w:val="single" w:sz="12" w:space="0" w:color="010000"/>
              <w:bottom w:val="single" w:sz="4" w:space="0" w:color="010000"/>
            </w:tcBorders>
            <w:vAlign w:val="center"/>
          </w:tcPr>
          <w:p>
            <w:pPr>
              <w:keepNext/>
              <w:jc w:val="center"/>
            </w:pPr>
            <w:r/>
            <w:r>
              <w:rPr>
                <w:rFonts w:hint="eastAsia"/>
                <w:b/>
                <w:color w:val="000000"/>
                <w:sz w:val="21"/>
              </w:rPr>
              <w:t>使用位置</w:t>
            </w:r>
          </w:p>
        </w:tc>
      </w:tr>
      <w:tr>
        <w:trPr>
          <w:cantSplit/>
          <w:jc w:val="center"/>
        </w:trPr>
        <w:tc>
          <w:tcPr>
            <w:tcW w:w="1121" w:type="pct"/>
            <w:tcBorders>
              <w:top w:val="single" w:sz="4" w:space="0" w:color="010000"/>
            </w:tcBorders>
            <w:vAlign w:val="center"/>
          </w:tcPr>
          <w:p>
            <w:pPr>
              <w:jc w:val="left"/>
            </w:pPr>
            <w:r/>
            <w:r>
              <w:rPr>
                <w:rFonts w:hint="eastAsia"/>
                <w:color w:val="000000"/>
                <w:sz w:val="21"/>
              </w:rPr>
              <w:t>2024年中国人形机器人出货量0.28万台</w:t>
            </w:r>
          </w:p>
        </w:tc>
        <w:tc>
          <w:tcPr>
            <w:tcW w:w="603" w:type="pct"/>
            <w:tcBorders>
              <w:top w:val="single" w:sz="4" w:space="0" w:color="010000"/>
            </w:tcBorders>
            <w:vAlign w:val="center"/>
          </w:tcPr>
          <w:p>
            <w:pPr>
              <w:jc w:val="left"/>
            </w:pPr>
            <w:r/>
            <w:r>
              <w:rPr>
                <w:rFonts w:hint="eastAsia"/>
                <w:color w:val="000000"/>
                <w:sz w:val="21"/>
              </w:rPr>
              <w:t>倒算</w:t>
            </w:r>
          </w:p>
        </w:tc>
        <w:tc>
          <w:tcPr>
            <w:tcW w:w="2759" w:type="pct"/>
            <w:tcBorders>
              <w:top w:val="single" w:sz="4" w:space="0" w:color="010000"/>
            </w:tcBorders>
            <w:vAlign w:val="center"/>
          </w:tcPr>
          <w:p>
            <w:pPr>
              <w:jc w:val="left"/>
            </w:pPr>
            <w:r/>
            <w:r>
              <w:rPr>
                <w:rFonts w:hint="eastAsia"/>
                <w:color w:val="000000"/>
                <w:sz w:val="21"/>
              </w:rPr>
              <w:t>按GGII披露的2025年出货2万台、同比增长614.29%倒算：2÷（1+6.1429）≈0.28万台</w:t>
            </w:r>
          </w:p>
        </w:tc>
        <w:tc>
          <w:tcPr>
            <w:tcW w:w="517" w:type="pct"/>
            <w:tcBorders>
              <w:top w:val="single" w:sz="4" w:space="0" w:color="010000"/>
            </w:tcBorders>
            <w:vAlign w:val="center"/>
          </w:tcPr>
          <w:p>
            <w:pPr>
              <w:jc w:val="left"/>
            </w:pPr>
            <w:r/>
            <w:r>
              <w:rPr>
                <w:rFonts w:hint="eastAsia"/>
                <w:color w:val="000000"/>
                <w:sz w:val="21"/>
              </w:rPr>
              <w:t>图4</w:t>
            </w:r>
          </w:p>
        </w:tc>
      </w:tr>
      <w:tr>
        <w:trPr>
          <w:cantSplit/>
          <w:jc w:val="center"/>
        </w:trPr>
        <w:tc>
          <w:tcPr>
            <w:tcW w:w="1121" w:type="pct"/>
            <w:tcBorders>
              <w:top w:val="single" w:sz="4" w:space="0" w:color="010000"/>
            </w:tcBorders>
            <w:vAlign w:val="center"/>
          </w:tcPr>
          <w:p>
            <w:pPr>
              <w:jc w:val="left"/>
            </w:pPr>
            <w:r/>
            <w:r>
              <w:rPr>
                <w:rFonts w:hint="eastAsia"/>
                <w:color w:val="000000"/>
                <w:sz w:val="21"/>
              </w:rPr>
              <w:t>谐波减速器"其余TOP4成员"份额20.7%</w:t>
            </w:r>
          </w:p>
        </w:tc>
        <w:tc>
          <w:tcPr>
            <w:tcW w:w="603" w:type="pct"/>
            <w:tcBorders>
              <w:top w:val="single" w:sz="4" w:space="0" w:color="010000"/>
            </w:tcBorders>
            <w:vAlign w:val="center"/>
          </w:tcPr>
          <w:p>
            <w:pPr>
              <w:jc w:val="left"/>
            </w:pPr>
            <w:r/>
            <w:r>
              <w:rPr>
                <w:rFonts w:hint="eastAsia"/>
                <w:color w:val="000000"/>
                <w:sz w:val="21"/>
              </w:rPr>
              <w:t>轧差</w:t>
            </w:r>
          </w:p>
        </w:tc>
        <w:tc>
          <w:tcPr>
            <w:tcW w:w="2759" w:type="pct"/>
            <w:tcBorders>
              <w:top w:val="single" w:sz="4" w:space="0" w:color="010000"/>
            </w:tcBorders>
            <w:vAlign w:val="center"/>
          </w:tcPr>
          <w:p>
            <w:pPr>
              <w:jc w:val="left"/>
            </w:pPr>
            <w:r/>
            <w:r>
              <w:rPr>
                <w:rFonts w:hint="eastAsia"/>
                <w:color w:val="000000"/>
                <w:sz w:val="21"/>
              </w:rPr>
              <w:t>TOP4合计64.13%－绿的谐波22.0%－来福谐波21.4%＝20.73%</w:t>
            </w:r>
          </w:p>
        </w:tc>
        <w:tc>
          <w:tcPr>
            <w:tcW w:w="517" w:type="pct"/>
            <w:tcBorders>
              <w:top w:val="single" w:sz="4" w:space="0" w:color="010000"/>
            </w:tcBorders>
            <w:vAlign w:val="center"/>
          </w:tcPr>
          <w:p>
            <w:pPr>
              <w:jc w:val="left"/>
            </w:pPr>
            <w:r/>
            <w:r>
              <w:rPr>
                <w:rFonts w:hint="eastAsia"/>
                <w:color w:val="000000"/>
                <w:sz w:val="21"/>
              </w:rPr>
              <w:t>图2</w:t>
            </w:r>
          </w:p>
        </w:tc>
      </w:tr>
      <w:tr>
        <w:trPr>
          <w:cantSplit/>
          <w:jc w:val="center"/>
        </w:trPr>
        <w:tc>
          <w:tcPr>
            <w:tcW w:w="1121" w:type="pct"/>
            <w:tcBorders>
              <w:top w:val="single" w:sz="4" w:space="0" w:color="010000"/>
            </w:tcBorders>
            <w:vAlign w:val="center"/>
          </w:tcPr>
          <w:p>
            <w:pPr>
              <w:jc w:val="left"/>
            </w:pPr>
            <w:r/>
            <w:r>
              <w:rPr>
                <w:rFonts w:hint="eastAsia"/>
                <w:color w:val="000000"/>
                <w:sz w:val="21"/>
              </w:rPr>
              <w:t>谐波减速器"其他厂商"份额35.9%</w:t>
            </w:r>
          </w:p>
        </w:tc>
        <w:tc>
          <w:tcPr>
            <w:tcW w:w="603" w:type="pct"/>
            <w:tcBorders>
              <w:top w:val="single" w:sz="4" w:space="0" w:color="010000"/>
            </w:tcBorders>
            <w:vAlign w:val="center"/>
          </w:tcPr>
          <w:p>
            <w:pPr>
              <w:jc w:val="left"/>
            </w:pPr>
            <w:r/>
            <w:r>
              <w:rPr>
                <w:rFonts w:hint="eastAsia"/>
                <w:color w:val="000000"/>
                <w:sz w:val="21"/>
              </w:rPr>
              <w:t>轧差</w:t>
            </w:r>
          </w:p>
        </w:tc>
        <w:tc>
          <w:tcPr>
            <w:tcW w:w="2759" w:type="pct"/>
            <w:tcBorders>
              <w:top w:val="single" w:sz="4" w:space="0" w:color="010000"/>
            </w:tcBorders>
            <w:vAlign w:val="center"/>
          </w:tcPr>
          <w:p>
            <w:pPr>
              <w:jc w:val="left"/>
            </w:pPr>
            <w:r/>
            <w:r>
              <w:rPr>
                <w:rFonts w:hint="eastAsia"/>
                <w:color w:val="000000"/>
                <w:sz w:val="21"/>
              </w:rPr>
              <w:t>100%－TOP4合计64.13%＝35.87%</w:t>
            </w:r>
          </w:p>
        </w:tc>
        <w:tc>
          <w:tcPr>
            <w:tcW w:w="517" w:type="pct"/>
            <w:tcBorders>
              <w:top w:val="single" w:sz="4" w:space="0" w:color="010000"/>
            </w:tcBorders>
            <w:vAlign w:val="center"/>
          </w:tcPr>
          <w:p>
            <w:pPr>
              <w:jc w:val="left"/>
            </w:pPr>
            <w:r/>
            <w:r>
              <w:rPr>
                <w:rFonts w:hint="eastAsia"/>
                <w:color w:val="000000"/>
                <w:sz w:val="21"/>
              </w:rPr>
              <w:t>图2</w:t>
            </w:r>
          </w:p>
        </w:tc>
      </w:tr>
      <w:tr>
        <w:trPr>
          <w:cantSplit/>
          <w:jc w:val="center"/>
        </w:trPr>
        <w:tc>
          <w:tcPr>
            <w:tcW w:w="1121" w:type="pct"/>
            <w:tcBorders>
              <w:top w:val="single" w:sz="4" w:space="0" w:color="010000"/>
            </w:tcBorders>
            <w:vAlign w:val="center"/>
          </w:tcPr>
          <w:p>
            <w:pPr>
              <w:jc w:val="left"/>
            </w:pPr>
            <w:r/>
            <w:r>
              <w:rPr>
                <w:rFonts w:hint="eastAsia"/>
                <w:color w:val="000000"/>
                <w:sz w:val="21"/>
              </w:rPr>
              <w:t>2025年全球人形机器人"其他厂商"出货4,500台</w:t>
            </w:r>
          </w:p>
        </w:tc>
        <w:tc>
          <w:tcPr>
            <w:tcW w:w="603" w:type="pct"/>
            <w:tcBorders>
              <w:top w:val="single" w:sz="4" w:space="0" w:color="010000"/>
            </w:tcBorders>
            <w:vAlign w:val="center"/>
          </w:tcPr>
          <w:p>
            <w:pPr>
              <w:jc w:val="left"/>
            </w:pPr>
            <w:r/>
            <w:r>
              <w:rPr>
                <w:rFonts w:hint="eastAsia"/>
                <w:color w:val="000000"/>
                <w:sz w:val="21"/>
              </w:rPr>
              <w:t>轧差</w:t>
            </w:r>
          </w:p>
        </w:tc>
        <w:tc>
          <w:tcPr>
            <w:tcW w:w="2759" w:type="pct"/>
            <w:tcBorders>
              <w:top w:val="single" w:sz="4" w:space="0" w:color="010000"/>
            </w:tcBorders>
            <w:vAlign w:val="center"/>
          </w:tcPr>
          <w:p>
            <w:pPr>
              <w:jc w:val="left"/>
            </w:pPr>
            <w:r/>
            <w:r>
              <w:rPr>
                <w:rFonts w:hint="eastAsia"/>
                <w:color w:val="000000"/>
                <w:sz w:val="21"/>
              </w:rPr>
              <w:t>全球约17,000台－宇树5,500－智元4,000－乐聚1,000－加速进化1,000－松延动力1,000＝4,500台</w:t>
            </w:r>
          </w:p>
        </w:tc>
        <w:tc>
          <w:tcPr>
            <w:tcW w:w="517" w:type="pct"/>
            <w:tcBorders>
              <w:top w:val="single" w:sz="4" w:space="0" w:color="010000"/>
            </w:tcBorders>
            <w:vAlign w:val="center"/>
          </w:tcPr>
          <w:p>
            <w:pPr>
              <w:jc w:val="left"/>
            </w:pPr>
            <w:r/>
            <w:r>
              <w:rPr>
                <w:rFonts w:hint="eastAsia"/>
                <w:color w:val="000000"/>
                <w:sz w:val="21"/>
              </w:rPr>
              <w:t>图6</w:t>
            </w:r>
          </w:p>
        </w:tc>
      </w:tr>
      <w:tr>
        <w:trPr>
          <w:cantSplit/>
          <w:jc w:val="center"/>
        </w:trPr>
        <w:tc>
          <w:tcPr>
            <w:tcW w:w="1121" w:type="pct"/>
            <w:tcBorders>
              <w:top w:val="single" w:sz="4" w:space="0" w:color="010000"/>
            </w:tcBorders>
            <w:vAlign w:val="center"/>
          </w:tcPr>
          <w:p>
            <w:pPr>
              <w:jc w:val="left"/>
            </w:pPr>
            <w:r/>
            <w:r>
              <w:rPr>
                <w:rFonts w:hint="eastAsia"/>
                <w:color w:val="000000"/>
                <w:sz w:val="21"/>
              </w:rPr>
              <w:t>整机硬件价值量"其他"20%</w:t>
            </w:r>
          </w:p>
        </w:tc>
        <w:tc>
          <w:tcPr>
            <w:tcW w:w="603" w:type="pct"/>
            <w:tcBorders>
              <w:top w:val="single" w:sz="4" w:space="0" w:color="010000"/>
            </w:tcBorders>
            <w:vAlign w:val="center"/>
          </w:tcPr>
          <w:p>
            <w:pPr>
              <w:jc w:val="left"/>
            </w:pPr>
            <w:r/>
            <w:r>
              <w:rPr>
                <w:rFonts w:hint="eastAsia"/>
                <w:color w:val="000000"/>
                <w:sz w:val="21"/>
              </w:rPr>
              <w:t>轧差</w:t>
            </w:r>
          </w:p>
        </w:tc>
        <w:tc>
          <w:tcPr>
            <w:tcW w:w="2759" w:type="pct"/>
            <w:tcBorders>
              <w:top w:val="single" w:sz="4" w:space="0" w:color="010000"/>
            </w:tcBorders>
            <w:vAlign w:val="center"/>
          </w:tcPr>
          <w:p>
            <w:pPr>
              <w:jc w:val="left"/>
            </w:pPr>
            <w:r/>
            <w:r>
              <w:rPr>
                <w:rFonts w:hint="eastAsia"/>
                <w:color w:val="000000"/>
                <w:sz w:val="21"/>
              </w:rPr>
              <w:t>100%－旋转执行器20%－线性执行器20%－灵巧手15%－计算与感知15%－结构件与电池10%＝20%</w:t>
            </w:r>
          </w:p>
        </w:tc>
        <w:tc>
          <w:tcPr>
            <w:tcW w:w="517" w:type="pct"/>
            <w:tcBorders>
              <w:top w:val="single" w:sz="4" w:space="0" w:color="010000"/>
            </w:tcBorders>
            <w:vAlign w:val="center"/>
          </w:tcPr>
          <w:p>
            <w:pPr>
              <w:jc w:val="left"/>
            </w:pPr>
            <w:r/>
            <w:r>
              <w:rPr>
                <w:rFonts w:hint="eastAsia"/>
                <w:color w:val="000000"/>
                <w:sz w:val="21"/>
              </w:rPr>
              <w:t>图1</w:t>
            </w:r>
          </w:p>
        </w:tc>
      </w:tr>
    </w:tbl>
    <w:p>
      <w:pPr>
        <w:pStyle w:val="a6"/>
      </w:pPr>
      <w:r>
        <w:rPr>
          <w:rFonts w:hint="eastAsia"/>
        </w:rPr>
        <w:t>资料来源：本memo整理。轧差项仅用于图示完整性，不代表任何单一企业或单一项目的实际数值。</w:t>
      </w:r>
    </w:p>
    <w:p/>
    <w:p>
      <w:pPr>
        <w:pStyle w:val="2"/>
        <w:spacing w:before="156" w:after="156"/>
      </w:pPr>
      <w:r>
        <w:rPr>
          <w:rFonts w:hint="eastAsia"/>
          <w:b/>
        </w:rPr>
        <w:t>报告大纲</w:t>
      </w:r>
    </w:p>
    <w:p>
      <w:pPr>
        <w:pStyle w:val="a0"/>
      </w:pPr>
      <w:r>
        <w:rPr>
          <w:rFonts w:hint="eastAsia"/>
        </w:rPr>
        <w:t>《中国人形机器人产业链研究》正文共八章加一节数据来源说明，含图6幅、表15张。各章要点如下：</w:t>
      </w:r>
    </w:p>
    <w:p>
      <w:pPr>
        <w:pStyle w:val="3"/>
        <w:numPr>
          <w:ilvl w:val="0"/>
          <w:numId w:val="0"/>
        </w:numPr>
        <w:spacing w:before="156" w:after="156"/>
      </w:pPr>
      <w:r>
        <w:rPr>
          <w:rFonts w:hint="eastAsia"/>
        </w:rPr>
        <w:t>3.1 章节结构与要点</w:t>
      </w:r>
    </w:p>
    <w:p>
      <w:pPr>
        <w:keepNext/>
        <w:jc w:val="center"/>
      </w:pPr>
      <w:r>
        <w:rPr>
          <w:rFonts w:hint="eastAsia"/>
          <w:b/>
          <w:sz w:val="21"/>
        </w:rPr>
        <w:t>表3  报告章节结构与要点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21" w:type="pct"/>
            <w:tcBorders>
              <w:top w:val="single" w:sz="12" w:space="0" w:color="010000"/>
              <w:bottom w:val="single" w:sz="4" w:space="0" w:color="010000"/>
            </w:tcBorders>
            <w:vAlign w:val="center"/>
          </w:tcPr>
          <w:p>
            <w:pPr>
              <w:keepNext/>
              <w:jc w:val="center"/>
            </w:pPr>
            <w:r/>
            <w:r>
              <w:rPr>
                <w:rFonts w:hint="eastAsia"/>
                <w:b/>
                <w:color w:val="000000"/>
                <w:sz w:val="21"/>
              </w:rPr>
              <w:t>章节</w:t>
            </w:r>
          </w:p>
        </w:tc>
        <w:tc>
          <w:tcPr>
            <w:tcW w:w="1194" w:type="pct"/>
            <w:tcBorders>
              <w:top w:val="single" w:sz="12" w:space="0" w:color="010000"/>
              <w:bottom w:val="single" w:sz="4" w:space="0" w:color="010000"/>
            </w:tcBorders>
            <w:vAlign w:val="center"/>
          </w:tcPr>
          <w:p>
            <w:pPr>
              <w:keepNext/>
              <w:jc w:val="center"/>
            </w:pPr>
            <w:r/>
            <w:r>
              <w:rPr>
                <w:rFonts w:hint="eastAsia"/>
                <w:b/>
                <w:color w:val="000000"/>
                <w:sz w:val="21"/>
              </w:rPr>
              <w:t>小节</w:t>
            </w:r>
          </w:p>
        </w:tc>
        <w:tc>
          <w:tcPr>
            <w:tcW w:w="2985" w:type="pct"/>
            <w:tcBorders>
              <w:top w:val="single" w:sz="12" w:space="0" w:color="010000"/>
              <w:bottom w:val="single" w:sz="4" w:space="0" w:color="010000"/>
            </w:tcBorders>
            <w:vAlign w:val="center"/>
          </w:tcPr>
          <w:p>
            <w:pPr>
              <w:keepNext/>
              <w:jc w:val="center"/>
            </w:pPr>
            <w:r/>
            <w:r>
              <w:rPr>
                <w:rFonts w:hint="eastAsia"/>
                <w:b/>
                <w:color w:val="000000"/>
                <w:sz w:val="21"/>
              </w:rPr>
              <w:t>核心内容与结论要点</w:t>
            </w:r>
          </w:p>
        </w:tc>
      </w:tr>
      <w:tr>
        <w:trPr>
          <w:cantSplit/>
          <w:jc w:val="center"/>
        </w:trPr>
        <w:tc>
          <w:tcPr>
            <w:tcW w:w="821" w:type="pct"/>
            <w:tcBorders>
              <w:top w:val="single" w:sz="4" w:space="0" w:color="010000"/>
            </w:tcBorders>
            <w:vAlign w:val="center"/>
          </w:tcPr>
          <w:p>
            <w:pPr>
              <w:jc w:val="left"/>
            </w:pPr>
            <w:r/>
            <w:r>
              <w:rPr>
                <w:rFonts w:hint="eastAsia"/>
                <w:color w:val="000000"/>
                <w:sz w:val="21"/>
              </w:rPr>
              <w:t>第一章</w:t>
            </w:r>
          </w:p>
          <w:p>
            <w:pPr>
              <w:jc w:val="left"/>
            </w:pPr>
            <w:r>
              <w:rPr>
                <w:rFonts w:hint="eastAsia"/>
                <w:color w:val="000000"/>
                <w:sz w:val="21"/>
              </w:rPr>
              <w:t>人形机器人产业概述</w:t>
            </w:r>
          </w:p>
        </w:tc>
        <w:tc>
          <w:tcPr>
            <w:tcW w:w="1194" w:type="pct"/>
            <w:tcBorders>
              <w:top w:val="single" w:sz="4" w:space="0" w:color="010000"/>
            </w:tcBorders>
            <w:vAlign w:val="center"/>
          </w:tcPr>
          <w:p>
            <w:pPr>
              <w:jc w:val="left"/>
            </w:pPr>
            <w:r/>
            <w:r>
              <w:rPr>
                <w:rFonts w:hint="eastAsia"/>
                <w:color w:val="000000"/>
                <w:sz w:val="21"/>
              </w:rPr>
              <w:t>1.1 行业简介</w:t>
            </w:r>
          </w:p>
          <w:p>
            <w:pPr>
              <w:jc w:val="left"/>
            </w:pPr>
            <w:r>
              <w:rPr>
                <w:rFonts w:hint="eastAsia"/>
                <w:color w:val="000000"/>
                <w:sz w:val="21"/>
              </w:rPr>
              <w:t>1.2 主要产品形态与技术路线</w:t>
            </w:r>
          </w:p>
          <w:p>
            <w:pPr>
              <w:jc w:val="left"/>
            </w:pPr>
            <w:r>
              <w:rPr>
                <w:rFonts w:hint="eastAsia"/>
                <w:color w:val="000000"/>
                <w:sz w:val="21"/>
              </w:rPr>
              <w:t>1.3 基本构成——以旋转关节与一体化关节模组为例</w:t>
            </w:r>
          </w:p>
          <w:p>
            <w:pPr>
              <w:jc w:val="left"/>
            </w:pPr>
            <w:r>
              <w:rPr>
                <w:rFonts w:hint="eastAsia"/>
                <w:color w:val="000000"/>
                <w:sz w:val="21"/>
              </w:rPr>
              <w:t>1.4 行业基本指标</w:t>
            </w:r>
          </w:p>
        </w:tc>
        <w:tc>
          <w:tcPr>
            <w:tcW w:w="2985" w:type="pct"/>
            <w:tcBorders>
              <w:top w:val="single" w:sz="4" w:space="0" w:color="010000"/>
            </w:tcBorders>
            <w:vAlign w:val="center"/>
          </w:tcPr>
          <w:p>
            <w:pPr>
              <w:jc w:val="left"/>
            </w:pPr>
            <w:r/>
            <w:r>
              <w:rPr>
                <w:rFonts w:hint="eastAsia"/>
                <w:color w:val="000000"/>
                <w:sz w:val="21"/>
              </w:rPr>
              <w:t>界定人形机器人的产业价值分层（本体硬件层与大脑算法层）；按形态区分全尺寸双足、中小尺寸双足、轮式双臂和上肢/关节模组四类并对比其关节配置与用量；拆解旋转关节的部件分工（电机、减速器、双编码器、驱动器、制动器）并解释"一体化动力关节模组"的定义与价值；列示自由度、扭矩密度、回差、编码器分辨率、柔轮疲劳寿命、一致性与良率等九项基本指标。</w:t>
            </w:r>
          </w:p>
        </w:tc>
      </w:tr>
      <w:tr>
        <w:trPr>
          <w:cantSplit/>
          <w:jc w:val="center"/>
        </w:trPr>
        <w:tc>
          <w:tcPr>
            <w:tcW w:w="821" w:type="pct"/>
            <w:tcBorders>
              <w:top w:val="single" w:sz="4" w:space="0" w:color="010000"/>
            </w:tcBorders>
            <w:vAlign w:val="center"/>
          </w:tcPr>
          <w:p>
            <w:pPr>
              <w:jc w:val="left"/>
            </w:pPr>
            <w:r/>
            <w:r>
              <w:rPr>
                <w:rFonts w:hint="eastAsia"/>
                <w:color w:val="000000"/>
                <w:sz w:val="21"/>
              </w:rPr>
              <w:t>第二章</w:t>
            </w:r>
          </w:p>
          <w:p>
            <w:pPr>
              <w:jc w:val="left"/>
            </w:pPr>
            <w:r>
              <w:rPr>
                <w:rFonts w:hint="eastAsia"/>
                <w:color w:val="000000"/>
                <w:sz w:val="21"/>
              </w:rPr>
              <w:t>产业链结构及各环节比较</w:t>
            </w:r>
          </w:p>
        </w:tc>
        <w:tc>
          <w:tcPr>
            <w:tcW w:w="1194" w:type="pct"/>
            <w:tcBorders>
              <w:top w:val="single" w:sz="4" w:space="0" w:color="010000"/>
            </w:tcBorders>
            <w:vAlign w:val="center"/>
          </w:tcPr>
          <w:p>
            <w:pPr>
              <w:jc w:val="left"/>
            </w:pPr>
            <w:r/>
            <w:r>
              <w:rPr>
                <w:rFonts w:hint="eastAsia"/>
                <w:color w:val="000000"/>
                <w:sz w:val="21"/>
              </w:rPr>
              <w:t>2.1 整体结构与价值传导</w:t>
            </w:r>
          </w:p>
          <w:p>
            <w:pPr>
              <w:jc w:val="left"/>
            </w:pPr>
            <w:r>
              <w:rPr>
                <w:rFonts w:hint="eastAsia"/>
                <w:color w:val="000000"/>
                <w:sz w:val="21"/>
              </w:rPr>
              <w:t>2.2 谐波减速器</w:t>
            </w:r>
          </w:p>
          <w:p>
            <w:pPr>
              <w:jc w:val="left"/>
            </w:pPr>
            <w:r>
              <w:rPr>
                <w:rFonts w:hint="eastAsia"/>
                <w:color w:val="000000"/>
                <w:sz w:val="21"/>
              </w:rPr>
              <w:t>2.3 电机、驱动器与编码器</w:t>
            </w:r>
          </w:p>
          <w:p>
            <w:pPr>
              <w:jc w:val="left"/>
            </w:pPr>
            <w:r>
              <w:rPr>
                <w:rFonts w:hint="eastAsia"/>
                <w:color w:val="000000"/>
                <w:sz w:val="21"/>
              </w:rPr>
              <w:t>2.4 一体化关节模组</w:t>
            </w:r>
          </w:p>
          <w:p>
            <w:pPr>
              <w:jc w:val="left"/>
            </w:pPr>
            <w:r>
              <w:rPr>
                <w:rFonts w:hint="eastAsia"/>
                <w:color w:val="000000"/>
                <w:sz w:val="21"/>
              </w:rPr>
              <w:t>2.5 其他上游环节</w:t>
            </w:r>
          </w:p>
          <w:p>
            <w:pPr>
              <w:jc w:val="left"/>
            </w:pPr>
            <w:r>
              <w:rPr>
                <w:rFonts w:hint="eastAsia"/>
                <w:color w:val="000000"/>
                <w:sz w:val="21"/>
              </w:rPr>
              <w:t>2.6 中游整机制造</w:t>
            </w:r>
          </w:p>
          <w:p>
            <w:pPr>
              <w:jc w:val="left"/>
            </w:pPr>
            <w:r>
              <w:rPr>
                <w:rFonts w:hint="eastAsia"/>
                <w:color w:val="000000"/>
                <w:sz w:val="21"/>
              </w:rPr>
              <w:t>2.7 下游应用与服务</w:t>
            </w:r>
          </w:p>
        </w:tc>
        <w:tc>
          <w:tcPr>
            <w:tcW w:w="2985" w:type="pct"/>
            <w:tcBorders>
              <w:top w:val="single" w:sz="4" w:space="0" w:color="010000"/>
            </w:tcBorders>
            <w:vAlign w:val="center"/>
          </w:tcPr>
          <w:p>
            <w:pPr>
              <w:jc w:val="left"/>
            </w:pPr>
            <w:r/>
            <w:r>
              <w:rPr>
                <w:rFonts w:hint="eastAsia"/>
                <w:color w:val="000000"/>
                <w:sz w:val="21"/>
              </w:rPr>
              <w:t>本章为报告主体。核心结论：执行/传动环节合计约占整机硬件价值量55%，关节模组按整体口径占整机成本35%—60%；谐波减速器已形成"哈默纳科全球领先、绿的与来福国内双强、TOP4约六成"格局，国产化率约30%但价格与毛利率同步下行；编码器是国产化程度最低的环节（前五仅一家内资），构成自研企业的差异化来源；关节模组存在四类参与者，行业向一体化和系统承诺迁移；无锡巨蟹属于"减速器企业向上集成"类型。</w:t>
            </w:r>
          </w:p>
        </w:tc>
      </w:tr>
      <w:tr>
        <w:trPr>
          <w:cantSplit/>
          <w:jc w:val="center"/>
        </w:trPr>
        <w:tc>
          <w:tcPr>
            <w:tcW w:w="821" w:type="pct"/>
            <w:tcBorders>
              <w:top w:val="single" w:sz="4" w:space="0" w:color="010000"/>
            </w:tcBorders>
            <w:vAlign w:val="center"/>
          </w:tcPr>
          <w:p>
            <w:pPr>
              <w:jc w:val="left"/>
            </w:pPr>
            <w:r/>
            <w:r>
              <w:rPr>
                <w:rFonts w:hint="eastAsia"/>
                <w:color w:val="000000"/>
                <w:sz w:val="21"/>
              </w:rPr>
              <w:t>第三章</w:t>
            </w:r>
          </w:p>
          <w:p>
            <w:pPr>
              <w:jc w:val="left"/>
            </w:pPr>
            <w:r>
              <w:rPr>
                <w:rFonts w:hint="eastAsia"/>
                <w:color w:val="000000"/>
                <w:sz w:val="21"/>
              </w:rPr>
              <w:t>市场发展现状及产业规模</w:t>
            </w:r>
          </w:p>
        </w:tc>
        <w:tc>
          <w:tcPr>
            <w:tcW w:w="1194" w:type="pct"/>
            <w:tcBorders>
              <w:top w:val="single" w:sz="4" w:space="0" w:color="010000"/>
            </w:tcBorders>
            <w:vAlign w:val="center"/>
          </w:tcPr>
          <w:p>
            <w:pPr>
              <w:jc w:val="left"/>
            </w:pPr>
            <w:r/>
            <w:r>
              <w:rPr>
                <w:rFonts w:hint="eastAsia"/>
                <w:color w:val="000000"/>
                <w:sz w:val="21"/>
              </w:rPr>
              <w:t>3.1 出货量与市场规模</w:t>
            </w:r>
          </w:p>
          <w:p>
            <w:pPr>
              <w:jc w:val="left"/>
            </w:pPr>
            <w:r>
              <w:rPr>
                <w:rFonts w:hint="eastAsia"/>
                <w:color w:val="000000"/>
                <w:sz w:val="21"/>
              </w:rPr>
              <w:t>3.2 应用结构</w:t>
            </w:r>
          </w:p>
          <w:p>
            <w:pPr>
              <w:jc w:val="left"/>
            </w:pPr>
            <w:r>
              <w:rPr>
                <w:rFonts w:hint="eastAsia"/>
                <w:color w:val="000000"/>
                <w:sz w:val="21"/>
              </w:rPr>
              <w:t>3.3 招投标与订单</w:t>
            </w:r>
          </w:p>
          <w:p>
            <w:pPr>
              <w:jc w:val="left"/>
            </w:pPr>
            <w:r>
              <w:rPr>
                <w:rFonts w:hint="eastAsia"/>
                <w:color w:val="000000"/>
                <w:sz w:val="21"/>
              </w:rPr>
              <w:t>3.4 成本曲线</w:t>
            </w:r>
          </w:p>
          <w:p>
            <w:pPr>
              <w:jc w:val="left"/>
            </w:pPr>
            <w:r>
              <w:rPr>
                <w:rFonts w:hint="eastAsia"/>
                <w:color w:val="000000"/>
                <w:sz w:val="21"/>
              </w:rPr>
              <w:t>3.5 相关政策</w:t>
            </w:r>
          </w:p>
          <w:p>
            <w:pPr>
              <w:jc w:val="left"/>
            </w:pPr>
            <w:r>
              <w:rPr>
                <w:rFonts w:hint="eastAsia"/>
                <w:color w:val="000000"/>
                <w:sz w:val="21"/>
              </w:rPr>
              <w:t>3.6 区域产业集群与无锡</w:t>
            </w:r>
          </w:p>
        </w:tc>
        <w:tc>
          <w:tcPr>
            <w:tcW w:w="2985" w:type="pct"/>
            <w:tcBorders>
              <w:top w:val="single" w:sz="4" w:space="0" w:color="010000"/>
            </w:tcBorders>
            <w:vAlign w:val="center"/>
          </w:tcPr>
          <w:p>
            <w:pPr>
              <w:jc w:val="left"/>
            </w:pPr>
            <w:r/>
            <w:r>
              <w:rPr>
                <w:rFonts w:hint="eastAsia"/>
                <w:color w:val="000000"/>
                <w:sz w:val="21"/>
              </w:rPr>
              <w:t>2025年中国出货约2万台（GGII口径）、全球约1.7万台（IDC口径）；2026年上半年实际出货已超4万台、全年冲刺10万台；应用结构显示付费能力主要来自国资平台主导的示范项目；2025年中标292个项目、金额超18.1亿元，54%的项目在100万元以下；核心零部件成本降幅超10%、减速器国产化带来单台3—6万元降本；具身智能首次写入政府工作报告，科创板第五套标准适用；无锡已形成13家整机企业的本地集群。</w:t>
            </w:r>
          </w:p>
        </w:tc>
      </w:tr>
      <w:tr>
        <w:trPr>
          <w:cantSplit/>
          <w:jc w:val="center"/>
        </w:trPr>
        <w:tc>
          <w:tcPr>
            <w:tcW w:w="821" w:type="pct"/>
            <w:tcBorders>
              <w:top w:val="single" w:sz="4" w:space="0" w:color="010000"/>
            </w:tcBorders>
            <w:vAlign w:val="center"/>
          </w:tcPr>
          <w:p>
            <w:pPr>
              <w:jc w:val="left"/>
            </w:pPr>
            <w:r/>
            <w:r>
              <w:rPr>
                <w:rFonts w:hint="eastAsia"/>
                <w:color w:val="000000"/>
                <w:sz w:val="21"/>
              </w:rPr>
              <w:t>第四章</w:t>
            </w:r>
          </w:p>
          <w:p>
            <w:pPr>
              <w:jc w:val="left"/>
            </w:pPr>
            <w:r>
              <w:rPr>
                <w:rFonts w:hint="eastAsia"/>
                <w:color w:val="000000"/>
                <w:sz w:val="21"/>
              </w:rPr>
              <w:t>行业格局、趋势及产业机会</w:t>
            </w:r>
          </w:p>
        </w:tc>
        <w:tc>
          <w:tcPr>
            <w:tcW w:w="1194" w:type="pct"/>
            <w:tcBorders>
              <w:top w:val="single" w:sz="4" w:space="0" w:color="010000"/>
            </w:tcBorders>
            <w:vAlign w:val="center"/>
          </w:tcPr>
          <w:p>
            <w:pPr>
              <w:jc w:val="left"/>
            </w:pPr>
            <w:r/>
            <w:r>
              <w:rPr>
                <w:rFonts w:hint="eastAsia"/>
                <w:color w:val="000000"/>
                <w:sz w:val="21"/>
              </w:rPr>
              <w:t>4.1 整机环节竞争格局</w:t>
            </w:r>
          </w:p>
          <w:p>
            <w:pPr>
              <w:jc w:val="left"/>
            </w:pPr>
            <w:r>
              <w:rPr>
                <w:rFonts w:hint="eastAsia"/>
                <w:color w:val="000000"/>
                <w:sz w:val="21"/>
              </w:rPr>
              <w:t>4.2 核心传动与执行环节竞争格局</w:t>
            </w:r>
          </w:p>
          <w:p>
            <w:pPr>
              <w:jc w:val="left"/>
            </w:pPr>
            <w:r>
              <w:rPr>
                <w:rFonts w:hint="eastAsia"/>
                <w:color w:val="000000"/>
                <w:sz w:val="21"/>
              </w:rPr>
              <w:t>4.3 价值迁移与业务机会</w:t>
            </w:r>
          </w:p>
        </w:tc>
        <w:tc>
          <w:tcPr>
            <w:tcW w:w="2985" w:type="pct"/>
            <w:tcBorders>
              <w:top w:val="single" w:sz="4" w:space="0" w:color="010000"/>
            </w:tcBorders>
            <w:vAlign w:val="center"/>
          </w:tcPr>
          <w:p>
            <w:pPr>
              <w:jc w:val="left"/>
            </w:pPr>
            <w:r/>
            <w:r>
              <w:rPr>
                <w:rFonts w:hint="eastAsia"/>
                <w:color w:val="000000"/>
                <w:sz w:val="21"/>
              </w:rPr>
              <w:t>整机呈"双寡头＋长尾"结构（宇树＋智元约占全球56%）；关节模组竞争已由单点性能转向量产一致性、交付稳定性与良率，2030年预计5—8家占80%以上份额；面向核心零部件企业提出四个方向的机会：由部件供应转向系统承诺、在差异化规格建立局部优势、绑定区域整机生态并向上延伸、为规模化交付做好制造与质量体系准备。</w:t>
            </w:r>
          </w:p>
        </w:tc>
      </w:tr>
      <w:tr>
        <w:trPr>
          <w:cantSplit/>
          <w:jc w:val="center"/>
        </w:trPr>
        <w:tc>
          <w:tcPr>
            <w:tcW w:w="821" w:type="pct"/>
            <w:tcBorders>
              <w:top w:val="single" w:sz="4" w:space="0" w:color="010000"/>
            </w:tcBorders>
            <w:vAlign w:val="center"/>
          </w:tcPr>
          <w:p>
            <w:pPr>
              <w:jc w:val="left"/>
            </w:pPr>
            <w:r/>
            <w:r>
              <w:rPr>
                <w:rFonts w:hint="eastAsia"/>
                <w:color w:val="000000"/>
                <w:sz w:val="21"/>
              </w:rPr>
              <w:t>第五章</w:t>
            </w:r>
          </w:p>
          <w:p>
            <w:pPr>
              <w:jc w:val="left"/>
            </w:pPr>
            <w:r>
              <w:rPr>
                <w:rFonts w:hint="eastAsia"/>
                <w:color w:val="000000"/>
                <w:sz w:val="21"/>
              </w:rPr>
              <w:t>整机制造环节代表性企业</w:t>
            </w:r>
          </w:p>
        </w:tc>
        <w:tc>
          <w:tcPr>
            <w:tcW w:w="1194" w:type="pct"/>
            <w:tcBorders>
              <w:top w:val="single" w:sz="4" w:space="0" w:color="010000"/>
            </w:tcBorders>
            <w:vAlign w:val="center"/>
          </w:tcPr>
          <w:p>
            <w:pPr>
              <w:jc w:val="left"/>
            </w:pPr>
            <w:r/>
            <w:r>
              <w:rPr>
                <w:rFonts w:hint="eastAsia"/>
                <w:color w:val="000000"/>
                <w:sz w:val="21"/>
              </w:rPr>
              <w:t>5.1 宇树科技</w:t>
            </w:r>
          </w:p>
          <w:p>
            <w:pPr>
              <w:jc w:val="left"/>
            </w:pPr>
            <w:r>
              <w:rPr>
                <w:rFonts w:hint="eastAsia"/>
                <w:color w:val="000000"/>
                <w:sz w:val="21"/>
              </w:rPr>
              <w:t>5.2 智元机器人</w:t>
            </w:r>
          </w:p>
          <w:p>
            <w:pPr>
              <w:jc w:val="left"/>
            </w:pPr>
            <w:r>
              <w:rPr>
                <w:rFonts w:hint="eastAsia"/>
                <w:color w:val="000000"/>
                <w:sz w:val="21"/>
              </w:rPr>
              <w:t>5.3 优必选</w:t>
            </w:r>
          </w:p>
          <w:p>
            <w:pPr>
              <w:jc w:val="left"/>
            </w:pPr>
            <w:r>
              <w:rPr>
                <w:rFonts w:hint="eastAsia"/>
                <w:color w:val="000000"/>
                <w:sz w:val="21"/>
              </w:rPr>
              <w:t>5.4 第二梯队与新兴企业</w:t>
            </w:r>
          </w:p>
          <w:p>
            <w:pPr>
              <w:jc w:val="left"/>
            </w:pPr>
            <w:r>
              <w:rPr>
                <w:rFonts w:hint="eastAsia"/>
                <w:color w:val="000000"/>
                <w:sz w:val="21"/>
              </w:rPr>
              <w:t>5.5 海外对照：特斯拉Optimus</w:t>
            </w:r>
          </w:p>
        </w:tc>
        <w:tc>
          <w:tcPr>
            <w:tcW w:w="2985" w:type="pct"/>
            <w:tcBorders>
              <w:top w:val="single" w:sz="4" w:space="0" w:color="010000"/>
            </w:tcBorders>
            <w:vAlign w:val="center"/>
          </w:tcPr>
          <w:p>
            <w:pPr>
              <w:jc w:val="left"/>
            </w:pPr>
            <w:r/>
            <w:r>
              <w:rPr>
                <w:rFonts w:hint="eastAsia"/>
                <w:color w:val="000000"/>
                <w:sz w:val="21"/>
              </w:rPr>
              <w:t>逐家梳理产品条线、出货量与商业化现状：宇树2025年营收17.08亿元、出货超5,500台、全球第一；智元累计交付5,000台、三大系列均衡；优必选全尺寸人形收入8.2亿元、销量1,079台、年度订单接近14亿元；表格化梳理乐聚、云深处、众擎、松延、加速进化、星动纪元、银河通用、傅利叶、智平方、它石智航、魔法原子等11家企业；对照特斯拉Optimus V3的量产节奏与技术参照价值。</w:t>
            </w:r>
          </w:p>
        </w:tc>
      </w:tr>
      <w:tr>
        <w:trPr>
          <w:cantSplit/>
          <w:jc w:val="center"/>
        </w:trPr>
        <w:tc>
          <w:tcPr>
            <w:tcW w:w="821" w:type="pct"/>
            <w:tcBorders>
              <w:top w:val="single" w:sz="4" w:space="0" w:color="010000"/>
            </w:tcBorders>
            <w:vAlign w:val="center"/>
          </w:tcPr>
          <w:p>
            <w:pPr>
              <w:jc w:val="left"/>
            </w:pPr>
            <w:r/>
            <w:r>
              <w:rPr>
                <w:rFonts w:hint="eastAsia"/>
                <w:color w:val="000000"/>
                <w:sz w:val="21"/>
              </w:rPr>
              <w:t>第六章</w:t>
            </w:r>
          </w:p>
          <w:p>
            <w:pPr>
              <w:jc w:val="left"/>
            </w:pPr>
            <w:r>
              <w:rPr>
                <w:rFonts w:hint="eastAsia"/>
                <w:color w:val="000000"/>
                <w:sz w:val="21"/>
              </w:rPr>
              <w:t>产业链企业资本化进度</w:t>
            </w:r>
          </w:p>
        </w:tc>
        <w:tc>
          <w:tcPr>
            <w:tcW w:w="1194" w:type="pct"/>
            <w:tcBorders>
              <w:top w:val="single" w:sz="4" w:space="0" w:color="010000"/>
            </w:tcBorders>
            <w:vAlign w:val="center"/>
          </w:tcPr>
          <w:p>
            <w:pPr>
              <w:jc w:val="left"/>
            </w:pPr>
            <w:r/>
            <w:r>
              <w:rPr>
                <w:rFonts w:hint="eastAsia"/>
                <w:color w:val="000000"/>
                <w:sz w:val="21"/>
              </w:rPr>
              <w:t>6.1 已上市或已完成发行</w:t>
            </w:r>
          </w:p>
          <w:p>
            <w:pPr>
              <w:jc w:val="left"/>
            </w:pPr>
            <w:r>
              <w:rPr>
                <w:rFonts w:hint="eastAsia"/>
                <w:color w:val="000000"/>
                <w:sz w:val="21"/>
              </w:rPr>
              <w:t>6.2 在审、已问询或已递表</w:t>
            </w:r>
          </w:p>
          <w:p>
            <w:pPr>
              <w:jc w:val="left"/>
            </w:pPr>
            <w:r>
              <w:rPr>
                <w:rFonts w:hint="eastAsia"/>
                <w:color w:val="000000"/>
                <w:sz w:val="21"/>
              </w:rPr>
              <w:t>6.3 辅导备案或已完成股改</w:t>
            </w:r>
          </w:p>
          <w:p>
            <w:pPr>
              <w:jc w:val="left"/>
            </w:pPr>
            <w:r>
              <w:rPr>
                <w:rFonts w:hint="eastAsia"/>
                <w:color w:val="000000"/>
                <w:sz w:val="21"/>
              </w:rPr>
              <w:t>6.4 通过上市公司平台资本化</w:t>
            </w:r>
          </w:p>
          <w:p>
            <w:pPr>
              <w:jc w:val="left"/>
            </w:pPr>
            <w:r>
              <w:rPr>
                <w:rFonts w:hint="eastAsia"/>
                <w:color w:val="000000"/>
                <w:sz w:val="21"/>
              </w:rPr>
              <w:t>6.5 资本化特征小结</w:t>
            </w:r>
          </w:p>
        </w:tc>
        <w:tc>
          <w:tcPr>
            <w:tcW w:w="2985" w:type="pct"/>
            <w:tcBorders>
              <w:top w:val="single" w:sz="4" w:space="0" w:color="010000"/>
            </w:tcBorders>
            <w:vAlign w:val="center"/>
          </w:tcPr>
          <w:p>
            <w:pPr>
              <w:jc w:val="left"/>
            </w:pPr>
            <w:r/>
            <w:r>
              <w:rPr>
                <w:rFonts w:hint="eastAsia"/>
                <w:color w:val="000000"/>
                <w:sz w:val="21"/>
              </w:rPr>
              <w:t>按上市进度分四类梳理；总结四个特征：A股＋港股双通道、审核提速（宇树104天）、估值分层明显（整机百亿至数百亿元，零部件显著低于整机）、盈利尚未普及；提示无锡巨蟹的估值锚更接近来福谐波、绿的谐波等零部件可比公司。</w:t>
            </w:r>
          </w:p>
        </w:tc>
      </w:tr>
      <w:tr>
        <w:trPr>
          <w:cantSplit/>
          <w:jc w:val="center"/>
        </w:trPr>
        <w:tc>
          <w:tcPr>
            <w:tcW w:w="821" w:type="pct"/>
            <w:tcBorders>
              <w:top w:val="single" w:sz="4" w:space="0" w:color="010000"/>
            </w:tcBorders>
            <w:vAlign w:val="center"/>
          </w:tcPr>
          <w:p>
            <w:pPr>
              <w:jc w:val="left"/>
            </w:pPr>
            <w:r/>
            <w:r>
              <w:rPr>
                <w:rFonts w:hint="eastAsia"/>
                <w:color w:val="000000"/>
                <w:sz w:val="21"/>
              </w:rPr>
              <w:t>第七章</w:t>
            </w:r>
          </w:p>
          <w:p>
            <w:pPr>
              <w:jc w:val="left"/>
            </w:pPr>
            <w:r>
              <w:rPr>
                <w:rFonts w:hint="eastAsia"/>
                <w:color w:val="000000"/>
                <w:sz w:val="21"/>
              </w:rPr>
              <w:t>与国泰海通相关的产业链公司</w:t>
            </w:r>
          </w:p>
        </w:tc>
        <w:tc>
          <w:tcPr>
            <w:tcW w:w="1194" w:type="pct"/>
            <w:tcBorders>
              <w:top w:val="single" w:sz="4" w:space="0" w:color="010000"/>
            </w:tcBorders>
            <w:vAlign w:val="center"/>
          </w:tcPr>
          <w:p>
            <w:pPr>
              <w:jc w:val="left"/>
            </w:pPr>
            <w:r/>
            <w:r>
              <w:rPr>
                <w:rFonts w:hint="eastAsia"/>
                <w:color w:val="000000"/>
                <w:sz w:val="21"/>
              </w:rPr>
              <w:t>7.1 整体投行业务位置</w:t>
            </w:r>
          </w:p>
          <w:p>
            <w:pPr>
              <w:jc w:val="left"/>
            </w:pPr>
            <w:r>
              <w:rPr>
                <w:rFonts w:hint="eastAsia"/>
                <w:color w:val="000000"/>
                <w:sz w:val="21"/>
              </w:rPr>
              <w:t>7.2 保荐与承销业务</w:t>
            </w:r>
          </w:p>
          <w:p>
            <w:pPr>
              <w:jc w:val="left"/>
            </w:pPr>
            <w:r>
              <w:rPr>
                <w:rFonts w:hint="eastAsia"/>
                <w:color w:val="000000"/>
                <w:sz w:val="21"/>
              </w:rPr>
              <w:t>7.3 上市辅导业务</w:t>
            </w:r>
          </w:p>
          <w:p>
            <w:pPr>
              <w:jc w:val="left"/>
            </w:pPr>
            <w:r>
              <w:rPr>
                <w:rFonts w:hint="eastAsia"/>
                <w:color w:val="000000"/>
                <w:sz w:val="21"/>
              </w:rPr>
              <w:t>7.4 股权投资业务</w:t>
            </w:r>
          </w:p>
          <w:p>
            <w:pPr>
              <w:jc w:val="left"/>
            </w:pPr>
            <w:r>
              <w:rPr>
                <w:rFonts w:hint="eastAsia"/>
                <w:color w:val="000000"/>
                <w:sz w:val="21"/>
              </w:rPr>
              <w:t>7.5 小结</w:t>
            </w:r>
          </w:p>
        </w:tc>
        <w:tc>
          <w:tcPr>
            <w:tcW w:w="2985" w:type="pct"/>
            <w:tcBorders>
              <w:top w:val="single" w:sz="4" w:space="0" w:color="010000"/>
            </w:tcBorders>
            <w:vAlign w:val="center"/>
          </w:tcPr>
          <w:p>
            <w:pPr>
              <w:jc w:val="left"/>
            </w:pPr>
            <w:r/>
            <w:r>
              <w:rPr>
                <w:rFonts w:hint="eastAsia"/>
                <w:color w:val="000000"/>
                <w:sz w:val="21"/>
              </w:rPr>
              <w:t>国泰海通2026年上半年以13单A股IPO保荐上市数量居行业第一；保荐承销项目集中在晋拓科技、新睿电子、三瑞智能、乐动机器人；辅导项目包括镭神技术、智谱、上海图灵智算；股权投资参与智平方、飒智智能。核心结论：核心传动执行环节是国泰海通现有机器人项目储备中相对薄弱的部分。</w:t>
            </w:r>
          </w:p>
        </w:tc>
      </w:tr>
      <w:tr>
        <w:trPr>
          <w:cantSplit/>
          <w:jc w:val="center"/>
        </w:trPr>
        <w:tc>
          <w:tcPr>
            <w:tcW w:w="821" w:type="pct"/>
            <w:tcBorders>
              <w:top w:val="single" w:sz="4" w:space="0" w:color="010000"/>
            </w:tcBorders>
            <w:vAlign w:val="center"/>
          </w:tcPr>
          <w:p>
            <w:pPr>
              <w:jc w:val="left"/>
            </w:pPr>
            <w:r/>
            <w:r>
              <w:rPr>
                <w:rFonts w:hint="eastAsia"/>
                <w:color w:val="000000"/>
                <w:sz w:val="21"/>
              </w:rPr>
              <w:t>第八章</w:t>
            </w:r>
          </w:p>
          <w:p>
            <w:pPr>
              <w:jc w:val="left"/>
            </w:pPr>
            <w:r>
              <w:rPr>
                <w:rFonts w:hint="eastAsia"/>
                <w:color w:val="000000"/>
                <w:sz w:val="21"/>
              </w:rPr>
              <w:t>无锡巨蟹的产业链定位与拜访关注要点</w:t>
            </w:r>
          </w:p>
        </w:tc>
        <w:tc>
          <w:tcPr>
            <w:tcW w:w="1194" w:type="pct"/>
            <w:tcBorders>
              <w:top w:val="single" w:sz="4" w:space="0" w:color="010000"/>
            </w:tcBorders>
            <w:vAlign w:val="center"/>
          </w:tcPr>
          <w:p>
            <w:pPr>
              <w:jc w:val="left"/>
            </w:pPr>
            <w:r/>
            <w:r>
              <w:rPr>
                <w:rFonts w:hint="eastAsia"/>
                <w:color w:val="000000"/>
                <w:sz w:val="21"/>
              </w:rPr>
              <w:t>8.1 公司概况与产品体系</w:t>
            </w:r>
          </w:p>
          <w:p>
            <w:pPr>
              <w:jc w:val="left"/>
            </w:pPr>
            <w:r>
              <w:rPr>
                <w:rFonts w:hint="eastAsia"/>
                <w:color w:val="000000"/>
                <w:sz w:val="21"/>
              </w:rPr>
              <w:t>8.2 产业链定位与可比公司</w:t>
            </w:r>
          </w:p>
          <w:p>
            <w:pPr>
              <w:jc w:val="left"/>
            </w:pPr>
            <w:r>
              <w:rPr>
                <w:rFonts w:hint="eastAsia"/>
                <w:color w:val="000000"/>
                <w:sz w:val="21"/>
              </w:rPr>
              <w:t>8.3 拜访关注要点</w:t>
            </w:r>
          </w:p>
          <w:p>
            <w:pPr>
              <w:jc w:val="left"/>
            </w:pPr>
            <w:r>
              <w:rPr>
                <w:rFonts w:hint="eastAsia"/>
                <w:color w:val="000000"/>
                <w:sz w:val="21"/>
              </w:rPr>
              <w:t>8.4 初步判断</w:t>
            </w:r>
          </w:p>
        </w:tc>
        <w:tc>
          <w:tcPr>
            <w:tcW w:w="2985" w:type="pct"/>
            <w:tcBorders>
              <w:top w:val="single" w:sz="4" w:space="0" w:color="010000"/>
            </w:tcBorders>
            <w:vAlign w:val="center"/>
          </w:tcPr>
          <w:p>
            <w:pPr>
              <w:jc w:val="left"/>
            </w:pPr>
            <w:r/>
            <w:r>
              <w:rPr>
                <w:rFonts w:hint="eastAsia"/>
                <w:color w:val="000000"/>
                <w:sz w:val="21"/>
              </w:rPr>
              <w:t>梳理公司概况、R系列六大关节模组谱系与R48-Lite参数、1,320套累计交付及A轮融资；与绿的谐波、来福谐波做定位对照；提出十个维度的拜访问题清单（客户结构、产能、良率、价格毛利、自研编码器与驱动器水平、非金属谐波减速器、技术路线适配性、向系统延伸、财务与资本化规划、区位与生态协同）；给出初步判断：技术路径正确，主要不确定性在量级、价格和路线三方面。</w:t>
            </w:r>
          </w:p>
        </w:tc>
      </w:tr>
      <w:tr>
        <w:trPr>
          <w:cantSplit/>
          <w:jc w:val="center"/>
        </w:trPr>
        <w:tc>
          <w:tcPr>
            <w:tcW w:w="821" w:type="pct"/>
            <w:tcBorders>
              <w:top w:val="single" w:sz="4" w:space="0" w:color="010000"/>
            </w:tcBorders>
            <w:vAlign w:val="center"/>
          </w:tcPr>
          <w:p>
            <w:pPr>
              <w:jc w:val="left"/>
            </w:pPr>
            <w:r/>
            <w:r>
              <w:rPr>
                <w:rFonts w:hint="eastAsia"/>
                <w:color w:val="000000"/>
                <w:sz w:val="21"/>
              </w:rPr>
              <w:t>附：主要数据来源与口径说明</w:t>
            </w:r>
          </w:p>
        </w:tc>
        <w:tc>
          <w:tcPr>
            <w:tcW w:w="1194" w:type="pct"/>
            <w:tcBorders>
              <w:top w:val="single" w:sz="4" w:space="0" w:color="010000"/>
            </w:tcBorders>
            <w:vAlign w:val="center"/>
          </w:tcPr>
          <w:p>
            <w:pPr>
              <w:jc w:val="left"/>
            </w:pPr>
            <w:r/>
            <w:r>
              <w:rPr>
                <w:rFonts w:hint="eastAsia"/>
                <w:color w:val="000000"/>
                <w:sz w:val="21"/>
              </w:rPr>
              <w:t>—</w:t>
            </w:r>
          </w:p>
        </w:tc>
        <w:tc>
          <w:tcPr>
            <w:tcW w:w="2985" w:type="pct"/>
            <w:tcBorders>
              <w:top w:val="single" w:sz="4" w:space="0" w:color="010000"/>
            </w:tcBorders>
            <w:vAlign w:val="center"/>
          </w:tcPr>
          <w:p>
            <w:pPr>
              <w:jc w:val="left"/>
            </w:pPr>
            <w:r/>
            <w:r>
              <w:rPr>
                <w:rFonts w:hint="eastAsia"/>
                <w:color w:val="000000"/>
                <w:sz w:val="21"/>
              </w:rPr>
              <w:t>列示五类数据来源，并就统计口径不统一、第三方与年报口径差异、未上市企业估值性质三点作出提示。</w:t>
            </w:r>
          </w:p>
        </w:tc>
      </w:tr>
    </w:tbl>
    <w:p>
      <w:pPr>
        <w:pStyle w:val="a6"/>
      </w:pPr>
      <w:r>
        <w:rPr>
          <w:rFonts w:hint="eastAsia"/>
        </w:rPr>
        <w:t>资料来源：本memo整理。</w:t>
      </w:r>
    </w:p>
    <w:p>
      <w:pPr>
        <w:pStyle w:val="3"/>
        <w:numPr>
          <w:ilvl w:val="0"/>
          <w:numId w:val="0"/>
        </w:numPr>
        <w:spacing w:before="156" w:after="156"/>
      </w:pPr>
      <w:r>
        <w:rPr>
          <w:rFonts w:hint="eastAsia"/>
        </w:rPr>
        <w:t>3.2 图表清单</w:t>
      </w:r>
    </w:p>
    <w:p>
      <w:pPr>
        <w:keepNext/>
        <w:jc w:val="center"/>
      </w:pPr>
      <w:r>
        <w:rPr>
          <w:rFonts w:hint="eastAsia"/>
          <w:b/>
          <w:sz w:val="21"/>
        </w:rPr>
        <w:t>表4  报告图表清单</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333" w:type="pct"/>
            <w:tcBorders>
              <w:top w:val="single" w:sz="12" w:space="0" w:color="010000"/>
              <w:bottom w:val="single" w:sz="4" w:space="0" w:color="010000"/>
            </w:tcBorders>
            <w:vAlign w:val="center"/>
          </w:tcPr>
          <w:p>
            <w:pPr>
              <w:keepNext/>
              <w:jc w:val="center"/>
            </w:pPr>
            <w:r/>
            <w:r>
              <w:rPr>
                <w:rFonts w:hint="eastAsia"/>
                <w:b/>
                <w:color w:val="000000"/>
                <w:sz w:val="21"/>
              </w:rPr>
              <w:t>编号</w:t>
            </w:r>
          </w:p>
        </w:tc>
        <w:tc>
          <w:tcPr>
            <w:tcW w:w="1917" w:type="pct"/>
            <w:tcBorders>
              <w:top w:val="single" w:sz="12" w:space="0" w:color="010000"/>
              <w:bottom w:val="single" w:sz="4" w:space="0" w:color="010000"/>
            </w:tcBorders>
            <w:vAlign w:val="center"/>
          </w:tcPr>
          <w:p>
            <w:pPr>
              <w:keepNext/>
              <w:jc w:val="center"/>
            </w:pPr>
            <w:r/>
            <w:r>
              <w:rPr>
                <w:rFonts w:hint="eastAsia"/>
                <w:b/>
                <w:color w:val="000000"/>
                <w:sz w:val="21"/>
              </w:rPr>
              <w:t>名称</w:t>
            </w:r>
          </w:p>
        </w:tc>
        <w:tc>
          <w:tcPr>
            <w:tcW w:w="583" w:type="pct"/>
            <w:tcBorders>
              <w:top w:val="single" w:sz="12" w:space="0" w:color="010000"/>
              <w:bottom w:val="single" w:sz="4" w:space="0" w:color="010000"/>
            </w:tcBorders>
            <w:vAlign w:val="center"/>
          </w:tcPr>
          <w:p>
            <w:pPr>
              <w:keepNext/>
              <w:jc w:val="center"/>
            </w:pPr>
            <w:r/>
            <w:r>
              <w:rPr>
                <w:rFonts w:hint="eastAsia"/>
                <w:b/>
                <w:color w:val="000000"/>
                <w:sz w:val="21"/>
              </w:rPr>
              <w:t>类型</w:t>
            </w:r>
          </w:p>
        </w:tc>
        <w:tc>
          <w:tcPr>
            <w:tcW w:w="500" w:type="pct"/>
            <w:tcBorders>
              <w:top w:val="single" w:sz="12" w:space="0" w:color="010000"/>
              <w:bottom w:val="single" w:sz="4" w:space="0" w:color="010000"/>
            </w:tcBorders>
            <w:vAlign w:val="center"/>
          </w:tcPr>
          <w:p>
            <w:pPr>
              <w:keepNext/>
              <w:jc w:val="center"/>
            </w:pPr>
            <w:r/>
            <w:r>
              <w:rPr>
                <w:rFonts w:hint="eastAsia"/>
                <w:b/>
                <w:color w:val="000000"/>
                <w:sz w:val="21"/>
              </w:rPr>
              <w:t>所在章节</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主要数据来源</w:t>
            </w:r>
          </w:p>
        </w:tc>
      </w:tr>
      <w:tr>
        <w:trPr>
          <w:cantSplit/>
          <w:jc w:val="center"/>
        </w:trPr>
        <w:tc>
          <w:tcPr>
            <w:tcW w:w="333" w:type="pct"/>
            <w:tcBorders>
              <w:top w:val="single" w:sz="4" w:space="0" w:color="010000"/>
            </w:tcBorders>
            <w:vAlign w:val="center"/>
          </w:tcPr>
          <w:p>
            <w:pPr>
              <w:jc w:val="left"/>
            </w:pPr>
            <w:r/>
            <w:r>
              <w:rPr>
                <w:rFonts w:hint="eastAsia"/>
                <w:color w:val="000000"/>
                <w:sz w:val="21"/>
              </w:rPr>
              <w:t>图1</w:t>
            </w:r>
          </w:p>
        </w:tc>
        <w:tc>
          <w:tcPr>
            <w:tcW w:w="1917" w:type="pct"/>
            <w:tcBorders>
              <w:top w:val="single" w:sz="4" w:space="0" w:color="010000"/>
            </w:tcBorders>
            <w:vAlign w:val="center"/>
          </w:tcPr>
          <w:p>
            <w:pPr>
              <w:jc w:val="left"/>
            </w:pPr>
            <w:r/>
            <w:r>
              <w:rPr>
                <w:rFonts w:hint="eastAsia"/>
                <w:color w:val="000000"/>
                <w:sz w:val="21"/>
              </w:rPr>
              <w:t>人形机器人整机硬件（BOM）价值量分布</w:t>
            </w:r>
          </w:p>
        </w:tc>
        <w:tc>
          <w:tcPr>
            <w:tcW w:w="583" w:type="pct"/>
            <w:tcBorders>
              <w:top w:val="single" w:sz="4" w:space="0" w:color="010000"/>
            </w:tcBorders>
            <w:vAlign w:val="center"/>
          </w:tcPr>
          <w:p>
            <w:pPr>
              <w:jc w:val="left"/>
            </w:pPr>
            <w:r/>
            <w:r>
              <w:rPr>
                <w:rFonts w:hint="eastAsia"/>
                <w:color w:val="000000"/>
                <w:sz w:val="21"/>
              </w:rPr>
              <w:t>饼图</w:t>
            </w:r>
          </w:p>
        </w:tc>
        <w:tc>
          <w:tcPr>
            <w:tcW w:w="500" w:type="pct"/>
            <w:tcBorders>
              <w:top w:val="single" w:sz="4" w:space="0" w:color="010000"/>
            </w:tcBorders>
            <w:vAlign w:val="center"/>
          </w:tcPr>
          <w:p>
            <w:pPr>
              <w:jc w:val="left"/>
            </w:pPr>
            <w:r/>
            <w:r>
              <w:rPr>
                <w:rFonts w:hint="eastAsia"/>
                <w:color w:val="000000"/>
                <w:sz w:val="21"/>
              </w:rPr>
              <w:t>2.1</w:t>
            </w:r>
          </w:p>
        </w:tc>
        <w:tc>
          <w:tcPr>
            <w:tcW w:w="1667" w:type="pct"/>
            <w:tcBorders>
              <w:top w:val="single" w:sz="4" w:space="0" w:color="010000"/>
            </w:tcBorders>
            <w:vAlign w:val="center"/>
          </w:tcPr>
          <w:p>
            <w:pPr>
              <w:jc w:val="left"/>
            </w:pPr>
            <w:r/>
            <w:r>
              <w:rPr>
                <w:rFonts w:hint="eastAsia"/>
                <w:color w:val="000000"/>
                <w:sz w:val="21"/>
              </w:rPr>
              <w:t>行业研究机构公开测算及券商研究报告</w:t>
            </w:r>
          </w:p>
        </w:tc>
      </w:tr>
      <w:tr>
        <w:trPr>
          <w:cantSplit/>
          <w:jc w:val="center"/>
        </w:trPr>
        <w:tc>
          <w:tcPr>
            <w:tcW w:w="333" w:type="pct"/>
            <w:tcBorders>
              <w:top w:val="single" w:sz="4" w:space="0" w:color="010000"/>
            </w:tcBorders>
            <w:vAlign w:val="center"/>
          </w:tcPr>
          <w:p>
            <w:pPr>
              <w:jc w:val="left"/>
            </w:pPr>
            <w:r/>
            <w:r>
              <w:rPr>
                <w:rFonts w:hint="eastAsia"/>
                <w:color w:val="000000"/>
                <w:sz w:val="21"/>
              </w:rPr>
              <w:t>图2</w:t>
            </w:r>
          </w:p>
        </w:tc>
        <w:tc>
          <w:tcPr>
            <w:tcW w:w="1917" w:type="pct"/>
            <w:tcBorders>
              <w:top w:val="single" w:sz="4" w:space="0" w:color="010000"/>
            </w:tcBorders>
            <w:vAlign w:val="center"/>
          </w:tcPr>
          <w:p>
            <w:pPr>
              <w:jc w:val="left"/>
            </w:pPr>
            <w:r/>
            <w:r>
              <w:rPr>
                <w:rFonts w:hint="eastAsia"/>
                <w:color w:val="000000"/>
                <w:sz w:val="21"/>
              </w:rPr>
              <w:t>2025年中国机器人谐波减速器市场份额</w:t>
            </w:r>
          </w:p>
        </w:tc>
        <w:tc>
          <w:tcPr>
            <w:tcW w:w="583" w:type="pct"/>
            <w:tcBorders>
              <w:top w:val="single" w:sz="4" w:space="0" w:color="010000"/>
            </w:tcBorders>
            <w:vAlign w:val="center"/>
          </w:tcPr>
          <w:p>
            <w:pPr>
              <w:jc w:val="left"/>
            </w:pPr>
            <w:r/>
            <w:r>
              <w:rPr>
                <w:rFonts w:hint="eastAsia"/>
                <w:color w:val="000000"/>
                <w:sz w:val="21"/>
              </w:rPr>
              <w:t>饼图</w:t>
            </w:r>
          </w:p>
        </w:tc>
        <w:tc>
          <w:tcPr>
            <w:tcW w:w="500" w:type="pct"/>
            <w:tcBorders>
              <w:top w:val="single" w:sz="4" w:space="0" w:color="010000"/>
            </w:tcBorders>
            <w:vAlign w:val="center"/>
          </w:tcPr>
          <w:p>
            <w:pPr>
              <w:jc w:val="left"/>
            </w:pPr>
            <w:r/>
            <w:r>
              <w:rPr>
                <w:rFonts w:hint="eastAsia"/>
                <w:color w:val="000000"/>
                <w:sz w:val="21"/>
              </w:rPr>
              <w:t>2.2</w:t>
            </w:r>
          </w:p>
        </w:tc>
        <w:tc>
          <w:tcPr>
            <w:tcW w:w="1667" w:type="pct"/>
            <w:tcBorders>
              <w:top w:val="single" w:sz="4" w:space="0" w:color="010000"/>
            </w:tcBorders>
            <w:vAlign w:val="center"/>
          </w:tcPr>
          <w:p>
            <w:pPr>
              <w:jc w:val="left"/>
            </w:pPr>
            <w:r/>
            <w:r>
              <w:rPr>
                <w:rFonts w:hint="eastAsia"/>
                <w:color w:val="000000"/>
                <w:sz w:val="21"/>
              </w:rPr>
              <w:t>高工机器人GGII、来福谐波港交所上市文件</w:t>
            </w:r>
          </w:p>
        </w:tc>
      </w:tr>
      <w:tr>
        <w:trPr>
          <w:cantSplit/>
          <w:jc w:val="center"/>
        </w:trPr>
        <w:tc>
          <w:tcPr>
            <w:tcW w:w="333" w:type="pct"/>
            <w:tcBorders>
              <w:top w:val="single" w:sz="4" w:space="0" w:color="010000"/>
            </w:tcBorders>
            <w:vAlign w:val="center"/>
          </w:tcPr>
          <w:p>
            <w:pPr>
              <w:jc w:val="left"/>
            </w:pPr>
            <w:r/>
            <w:r>
              <w:rPr>
                <w:rFonts w:hint="eastAsia"/>
                <w:color w:val="000000"/>
                <w:sz w:val="21"/>
              </w:rPr>
              <w:t>图3</w:t>
            </w:r>
          </w:p>
        </w:tc>
        <w:tc>
          <w:tcPr>
            <w:tcW w:w="1917" w:type="pct"/>
            <w:tcBorders>
              <w:top w:val="single" w:sz="4" w:space="0" w:color="010000"/>
            </w:tcBorders>
            <w:vAlign w:val="center"/>
          </w:tcPr>
          <w:p>
            <w:pPr>
              <w:jc w:val="left"/>
            </w:pPr>
            <w:r/>
            <w:r>
              <w:rPr>
                <w:rFonts w:hint="eastAsia"/>
                <w:color w:val="000000"/>
                <w:sz w:val="21"/>
              </w:rPr>
              <w:t>谐波减速器环节代表企业经营对比（2025年）</w:t>
            </w:r>
          </w:p>
        </w:tc>
        <w:tc>
          <w:tcPr>
            <w:tcW w:w="583" w:type="pct"/>
            <w:tcBorders>
              <w:top w:val="single" w:sz="4" w:space="0" w:color="010000"/>
            </w:tcBorders>
            <w:vAlign w:val="center"/>
          </w:tcPr>
          <w:p>
            <w:pPr>
              <w:jc w:val="left"/>
            </w:pPr>
            <w:r/>
            <w:r>
              <w:rPr>
                <w:rFonts w:hint="eastAsia"/>
                <w:color w:val="000000"/>
                <w:sz w:val="21"/>
              </w:rPr>
              <w:t>分组柱状图</w:t>
            </w:r>
          </w:p>
        </w:tc>
        <w:tc>
          <w:tcPr>
            <w:tcW w:w="500" w:type="pct"/>
            <w:tcBorders>
              <w:top w:val="single" w:sz="4" w:space="0" w:color="010000"/>
            </w:tcBorders>
            <w:vAlign w:val="center"/>
          </w:tcPr>
          <w:p>
            <w:pPr>
              <w:jc w:val="left"/>
            </w:pPr>
            <w:r/>
            <w:r>
              <w:rPr>
                <w:rFonts w:hint="eastAsia"/>
                <w:color w:val="000000"/>
                <w:sz w:val="21"/>
              </w:rPr>
              <w:t>2.2</w:t>
            </w:r>
          </w:p>
        </w:tc>
        <w:tc>
          <w:tcPr>
            <w:tcW w:w="1667" w:type="pct"/>
            <w:tcBorders>
              <w:top w:val="single" w:sz="4" w:space="0" w:color="010000"/>
            </w:tcBorders>
            <w:vAlign w:val="center"/>
          </w:tcPr>
          <w:p>
            <w:pPr>
              <w:jc w:val="left"/>
            </w:pPr>
            <w:r/>
            <w:r>
              <w:rPr>
                <w:rFonts w:hint="eastAsia"/>
                <w:color w:val="000000"/>
                <w:sz w:val="21"/>
              </w:rPr>
              <w:t>绿的谐波2025年年报、来福谐波上市文件</w:t>
            </w:r>
          </w:p>
        </w:tc>
      </w:tr>
      <w:tr>
        <w:trPr>
          <w:cantSplit/>
          <w:jc w:val="center"/>
        </w:trPr>
        <w:tc>
          <w:tcPr>
            <w:tcW w:w="333" w:type="pct"/>
            <w:tcBorders>
              <w:top w:val="single" w:sz="4" w:space="0" w:color="010000"/>
            </w:tcBorders>
            <w:vAlign w:val="center"/>
          </w:tcPr>
          <w:p>
            <w:pPr>
              <w:jc w:val="left"/>
            </w:pPr>
            <w:r/>
            <w:r>
              <w:rPr>
                <w:rFonts w:hint="eastAsia"/>
                <w:color w:val="000000"/>
                <w:sz w:val="21"/>
              </w:rPr>
              <w:t>图4</w:t>
            </w:r>
          </w:p>
        </w:tc>
        <w:tc>
          <w:tcPr>
            <w:tcW w:w="1917" w:type="pct"/>
            <w:tcBorders>
              <w:top w:val="single" w:sz="4" w:space="0" w:color="010000"/>
            </w:tcBorders>
            <w:vAlign w:val="center"/>
          </w:tcPr>
          <w:p>
            <w:pPr>
              <w:jc w:val="left"/>
            </w:pPr>
            <w:r/>
            <w:r>
              <w:rPr>
                <w:rFonts w:hint="eastAsia"/>
                <w:color w:val="000000"/>
                <w:sz w:val="21"/>
              </w:rPr>
              <w:t>中国人形机器人出货量：历史实际与2026年预测</w:t>
            </w:r>
          </w:p>
        </w:tc>
        <w:tc>
          <w:tcPr>
            <w:tcW w:w="583" w:type="pct"/>
            <w:tcBorders>
              <w:top w:val="single" w:sz="4" w:space="0" w:color="010000"/>
            </w:tcBorders>
            <w:vAlign w:val="center"/>
          </w:tcPr>
          <w:p>
            <w:pPr>
              <w:jc w:val="left"/>
            </w:pPr>
            <w:r/>
            <w:r>
              <w:rPr>
                <w:rFonts w:hint="eastAsia"/>
                <w:color w:val="000000"/>
                <w:sz w:val="21"/>
              </w:rPr>
              <w:t>柱状图</w:t>
            </w:r>
          </w:p>
        </w:tc>
        <w:tc>
          <w:tcPr>
            <w:tcW w:w="500" w:type="pct"/>
            <w:tcBorders>
              <w:top w:val="single" w:sz="4" w:space="0" w:color="010000"/>
            </w:tcBorders>
            <w:vAlign w:val="center"/>
          </w:tcPr>
          <w:p>
            <w:pPr>
              <w:jc w:val="left"/>
            </w:pPr>
            <w:r/>
            <w:r>
              <w:rPr>
                <w:rFonts w:hint="eastAsia"/>
                <w:color w:val="000000"/>
                <w:sz w:val="21"/>
              </w:rPr>
              <w:t>3.1</w:t>
            </w:r>
          </w:p>
        </w:tc>
        <w:tc>
          <w:tcPr>
            <w:tcW w:w="1667" w:type="pct"/>
            <w:tcBorders>
              <w:top w:val="single" w:sz="4" w:space="0" w:color="010000"/>
            </w:tcBorders>
            <w:vAlign w:val="center"/>
          </w:tcPr>
          <w:p>
            <w:pPr>
              <w:jc w:val="left"/>
            </w:pPr>
            <w:r/>
            <w:r>
              <w:rPr>
                <w:rFonts w:hint="eastAsia"/>
                <w:color w:val="000000"/>
                <w:sz w:val="21"/>
              </w:rPr>
              <w:t>高工机器人GGII、中商产业研究院、摩根士丹利</w:t>
            </w:r>
          </w:p>
        </w:tc>
      </w:tr>
      <w:tr>
        <w:trPr>
          <w:cantSplit/>
          <w:jc w:val="center"/>
        </w:trPr>
        <w:tc>
          <w:tcPr>
            <w:tcW w:w="333" w:type="pct"/>
            <w:tcBorders>
              <w:top w:val="single" w:sz="4" w:space="0" w:color="010000"/>
            </w:tcBorders>
            <w:vAlign w:val="center"/>
          </w:tcPr>
          <w:p>
            <w:pPr>
              <w:jc w:val="left"/>
            </w:pPr>
            <w:r/>
            <w:r>
              <w:rPr>
                <w:rFonts w:hint="eastAsia"/>
                <w:color w:val="000000"/>
                <w:sz w:val="21"/>
              </w:rPr>
              <w:t>图5</w:t>
            </w:r>
          </w:p>
        </w:tc>
        <w:tc>
          <w:tcPr>
            <w:tcW w:w="1917" w:type="pct"/>
            <w:tcBorders>
              <w:top w:val="single" w:sz="4" w:space="0" w:color="010000"/>
            </w:tcBorders>
            <w:vAlign w:val="center"/>
          </w:tcPr>
          <w:p>
            <w:pPr>
              <w:jc w:val="left"/>
            </w:pPr>
            <w:r/>
            <w:r>
              <w:rPr>
                <w:rFonts w:hint="eastAsia"/>
                <w:color w:val="000000"/>
                <w:sz w:val="21"/>
              </w:rPr>
              <w:t>2025年中国人形机器人中标项目金额分布</w:t>
            </w:r>
          </w:p>
        </w:tc>
        <w:tc>
          <w:tcPr>
            <w:tcW w:w="583" w:type="pct"/>
            <w:tcBorders>
              <w:top w:val="single" w:sz="4" w:space="0" w:color="010000"/>
            </w:tcBorders>
            <w:vAlign w:val="center"/>
          </w:tcPr>
          <w:p>
            <w:pPr>
              <w:jc w:val="left"/>
            </w:pPr>
            <w:r/>
            <w:r>
              <w:rPr>
                <w:rFonts w:hint="eastAsia"/>
                <w:color w:val="000000"/>
                <w:sz w:val="21"/>
              </w:rPr>
              <w:t>条形图</w:t>
            </w:r>
          </w:p>
        </w:tc>
        <w:tc>
          <w:tcPr>
            <w:tcW w:w="500" w:type="pct"/>
            <w:tcBorders>
              <w:top w:val="single" w:sz="4" w:space="0" w:color="010000"/>
            </w:tcBorders>
            <w:vAlign w:val="center"/>
          </w:tcPr>
          <w:p>
            <w:pPr>
              <w:jc w:val="left"/>
            </w:pPr>
            <w:r/>
            <w:r>
              <w:rPr>
                <w:rFonts w:hint="eastAsia"/>
                <w:color w:val="000000"/>
                <w:sz w:val="21"/>
              </w:rPr>
              <w:t>3.3</w:t>
            </w:r>
          </w:p>
        </w:tc>
        <w:tc>
          <w:tcPr>
            <w:tcW w:w="1667" w:type="pct"/>
            <w:tcBorders>
              <w:top w:val="single" w:sz="4" w:space="0" w:color="010000"/>
            </w:tcBorders>
            <w:vAlign w:val="center"/>
          </w:tcPr>
          <w:p>
            <w:pPr>
              <w:jc w:val="left"/>
            </w:pPr>
            <w:r/>
            <w:r>
              <w:rPr>
                <w:rFonts w:hint="eastAsia"/>
                <w:color w:val="000000"/>
                <w:sz w:val="21"/>
              </w:rPr>
              <w:t>高工机器人GGII投招标统计</w:t>
            </w:r>
          </w:p>
        </w:tc>
      </w:tr>
      <w:tr>
        <w:trPr>
          <w:cantSplit/>
          <w:jc w:val="center"/>
        </w:trPr>
        <w:tc>
          <w:tcPr>
            <w:tcW w:w="333" w:type="pct"/>
            <w:tcBorders>
              <w:top w:val="single" w:sz="4" w:space="0" w:color="010000"/>
            </w:tcBorders>
            <w:vAlign w:val="center"/>
          </w:tcPr>
          <w:p>
            <w:pPr>
              <w:jc w:val="left"/>
            </w:pPr>
            <w:r/>
            <w:r>
              <w:rPr>
                <w:rFonts w:hint="eastAsia"/>
                <w:color w:val="000000"/>
                <w:sz w:val="21"/>
              </w:rPr>
              <w:t>图6</w:t>
            </w:r>
          </w:p>
        </w:tc>
        <w:tc>
          <w:tcPr>
            <w:tcW w:w="1917" w:type="pct"/>
            <w:tcBorders>
              <w:top w:val="single" w:sz="4" w:space="0" w:color="010000"/>
            </w:tcBorders>
            <w:vAlign w:val="center"/>
          </w:tcPr>
          <w:p>
            <w:pPr>
              <w:jc w:val="left"/>
            </w:pPr>
            <w:r/>
            <w:r>
              <w:rPr>
                <w:rFonts w:hint="eastAsia"/>
                <w:color w:val="000000"/>
                <w:sz w:val="21"/>
              </w:rPr>
              <w:t>2025年全球人形机器人出货量企业份额</w:t>
            </w:r>
          </w:p>
        </w:tc>
        <w:tc>
          <w:tcPr>
            <w:tcW w:w="583" w:type="pct"/>
            <w:tcBorders>
              <w:top w:val="single" w:sz="4" w:space="0" w:color="010000"/>
            </w:tcBorders>
            <w:vAlign w:val="center"/>
          </w:tcPr>
          <w:p>
            <w:pPr>
              <w:jc w:val="left"/>
            </w:pPr>
            <w:r/>
            <w:r>
              <w:rPr>
                <w:rFonts w:hint="eastAsia"/>
                <w:color w:val="000000"/>
                <w:sz w:val="21"/>
              </w:rPr>
              <w:t>饼图</w:t>
            </w:r>
          </w:p>
        </w:tc>
        <w:tc>
          <w:tcPr>
            <w:tcW w:w="500" w:type="pct"/>
            <w:tcBorders>
              <w:top w:val="single" w:sz="4" w:space="0" w:color="010000"/>
            </w:tcBorders>
            <w:vAlign w:val="center"/>
          </w:tcPr>
          <w:p>
            <w:pPr>
              <w:jc w:val="left"/>
            </w:pPr>
            <w:r/>
            <w:r>
              <w:rPr>
                <w:rFonts w:hint="eastAsia"/>
                <w:color w:val="000000"/>
                <w:sz w:val="21"/>
              </w:rPr>
              <w:t>4.1</w:t>
            </w:r>
          </w:p>
        </w:tc>
        <w:tc>
          <w:tcPr>
            <w:tcW w:w="1667" w:type="pct"/>
            <w:tcBorders>
              <w:top w:val="single" w:sz="4" w:space="0" w:color="010000"/>
            </w:tcBorders>
            <w:vAlign w:val="center"/>
          </w:tcPr>
          <w:p>
            <w:pPr>
              <w:jc w:val="left"/>
            </w:pPr>
            <w:r/>
            <w:r>
              <w:rPr>
                <w:rFonts w:hint="eastAsia"/>
                <w:color w:val="000000"/>
                <w:sz w:val="21"/>
              </w:rPr>
              <w:t>2025年人形机器人行业报告（IDC等口径）</w:t>
            </w:r>
          </w:p>
        </w:tc>
      </w:tr>
      <w:tr>
        <w:trPr>
          <w:cantSplit/>
          <w:jc w:val="center"/>
        </w:trPr>
        <w:tc>
          <w:tcPr>
            <w:tcW w:w="333" w:type="pct"/>
            <w:tcBorders>
              <w:top w:val="single" w:sz="4" w:space="0" w:color="010000"/>
            </w:tcBorders>
            <w:vAlign w:val="center"/>
          </w:tcPr>
          <w:p>
            <w:pPr>
              <w:jc w:val="left"/>
            </w:pPr>
            <w:r/>
            <w:r>
              <w:rPr>
                <w:rFonts w:hint="eastAsia"/>
                <w:color w:val="000000"/>
                <w:sz w:val="21"/>
              </w:rPr>
              <w:t>表1</w:t>
            </w:r>
          </w:p>
        </w:tc>
        <w:tc>
          <w:tcPr>
            <w:tcW w:w="1917" w:type="pct"/>
            <w:tcBorders>
              <w:top w:val="single" w:sz="4" w:space="0" w:color="010000"/>
            </w:tcBorders>
            <w:vAlign w:val="center"/>
          </w:tcPr>
          <w:p>
            <w:pPr>
              <w:jc w:val="left"/>
            </w:pPr>
            <w:r/>
            <w:r>
              <w:rPr>
                <w:rFonts w:hint="eastAsia"/>
                <w:color w:val="000000"/>
                <w:sz w:val="21"/>
              </w:rPr>
              <w:t>人形机器人主要产品形态与技术路线</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1.2</w:t>
            </w:r>
          </w:p>
        </w:tc>
        <w:tc>
          <w:tcPr>
            <w:tcW w:w="1667" w:type="pct"/>
            <w:tcBorders>
              <w:top w:val="single" w:sz="4" w:space="0" w:color="010000"/>
            </w:tcBorders>
            <w:vAlign w:val="center"/>
          </w:tcPr>
          <w:p>
            <w:pPr>
              <w:jc w:val="left"/>
            </w:pPr>
            <w:r/>
            <w:r>
              <w:rPr>
                <w:rFonts w:hint="eastAsia"/>
                <w:color w:val="000000"/>
                <w:sz w:val="21"/>
              </w:rPr>
              <w:t>公司官网及公开产品资料、世界机器人大会展商资料</w:t>
            </w:r>
          </w:p>
        </w:tc>
      </w:tr>
      <w:tr>
        <w:trPr>
          <w:cantSplit/>
          <w:jc w:val="center"/>
        </w:trPr>
        <w:tc>
          <w:tcPr>
            <w:tcW w:w="333" w:type="pct"/>
            <w:tcBorders>
              <w:top w:val="single" w:sz="4" w:space="0" w:color="010000"/>
            </w:tcBorders>
            <w:vAlign w:val="center"/>
          </w:tcPr>
          <w:p>
            <w:pPr>
              <w:jc w:val="left"/>
            </w:pPr>
            <w:r/>
            <w:r>
              <w:rPr>
                <w:rFonts w:hint="eastAsia"/>
                <w:color w:val="000000"/>
                <w:sz w:val="21"/>
              </w:rPr>
              <w:t>表2</w:t>
            </w:r>
          </w:p>
        </w:tc>
        <w:tc>
          <w:tcPr>
            <w:tcW w:w="1917" w:type="pct"/>
            <w:tcBorders>
              <w:top w:val="single" w:sz="4" w:space="0" w:color="010000"/>
            </w:tcBorders>
            <w:vAlign w:val="center"/>
          </w:tcPr>
          <w:p>
            <w:pPr>
              <w:jc w:val="left"/>
            </w:pPr>
            <w:r/>
            <w:r>
              <w:rPr>
                <w:rFonts w:hint="eastAsia"/>
                <w:color w:val="000000"/>
                <w:sz w:val="21"/>
              </w:rPr>
              <w:t>人形机器人行业基本指标</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1.4</w:t>
            </w:r>
          </w:p>
        </w:tc>
        <w:tc>
          <w:tcPr>
            <w:tcW w:w="1667" w:type="pct"/>
            <w:tcBorders>
              <w:top w:val="single" w:sz="4" w:space="0" w:color="010000"/>
            </w:tcBorders>
            <w:vAlign w:val="center"/>
          </w:tcPr>
          <w:p>
            <w:pPr>
              <w:jc w:val="left"/>
            </w:pPr>
            <w:r/>
            <w:r>
              <w:rPr>
                <w:rFonts w:hint="eastAsia"/>
                <w:color w:val="000000"/>
                <w:sz w:val="21"/>
              </w:rPr>
              <w:t>公开技术资料、行业白皮书及券商研究报告</w:t>
            </w:r>
          </w:p>
        </w:tc>
      </w:tr>
      <w:tr>
        <w:trPr>
          <w:cantSplit/>
          <w:jc w:val="center"/>
        </w:trPr>
        <w:tc>
          <w:tcPr>
            <w:tcW w:w="333" w:type="pct"/>
            <w:tcBorders>
              <w:top w:val="single" w:sz="4" w:space="0" w:color="010000"/>
            </w:tcBorders>
            <w:vAlign w:val="center"/>
          </w:tcPr>
          <w:p>
            <w:pPr>
              <w:jc w:val="left"/>
            </w:pPr>
            <w:r/>
            <w:r>
              <w:rPr>
                <w:rFonts w:hint="eastAsia"/>
                <w:color w:val="000000"/>
                <w:sz w:val="21"/>
              </w:rPr>
              <w:t>表3</w:t>
            </w:r>
          </w:p>
        </w:tc>
        <w:tc>
          <w:tcPr>
            <w:tcW w:w="1917" w:type="pct"/>
            <w:tcBorders>
              <w:top w:val="single" w:sz="4" w:space="0" w:color="010000"/>
            </w:tcBorders>
            <w:vAlign w:val="center"/>
          </w:tcPr>
          <w:p>
            <w:pPr>
              <w:jc w:val="left"/>
            </w:pPr>
            <w:r/>
            <w:r>
              <w:rPr>
                <w:rFonts w:hint="eastAsia"/>
                <w:color w:val="000000"/>
                <w:sz w:val="21"/>
              </w:rPr>
              <w:t>人形机器人电机、驱动器与编码器环节比较</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2.3</w:t>
            </w:r>
          </w:p>
        </w:tc>
        <w:tc>
          <w:tcPr>
            <w:tcW w:w="1667" w:type="pct"/>
            <w:tcBorders>
              <w:top w:val="single" w:sz="4" w:space="0" w:color="010000"/>
            </w:tcBorders>
            <w:vAlign w:val="center"/>
          </w:tcPr>
          <w:p>
            <w:pPr>
              <w:jc w:val="left"/>
            </w:pPr>
            <w:r/>
            <w:r>
              <w:rPr>
                <w:rFonts w:hint="eastAsia"/>
                <w:color w:val="000000"/>
                <w:sz w:val="21"/>
              </w:rPr>
              <w:t>MIR DATABANK、各公司公开披露、行业媒体报道</w:t>
            </w:r>
          </w:p>
        </w:tc>
      </w:tr>
      <w:tr>
        <w:trPr>
          <w:cantSplit/>
          <w:jc w:val="center"/>
        </w:trPr>
        <w:tc>
          <w:tcPr>
            <w:tcW w:w="333" w:type="pct"/>
            <w:tcBorders>
              <w:top w:val="single" w:sz="4" w:space="0" w:color="010000"/>
            </w:tcBorders>
            <w:vAlign w:val="center"/>
          </w:tcPr>
          <w:p>
            <w:pPr>
              <w:jc w:val="left"/>
            </w:pPr>
            <w:r/>
            <w:r>
              <w:rPr>
                <w:rFonts w:hint="eastAsia"/>
                <w:color w:val="000000"/>
                <w:sz w:val="21"/>
              </w:rPr>
              <w:t>表4</w:t>
            </w:r>
          </w:p>
        </w:tc>
        <w:tc>
          <w:tcPr>
            <w:tcW w:w="1917" w:type="pct"/>
            <w:tcBorders>
              <w:top w:val="single" w:sz="4" w:space="0" w:color="010000"/>
            </w:tcBorders>
            <w:vAlign w:val="center"/>
          </w:tcPr>
          <w:p>
            <w:pPr>
              <w:jc w:val="left"/>
            </w:pPr>
            <w:r/>
            <w:r>
              <w:rPr>
                <w:rFonts w:hint="eastAsia"/>
                <w:color w:val="000000"/>
                <w:sz w:val="21"/>
              </w:rPr>
              <w:t>一体化关节模组环节参与者类型比较</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2.4</w:t>
            </w:r>
          </w:p>
        </w:tc>
        <w:tc>
          <w:tcPr>
            <w:tcW w:w="1667" w:type="pct"/>
            <w:tcBorders>
              <w:top w:val="single" w:sz="4" w:space="0" w:color="010000"/>
            </w:tcBorders>
            <w:vAlign w:val="center"/>
          </w:tcPr>
          <w:p>
            <w:pPr>
              <w:jc w:val="left"/>
            </w:pPr>
            <w:r/>
            <w:r>
              <w:rPr>
                <w:rFonts w:hint="eastAsia"/>
                <w:color w:val="000000"/>
                <w:sz w:val="21"/>
              </w:rPr>
              <w:t>行业白皮书、各公司公开披露</w:t>
            </w:r>
          </w:p>
        </w:tc>
      </w:tr>
      <w:tr>
        <w:trPr>
          <w:cantSplit/>
          <w:jc w:val="center"/>
        </w:trPr>
        <w:tc>
          <w:tcPr>
            <w:tcW w:w="333" w:type="pct"/>
            <w:tcBorders>
              <w:top w:val="single" w:sz="4" w:space="0" w:color="010000"/>
            </w:tcBorders>
            <w:vAlign w:val="center"/>
          </w:tcPr>
          <w:p>
            <w:pPr>
              <w:jc w:val="left"/>
            </w:pPr>
            <w:r/>
            <w:r>
              <w:rPr>
                <w:rFonts w:hint="eastAsia"/>
                <w:color w:val="000000"/>
                <w:sz w:val="21"/>
              </w:rPr>
              <w:t>表5</w:t>
            </w:r>
          </w:p>
        </w:tc>
        <w:tc>
          <w:tcPr>
            <w:tcW w:w="1917" w:type="pct"/>
            <w:tcBorders>
              <w:top w:val="single" w:sz="4" w:space="0" w:color="010000"/>
            </w:tcBorders>
            <w:vAlign w:val="center"/>
          </w:tcPr>
          <w:p>
            <w:pPr>
              <w:jc w:val="left"/>
            </w:pPr>
            <w:r/>
            <w:r>
              <w:rPr>
                <w:rFonts w:hint="eastAsia"/>
                <w:color w:val="000000"/>
                <w:sz w:val="21"/>
              </w:rPr>
              <w:t>人形机器人其他上游环节概览</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2.5</w:t>
            </w:r>
          </w:p>
        </w:tc>
        <w:tc>
          <w:tcPr>
            <w:tcW w:w="1667" w:type="pct"/>
            <w:tcBorders>
              <w:top w:val="single" w:sz="4" w:space="0" w:color="010000"/>
            </w:tcBorders>
            <w:vAlign w:val="center"/>
          </w:tcPr>
          <w:p>
            <w:pPr>
              <w:jc w:val="left"/>
            </w:pPr>
            <w:r/>
            <w:r>
              <w:rPr>
                <w:rFonts w:hint="eastAsia"/>
                <w:color w:val="000000"/>
                <w:sz w:val="21"/>
              </w:rPr>
              <w:t>各细分行业研究报告、券商研究报告</w:t>
            </w:r>
          </w:p>
        </w:tc>
      </w:tr>
      <w:tr>
        <w:trPr>
          <w:cantSplit/>
          <w:jc w:val="center"/>
        </w:trPr>
        <w:tc>
          <w:tcPr>
            <w:tcW w:w="333" w:type="pct"/>
            <w:tcBorders>
              <w:top w:val="single" w:sz="4" w:space="0" w:color="010000"/>
            </w:tcBorders>
            <w:vAlign w:val="center"/>
          </w:tcPr>
          <w:p>
            <w:pPr>
              <w:jc w:val="left"/>
            </w:pPr>
            <w:r/>
            <w:r>
              <w:rPr>
                <w:rFonts w:hint="eastAsia"/>
                <w:color w:val="000000"/>
                <w:sz w:val="21"/>
              </w:rPr>
              <w:t>表6</w:t>
            </w:r>
          </w:p>
        </w:tc>
        <w:tc>
          <w:tcPr>
            <w:tcW w:w="1917" w:type="pct"/>
            <w:tcBorders>
              <w:top w:val="single" w:sz="4" w:space="0" w:color="010000"/>
            </w:tcBorders>
            <w:vAlign w:val="center"/>
          </w:tcPr>
          <w:p>
            <w:pPr>
              <w:jc w:val="left"/>
            </w:pPr>
            <w:r/>
            <w:r>
              <w:rPr>
                <w:rFonts w:hint="eastAsia"/>
                <w:color w:val="000000"/>
                <w:sz w:val="21"/>
              </w:rPr>
              <w:t>2025年中国人形机器人五大应用场景比较</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2.7</w:t>
            </w:r>
          </w:p>
        </w:tc>
        <w:tc>
          <w:tcPr>
            <w:tcW w:w="1667" w:type="pct"/>
            <w:tcBorders>
              <w:top w:val="single" w:sz="4" w:space="0" w:color="010000"/>
            </w:tcBorders>
            <w:vAlign w:val="center"/>
          </w:tcPr>
          <w:p>
            <w:pPr>
              <w:jc w:val="left"/>
            </w:pPr>
            <w:r/>
            <w:r>
              <w:rPr>
                <w:rFonts w:hint="eastAsia"/>
                <w:color w:val="000000"/>
                <w:sz w:val="21"/>
              </w:rPr>
              <w:t>高工机器人GGII</w:t>
            </w:r>
          </w:p>
        </w:tc>
      </w:tr>
      <w:tr>
        <w:trPr>
          <w:cantSplit/>
          <w:jc w:val="center"/>
        </w:trPr>
        <w:tc>
          <w:tcPr>
            <w:tcW w:w="333" w:type="pct"/>
            <w:tcBorders>
              <w:top w:val="single" w:sz="4" w:space="0" w:color="010000"/>
            </w:tcBorders>
            <w:vAlign w:val="center"/>
          </w:tcPr>
          <w:p>
            <w:pPr>
              <w:jc w:val="left"/>
            </w:pPr>
            <w:r/>
            <w:r>
              <w:rPr>
                <w:rFonts w:hint="eastAsia"/>
                <w:color w:val="000000"/>
                <w:sz w:val="21"/>
              </w:rPr>
              <w:t>表7</w:t>
            </w:r>
          </w:p>
        </w:tc>
        <w:tc>
          <w:tcPr>
            <w:tcW w:w="1917" w:type="pct"/>
            <w:tcBorders>
              <w:top w:val="single" w:sz="4" w:space="0" w:color="010000"/>
            </w:tcBorders>
            <w:vAlign w:val="center"/>
          </w:tcPr>
          <w:p>
            <w:pPr>
              <w:jc w:val="left"/>
            </w:pPr>
            <w:r/>
            <w:r>
              <w:rPr>
                <w:rFonts w:hint="eastAsia"/>
                <w:color w:val="000000"/>
                <w:sz w:val="21"/>
              </w:rPr>
              <w:t>第二梯队及新兴人形机器人整机企业概览</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5.4</w:t>
            </w:r>
          </w:p>
        </w:tc>
        <w:tc>
          <w:tcPr>
            <w:tcW w:w="1667" w:type="pct"/>
            <w:tcBorders>
              <w:top w:val="single" w:sz="4" w:space="0" w:color="010000"/>
            </w:tcBorders>
            <w:vAlign w:val="center"/>
          </w:tcPr>
          <w:p>
            <w:pPr>
              <w:jc w:val="left"/>
            </w:pPr>
            <w:r/>
            <w:r>
              <w:rPr>
                <w:rFonts w:hint="eastAsia"/>
                <w:color w:val="000000"/>
                <w:sz w:val="21"/>
              </w:rPr>
              <w:t>各公司公开披露、交易所公告、第三方统计</w:t>
            </w:r>
          </w:p>
        </w:tc>
      </w:tr>
      <w:tr>
        <w:trPr>
          <w:cantSplit/>
          <w:jc w:val="center"/>
        </w:trPr>
        <w:tc>
          <w:tcPr>
            <w:tcW w:w="333" w:type="pct"/>
            <w:tcBorders>
              <w:top w:val="single" w:sz="4" w:space="0" w:color="010000"/>
            </w:tcBorders>
            <w:vAlign w:val="center"/>
          </w:tcPr>
          <w:p>
            <w:pPr>
              <w:jc w:val="left"/>
            </w:pPr>
            <w:r/>
            <w:r>
              <w:rPr>
                <w:rFonts w:hint="eastAsia"/>
                <w:color w:val="000000"/>
                <w:sz w:val="21"/>
              </w:rPr>
              <w:t>表8</w:t>
            </w:r>
          </w:p>
        </w:tc>
        <w:tc>
          <w:tcPr>
            <w:tcW w:w="1917" w:type="pct"/>
            <w:tcBorders>
              <w:top w:val="single" w:sz="4" w:space="0" w:color="010000"/>
            </w:tcBorders>
            <w:vAlign w:val="center"/>
          </w:tcPr>
          <w:p>
            <w:pPr>
              <w:jc w:val="left"/>
            </w:pPr>
            <w:r/>
            <w:r>
              <w:rPr>
                <w:rFonts w:hint="eastAsia"/>
                <w:color w:val="000000"/>
                <w:sz w:val="21"/>
              </w:rPr>
              <w:t>已上市或已完成发行的产业链企业</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6.1</w:t>
            </w:r>
          </w:p>
        </w:tc>
        <w:tc>
          <w:tcPr>
            <w:tcW w:w="1667" w:type="pct"/>
            <w:tcBorders>
              <w:top w:val="single" w:sz="4" w:space="0" w:color="010000"/>
            </w:tcBorders>
            <w:vAlign w:val="center"/>
          </w:tcPr>
          <w:p>
            <w:pPr>
              <w:jc w:val="left"/>
            </w:pPr>
            <w:r/>
            <w:r>
              <w:rPr>
                <w:rFonts w:hint="eastAsia"/>
                <w:color w:val="000000"/>
                <w:sz w:val="21"/>
              </w:rPr>
              <w:t>上交所、港交所公开披露文件，各公司年报</w:t>
            </w:r>
          </w:p>
        </w:tc>
      </w:tr>
      <w:tr>
        <w:trPr>
          <w:cantSplit/>
          <w:jc w:val="center"/>
        </w:trPr>
        <w:tc>
          <w:tcPr>
            <w:tcW w:w="333" w:type="pct"/>
            <w:tcBorders>
              <w:top w:val="single" w:sz="4" w:space="0" w:color="010000"/>
            </w:tcBorders>
            <w:vAlign w:val="center"/>
          </w:tcPr>
          <w:p>
            <w:pPr>
              <w:jc w:val="left"/>
            </w:pPr>
            <w:r/>
            <w:r>
              <w:rPr>
                <w:rFonts w:hint="eastAsia"/>
                <w:color w:val="000000"/>
                <w:sz w:val="21"/>
              </w:rPr>
              <w:t>表9</w:t>
            </w:r>
          </w:p>
        </w:tc>
        <w:tc>
          <w:tcPr>
            <w:tcW w:w="1917" w:type="pct"/>
            <w:tcBorders>
              <w:top w:val="single" w:sz="4" w:space="0" w:color="010000"/>
            </w:tcBorders>
            <w:vAlign w:val="center"/>
          </w:tcPr>
          <w:p>
            <w:pPr>
              <w:jc w:val="left"/>
            </w:pPr>
            <w:r/>
            <w:r>
              <w:rPr>
                <w:rFonts w:hint="eastAsia"/>
                <w:color w:val="000000"/>
                <w:sz w:val="21"/>
              </w:rPr>
              <w:t>在审、已问询或已递表的产业链企业</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6.2</w:t>
            </w:r>
          </w:p>
        </w:tc>
        <w:tc>
          <w:tcPr>
            <w:tcW w:w="1667" w:type="pct"/>
            <w:tcBorders>
              <w:top w:val="single" w:sz="4" w:space="0" w:color="010000"/>
            </w:tcBorders>
            <w:vAlign w:val="center"/>
          </w:tcPr>
          <w:p>
            <w:pPr>
              <w:jc w:val="left"/>
            </w:pPr>
            <w:r/>
            <w:r>
              <w:rPr>
                <w:rFonts w:hint="eastAsia"/>
                <w:color w:val="000000"/>
                <w:sz w:val="21"/>
              </w:rPr>
              <w:t>深交所、上交所公开披露</w:t>
            </w:r>
          </w:p>
        </w:tc>
      </w:tr>
      <w:tr>
        <w:trPr>
          <w:cantSplit/>
          <w:jc w:val="center"/>
        </w:trPr>
        <w:tc>
          <w:tcPr>
            <w:tcW w:w="333" w:type="pct"/>
            <w:tcBorders>
              <w:top w:val="single" w:sz="4" w:space="0" w:color="010000"/>
            </w:tcBorders>
            <w:vAlign w:val="center"/>
          </w:tcPr>
          <w:p>
            <w:pPr>
              <w:jc w:val="left"/>
            </w:pPr>
            <w:r/>
            <w:r>
              <w:rPr>
                <w:rFonts w:hint="eastAsia"/>
                <w:color w:val="000000"/>
                <w:sz w:val="21"/>
              </w:rPr>
              <w:t>表10</w:t>
            </w:r>
          </w:p>
        </w:tc>
        <w:tc>
          <w:tcPr>
            <w:tcW w:w="1917" w:type="pct"/>
            <w:tcBorders>
              <w:top w:val="single" w:sz="4" w:space="0" w:color="010000"/>
            </w:tcBorders>
            <w:vAlign w:val="center"/>
          </w:tcPr>
          <w:p>
            <w:pPr>
              <w:jc w:val="left"/>
            </w:pPr>
            <w:r/>
            <w:r>
              <w:rPr>
                <w:rFonts w:hint="eastAsia"/>
                <w:color w:val="000000"/>
                <w:sz w:val="21"/>
              </w:rPr>
              <w:t>正在辅导备案或已完成股改的产业链企业</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6.3</w:t>
            </w:r>
          </w:p>
        </w:tc>
        <w:tc>
          <w:tcPr>
            <w:tcW w:w="1667" w:type="pct"/>
            <w:tcBorders>
              <w:top w:val="single" w:sz="4" w:space="0" w:color="010000"/>
            </w:tcBorders>
            <w:vAlign w:val="center"/>
          </w:tcPr>
          <w:p>
            <w:pPr>
              <w:jc w:val="left"/>
            </w:pPr>
            <w:r/>
            <w:r>
              <w:rPr>
                <w:rFonts w:hint="eastAsia"/>
                <w:color w:val="000000"/>
                <w:sz w:val="21"/>
              </w:rPr>
              <w:t>证监会及各地证监局辅导备案公示</w:t>
            </w:r>
          </w:p>
        </w:tc>
      </w:tr>
      <w:tr>
        <w:trPr>
          <w:cantSplit/>
          <w:jc w:val="center"/>
        </w:trPr>
        <w:tc>
          <w:tcPr>
            <w:tcW w:w="333" w:type="pct"/>
            <w:tcBorders>
              <w:top w:val="single" w:sz="4" w:space="0" w:color="010000"/>
            </w:tcBorders>
            <w:vAlign w:val="center"/>
          </w:tcPr>
          <w:p>
            <w:pPr>
              <w:jc w:val="left"/>
            </w:pPr>
            <w:r/>
            <w:r>
              <w:rPr>
                <w:rFonts w:hint="eastAsia"/>
                <w:color w:val="000000"/>
                <w:sz w:val="21"/>
              </w:rPr>
              <w:t>表11</w:t>
            </w:r>
          </w:p>
        </w:tc>
        <w:tc>
          <w:tcPr>
            <w:tcW w:w="1917" w:type="pct"/>
            <w:tcBorders>
              <w:top w:val="single" w:sz="4" w:space="0" w:color="010000"/>
            </w:tcBorders>
            <w:vAlign w:val="center"/>
          </w:tcPr>
          <w:p>
            <w:pPr>
              <w:jc w:val="left"/>
            </w:pPr>
            <w:r/>
            <w:r>
              <w:rPr>
                <w:rFonts w:hint="eastAsia"/>
                <w:color w:val="000000"/>
                <w:sz w:val="21"/>
              </w:rPr>
              <w:t>通过上市公司平台实现资本化的企业</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6.4</w:t>
            </w:r>
          </w:p>
        </w:tc>
        <w:tc>
          <w:tcPr>
            <w:tcW w:w="1667" w:type="pct"/>
            <w:tcBorders>
              <w:top w:val="single" w:sz="4" w:space="0" w:color="010000"/>
            </w:tcBorders>
            <w:vAlign w:val="center"/>
          </w:tcPr>
          <w:p>
            <w:pPr>
              <w:jc w:val="left"/>
            </w:pPr>
            <w:r/>
            <w:r>
              <w:rPr>
                <w:rFonts w:hint="eastAsia"/>
                <w:color w:val="000000"/>
                <w:sz w:val="21"/>
              </w:rPr>
              <w:t>上纬新材公告</w:t>
            </w:r>
          </w:p>
        </w:tc>
      </w:tr>
      <w:tr>
        <w:trPr>
          <w:cantSplit/>
          <w:jc w:val="center"/>
        </w:trPr>
        <w:tc>
          <w:tcPr>
            <w:tcW w:w="333" w:type="pct"/>
            <w:tcBorders>
              <w:top w:val="single" w:sz="4" w:space="0" w:color="010000"/>
            </w:tcBorders>
            <w:vAlign w:val="center"/>
          </w:tcPr>
          <w:p>
            <w:pPr>
              <w:jc w:val="left"/>
            </w:pPr>
            <w:r/>
            <w:r>
              <w:rPr>
                <w:rFonts w:hint="eastAsia"/>
                <w:color w:val="000000"/>
                <w:sz w:val="21"/>
              </w:rPr>
              <w:t>表12</w:t>
            </w:r>
          </w:p>
        </w:tc>
        <w:tc>
          <w:tcPr>
            <w:tcW w:w="1917" w:type="pct"/>
            <w:tcBorders>
              <w:top w:val="single" w:sz="4" w:space="0" w:color="010000"/>
            </w:tcBorders>
            <w:vAlign w:val="center"/>
          </w:tcPr>
          <w:p>
            <w:pPr>
              <w:jc w:val="left"/>
            </w:pPr>
            <w:r/>
            <w:r>
              <w:rPr>
                <w:rFonts w:hint="eastAsia"/>
                <w:color w:val="000000"/>
                <w:sz w:val="21"/>
              </w:rPr>
              <w:t>国泰海通保荐或承销的机器人产业链相关公司</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7.2</w:t>
            </w:r>
          </w:p>
        </w:tc>
        <w:tc>
          <w:tcPr>
            <w:tcW w:w="1667" w:type="pct"/>
            <w:tcBorders>
              <w:top w:val="single" w:sz="4" w:space="0" w:color="010000"/>
            </w:tcBorders>
            <w:vAlign w:val="center"/>
          </w:tcPr>
          <w:p>
            <w:pPr>
              <w:jc w:val="left"/>
            </w:pPr>
            <w:r/>
            <w:r>
              <w:rPr>
                <w:rFonts w:hint="eastAsia"/>
                <w:color w:val="000000"/>
                <w:sz w:val="21"/>
              </w:rPr>
              <w:t>交易所披露的发行保荐书及上市保荐书</w:t>
            </w:r>
          </w:p>
        </w:tc>
      </w:tr>
      <w:tr>
        <w:trPr>
          <w:cantSplit/>
          <w:jc w:val="center"/>
        </w:trPr>
        <w:tc>
          <w:tcPr>
            <w:tcW w:w="333" w:type="pct"/>
            <w:tcBorders>
              <w:top w:val="single" w:sz="4" w:space="0" w:color="010000"/>
            </w:tcBorders>
            <w:vAlign w:val="center"/>
          </w:tcPr>
          <w:p>
            <w:pPr>
              <w:jc w:val="left"/>
            </w:pPr>
            <w:r/>
            <w:r>
              <w:rPr>
                <w:rFonts w:hint="eastAsia"/>
                <w:color w:val="000000"/>
                <w:sz w:val="21"/>
              </w:rPr>
              <w:t>表13</w:t>
            </w:r>
          </w:p>
        </w:tc>
        <w:tc>
          <w:tcPr>
            <w:tcW w:w="1917" w:type="pct"/>
            <w:tcBorders>
              <w:top w:val="single" w:sz="4" w:space="0" w:color="010000"/>
            </w:tcBorders>
            <w:vAlign w:val="center"/>
          </w:tcPr>
          <w:p>
            <w:pPr>
              <w:jc w:val="left"/>
            </w:pPr>
            <w:r/>
            <w:r>
              <w:rPr>
                <w:rFonts w:hint="eastAsia"/>
                <w:color w:val="000000"/>
                <w:sz w:val="21"/>
              </w:rPr>
              <w:t>国泰海通担任辅导机构的相关公司</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7.3</w:t>
            </w:r>
          </w:p>
        </w:tc>
        <w:tc>
          <w:tcPr>
            <w:tcW w:w="1667" w:type="pct"/>
            <w:tcBorders>
              <w:top w:val="single" w:sz="4" w:space="0" w:color="010000"/>
            </w:tcBorders>
            <w:vAlign w:val="center"/>
          </w:tcPr>
          <w:p>
            <w:pPr>
              <w:jc w:val="left"/>
            </w:pPr>
            <w:r/>
            <w:r>
              <w:rPr>
                <w:rFonts w:hint="eastAsia"/>
                <w:color w:val="000000"/>
                <w:sz w:val="21"/>
              </w:rPr>
              <w:t>证监会及各地证监局辅导备案公示</w:t>
            </w:r>
          </w:p>
        </w:tc>
      </w:tr>
      <w:tr>
        <w:trPr>
          <w:cantSplit/>
          <w:jc w:val="center"/>
        </w:trPr>
        <w:tc>
          <w:tcPr>
            <w:tcW w:w="333" w:type="pct"/>
            <w:tcBorders>
              <w:top w:val="single" w:sz="4" w:space="0" w:color="010000"/>
            </w:tcBorders>
            <w:vAlign w:val="center"/>
          </w:tcPr>
          <w:p>
            <w:pPr>
              <w:jc w:val="left"/>
            </w:pPr>
            <w:r/>
            <w:r>
              <w:rPr>
                <w:rFonts w:hint="eastAsia"/>
                <w:color w:val="000000"/>
                <w:sz w:val="21"/>
              </w:rPr>
              <w:t>表14</w:t>
            </w:r>
          </w:p>
        </w:tc>
        <w:tc>
          <w:tcPr>
            <w:tcW w:w="1917" w:type="pct"/>
            <w:tcBorders>
              <w:top w:val="single" w:sz="4" w:space="0" w:color="010000"/>
            </w:tcBorders>
            <w:vAlign w:val="center"/>
          </w:tcPr>
          <w:p>
            <w:pPr>
              <w:jc w:val="left"/>
            </w:pPr>
            <w:r/>
            <w:r>
              <w:rPr>
                <w:rFonts w:hint="eastAsia"/>
                <w:color w:val="000000"/>
                <w:sz w:val="21"/>
              </w:rPr>
              <w:t>国泰海通体系已投资的机器人产业链公司</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7.4</w:t>
            </w:r>
          </w:p>
        </w:tc>
        <w:tc>
          <w:tcPr>
            <w:tcW w:w="1667" w:type="pct"/>
            <w:tcBorders>
              <w:top w:val="single" w:sz="4" w:space="0" w:color="010000"/>
            </w:tcBorders>
            <w:vAlign w:val="center"/>
          </w:tcPr>
          <w:p>
            <w:pPr>
              <w:jc w:val="left"/>
            </w:pPr>
            <w:r/>
            <w:r>
              <w:rPr>
                <w:rFonts w:hint="eastAsia"/>
                <w:color w:val="000000"/>
                <w:sz w:val="21"/>
              </w:rPr>
              <w:t>公开融资新闻报道</w:t>
            </w:r>
          </w:p>
        </w:tc>
      </w:tr>
      <w:tr>
        <w:trPr>
          <w:cantSplit/>
          <w:jc w:val="center"/>
        </w:trPr>
        <w:tc>
          <w:tcPr>
            <w:tcW w:w="333" w:type="pct"/>
            <w:tcBorders>
              <w:top w:val="single" w:sz="4" w:space="0" w:color="010000"/>
            </w:tcBorders>
            <w:vAlign w:val="center"/>
          </w:tcPr>
          <w:p>
            <w:pPr>
              <w:jc w:val="left"/>
            </w:pPr>
            <w:r/>
            <w:r>
              <w:rPr>
                <w:rFonts w:hint="eastAsia"/>
                <w:color w:val="000000"/>
                <w:sz w:val="21"/>
              </w:rPr>
              <w:t>表15</w:t>
            </w:r>
          </w:p>
        </w:tc>
        <w:tc>
          <w:tcPr>
            <w:tcW w:w="1917" w:type="pct"/>
            <w:tcBorders>
              <w:top w:val="single" w:sz="4" w:space="0" w:color="010000"/>
            </w:tcBorders>
            <w:vAlign w:val="center"/>
          </w:tcPr>
          <w:p>
            <w:pPr>
              <w:jc w:val="left"/>
            </w:pPr>
            <w:r/>
            <w:r>
              <w:rPr>
                <w:rFonts w:hint="eastAsia"/>
                <w:color w:val="000000"/>
                <w:sz w:val="21"/>
              </w:rPr>
              <w:t>无锡巨蟹拜访关注要点</w:t>
            </w:r>
          </w:p>
        </w:tc>
        <w:tc>
          <w:tcPr>
            <w:tcW w:w="583" w:type="pct"/>
            <w:tcBorders>
              <w:top w:val="single" w:sz="4" w:space="0" w:color="010000"/>
            </w:tcBorders>
            <w:vAlign w:val="center"/>
          </w:tcPr>
          <w:p>
            <w:pPr>
              <w:jc w:val="left"/>
            </w:pPr>
            <w:r/>
            <w:r>
              <w:rPr>
                <w:rFonts w:hint="eastAsia"/>
                <w:color w:val="000000"/>
                <w:sz w:val="21"/>
              </w:rPr>
              <w:t>—</w:t>
            </w:r>
          </w:p>
        </w:tc>
        <w:tc>
          <w:tcPr>
            <w:tcW w:w="500" w:type="pct"/>
            <w:tcBorders>
              <w:top w:val="single" w:sz="4" w:space="0" w:color="010000"/>
            </w:tcBorders>
            <w:vAlign w:val="center"/>
          </w:tcPr>
          <w:p>
            <w:pPr>
              <w:jc w:val="left"/>
            </w:pPr>
            <w:r/>
            <w:r>
              <w:rPr>
                <w:rFonts w:hint="eastAsia"/>
                <w:color w:val="000000"/>
                <w:sz w:val="21"/>
              </w:rPr>
              <w:t>8.3</w:t>
            </w:r>
          </w:p>
        </w:tc>
        <w:tc>
          <w:tcPr>
            <w:tcW w:w="1667" w:type="pct"/>
            <w:tcBorders>
              <w:top w:val="single" w:sz="4" w:space="0" w:color="010000"/>
            </w:tcBorders>
            <w:vAlign w:val="center"/>
          </w:tcPr>
          <w:p>
            <w:pPr>
              <w:jc w:val="left"/>
            </w:pPr>
            <w:r/>
            <w:r>
              <w:rPr>
                <w:rFonts w:hint="eastAsia"/>
                <w:color w:val="000000"/>
                <w:sz w:val="21"/>
              </w:rPr>
              <w:t>本报告基于行业分析整理</w:t>
            </w:r>
          </w:p>
        </w:tc>
      </w:tr>
    </w:tbl>
    <w:p>
      <w:pPr>
        <w:pStyle w:val="a6"/>
      </w:pPr>
      <w:r>
        <w:rPr>
          <w:rFonts w:hint="eastAsia"/>
        </w:rPr>
        <w:t>资料来源：本memo整理。全部图表的原始数据与制图数据见《中国人形机器人产业链研究_图表数据底稿.xlsx》。</w:t>
      </w:r>
    </w:p>
    <w:p/>
    <w:p>
      <w:pPr>
        <w:pStyle w:val="2"/>
        <w:spacing w:before="156" w:after="156"/>
      </w:pPr>
      <w:r>
        <w:rPr>
          <w:rFonts w:hint="eastAsia"/>
          <w:b/>
        </w:rPr>
        <w:t>数据来源memo</w:t>
      </w:r>
    </w:p>
    <w:p>
      <w:pPr>
        <w:pStyle w:val="3"/>
        <w:numPr>
          <w:ilvl w:val="0"/>
          <w:numId w:val="0"/>
        </w:numPr>
        <w:spacing w:before="156" w:after="156"/>
      </w:pPr>
      <w:r>
        <w:rPr>
          <w:rFonts w:hint="eastAsia"/>
        </w:rPr>
        <w:t>4.1 来源分类与优先级</w:t>
      </w:r>
    </w:p>
    <w:p>
      <w:pPr>
        <w:keepNext/>
        <w:jc w:val="center"/>
      </w:pPr>
      <w:r>
        <w:rPr>
          <w:rFonts w:hint="eastAsia"/>
          <w:b/>
          <w:sz w:val="21"/>
        </w:rPr>
        <w:t>表5  数据来源分类与优先级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324" w:type="pct"/>
            <w:tcBorders>
              <w:top w:val="single" w:sz="12" w:space="0" w:color="010000"/>
              <w:bottom w:val="single" w:sz="4" w:space="0" w:color="010000"/>
            </w:tcBorders>
            <w:vAlign w:val="center"/>
          </w:tcPr>
          <w:p>
            <w:pPr>
              <w:keepNext/>
              <w:jc w:val="center"/>
            </w:pPr>
            <w:r/>
            <w:r>
              <w:rPr>
                <w:rFonts w:hint="eastAsia"/>
                <w:b/>
                <w:color w:val="000000"/>
                <w:sz w:val="21"/>
              </w:rPr>
              <w:t>优先级</w:t>
            </w:r>
          </w:p>
        </w:tc>
        <w:tc>
          <w:tcPr>
            <w:tcW w:w="935" w:type="pct"/>
            <w:tcBorders>
              <w:top w:val="single" w:sz="12" w:space="0" w:color="010000"/>
              <w:bottom w:val="single" w:sz="4" w:space="0" w:color="010000"/>
            </w:tcBorders>
            <w:vAlign w:val="center"/>
          </w:tcPr>
          <w:p>
            <w:pPr>
              <w:keepNext/>
              <w:jc w:val="center"/>
            </w:pPr>
            <w:r/>
            <w:r>
              <w:rPr>
                <w:rFonts w:hint="eastAsia"/>
                <w:b/>
                <w:color w:val="000000"/>
                <w:sz w:val="21"/>
              </w:rPr>
              <w:t>来源类别</w:t>
            </w:r>
          </w:p>
        </w:tc>
        <w:tc>
          <w:tcPr>
            <w:tcW w:w="2446" w:type="pct"/>
            <w:tcBorders>
              <w:top w:val="single" w:sz="12" w:space="0" w:color="010000"/>
              <w:bottom w:val="single" w:sz="4" w:space="0" w:color="010000"/>
            </w:tcBorders>
            <w:vAlign w:val="center"/>
          </w:tcPr>
          <w:p>
            <w:pPr>
              <w:keepNext/>
              <w:jc w:val="center"/>
            </w:pPr>
            <w:r/>
            <w:r>
              <w:rPr>
                <w:rFonts w:hint="eastAsia"/>
                <w:b/>
                <w:color w:val="000000"/>
                <w:sz w:val="21"/>
              </w:rPr>
              <w:t>具体来源</w:t>
            </w:r>
          </w:p>
        </w:tc>
        <w:tc>
          <w:tcPr>
            <w:tcW w:w="1295" w:type="pct"/>
            <w:tcBorders>
              <w:top w:val="single" w:sz="12" w:space="0" w:color="010000"/>
              <w:bottom w:val="single" w:sz="4" w:space="0" w:color="010000"/>
            </w:tcBorders>
            <w:vAlign w:val="center"/>
          </w:tcPr>
          <w:p>
            <w:pPr>
              <w:keepNext/>
              <w:jc w:val="center"/>
            </w:pPr>
            <w:r/>
            <w:r>
              <w:rPr>
                <w:rFonts w:hint="eastAsia"/>
                <w:b/>
                <w:color w:val="000000"/>
                <w:sz w:val="21"/>
              </w:rPr>
              <w:t>在本报告中的主要用途</w:t>
            </w:r>
          </w:p>
        </w:tc>
      </w:tr>
      <w:tr>
        <w:trPr>
          <w:cantSplit/>
          <w:jc w:val="center"/>
        </w:trPr>
        <w:tc>
          <w:tcPr>
            <w:tcW w:w="324" w:type="pct"/>
            <w:tcBorders>
              <w:top w:val="single" w:sz="4" w:space="0" w:color="010000"/>
            </w:tcBorders>
            <w:vAlign w:val="center"/>
          </w:tcPr>
          <w:p>
            <w:pPr>
              <w:jc w:val="left"/>
            </w:pPr>
            <w:r/>
            <w:r>
              <w:rPr>
                <w:rFonts w:hint="eastAsia"/>
                <w:color w:val="000000"/>
                <w:sz w:val="21"/>
              </w:rPr>
              <w:t>一</w:t>
            </w:r>
          </w:p>
        </w:tc>
        <w:tc>
          <w:tcPr>
            <w:tcW w:w="935" w:type="pct"/>
            <w:tcBorders>
              <w:top w:val="single" w:sz="4" w:space="0" w:color="010000"/>
            </w:tcBorders>
            <w:vAlign w:val="center"/>
          </w:tcPr>
          <w:p>
            <w:pPr>
              <w:jc w:val="left"/>
            </w:pPr>
            <w:r/>
            <w:r>
              <w:rPr>
                <w:rFonts w:hint="eastAsia"/>
                <w:color w:val="000000"/>
                <w:sz w:val="21"/>
              </w:rPr>
              <w:t>交易所与监管机构公开披露</w:t>
            </w:r>
          </w:p>
        </w:tc>
        <w:tc>
          <w:tcPr>
            <w:tcW w:w="2446" w:type="pct"/>
            <w:tcBorders>
              <w:top w:val="single" w:sz="4" w:space="0" w:color="010000"/>
            </w:tcBorders>
            <w:vAlign w:val="center"/>
          </w:tcPr>
          <w:p>
            <w:pPr>
              <w:jc w:val="left"/>
            </w:pPr>
            <w:r/>
            <w:r>
              <w:rPr>
                <w:rFonts w:hint="eastAsia"/>
                <w:color w:val="000000"/>
                <w:sz w:val="21"/>
              </w:rPr>
              <w:t>上海证券交易所（宇树科技科创板IPO招股文件及审核公告、云深处科技受理公告）、深圳证券交易所（乐聚智能受理与问询公告、三瑞智能上市保荐书）、香港交易所（来福谐波上市文件及聆讯资料、优必选年报）、中国证监会及各地证监局辅导备案公示</w:t>
            </w:r>
          </w:p>
        </w:tc>
        <w:tc>
          <w:tcPr>
            <w:tcW w:w="1295" w:type="pct"/>
            <w:tcBorders>
              <w:top w:val="single" w:sz="4" w:space="0" w:color="010000"/>
            </w:tcBorders>
            <w:vAlign w:val="center"/>
          </w:tcPr>
          <w:p>
            <w:pPr>
              <w:jc w:val="left"/>
            </w:pPr>
            <w:r/>
            <w:r>
              <w:rPr>
                <w:rFonts w:hint="eastAsia"/>
                <w:color w:val="000000"/>
                <w:sz w:val="21"/>
              </w:rPr>
              <w:t>企业上市进度、保荐机构、募资规模、经审计财务数据、市场份额与销量的官方口径</w:t>
            </w:r>
          </w:p>
        </w:tc>
      </w:tr>
      <w:tr>
        <w:trPr>
          <w:cantSplit/>
          <w:jc w:val="center"/>
        </w:trPr>
        <w:tc>
          <w:tcPr>
            <w:tcW w:w="324" w:type="pct"/>
            <w:tcBorders>
              <w:top w:val="single" w:sz="4" w:space="0" w:color="010000"/>
            </w:tcBorders>
            <w:vAlign w:val="center"/>
          </w:tcPr>
          <w:p>
            <w:pPr>
              <w:jc w:val="left"/>
            </w:pPr>
            <w:r/>
            <w:r>
              <w:rPr>
                <w:rFonts w:hint="eastAsia"/>
                <w:color w:val="000000"/>
                <w:sz w:val="21"/>
              </w:rPr>
              <w:t>二</w:t>
            </w:r>
          </w:p>
        </w:tc>
        <w:tc>
          <w:tcPr>
            <w:tcW w:w="935" w:type="pct"/>
            <w:tcBorders>
              <w:top w:val="single" w:sz="4" w:space="0" w:color="010000"/>
            </w:tcBorders>
            <w:vAlign w:val="center"/>
          </w:tcPr>
          <w:p>
            <w:pPr>
              <w:jc w:val="left"/>
            </w:pPr>
            <w:r/>
            <w:r>
              <w:rPr>
                <w:rFonts w:hint="eastAsia"/>
                <w:color w:val="000000"/>
                <w:sz w:val="21"/>
              </w:rPr>
              <w:t>上市公司定期报告与公告</w:t>
            </w:r>
          </w:p>
        </w:tc>
        <w:tc>
          <w:tcPr>
            <w:tcW w:w="2446" w:type="pct"/>
            <w:tcBorders>
              <w:top w:val="single" w:sz="4" w:space="0" w:color="010000"/>
            </w:tcBorders>
            <w:vAlign w:val="center"/>
          </w:tcPr>
          <w:p>
            <w:pPr>
              <w:jc w:val="left"/>
            </w:pPr>
            <w:r/>
            <w:r>
              <w:rPr>
                <w:rFonts w:hint="eastAsia"/>
                <w:color w:val="000000"/>
                <w:sz w:val="21"/>
              </w:rPr>
              <w:t>绿的谐波（688017.SH）2025年年度报告、优必选（09880.HK）2025年年度报告、上纬新材（688585.SH）控制权变更相关公告、晋拓科技（603211.SH）发行保荐书</w:t>
            </w:r>
          </w:p>
        </w:tc>
        <w:tc>
          <w:tcPr>
            <w:tcW w:w="1295" w:type="pct"/>
            <w:tcBorders>
              <w:top w:val="single" w:sz="4" w:space="0" w:color="010000"/>
            </w:tcBorders>
            <w:vAlign w:val="center"/>
          </w:tcPr>
          <w:p>
            <w:pPr>
              <w:jc w:val="left"/>
            </w:pPr>
            <w:r/>
            <w:r>
              <w:rPr>
                <w:rFonts w:hint="eastAsia"/>
                <w:color w:val="000000"/>
                <w:sz w:val="21"/>
              </w:rPr>
              <w:t>上市零部件与整机企业的收入、利润、销量、业务结构数据；智元资本化路径</w:t>
            </w:r>
          </w:p>
        </w:tc>
      </w:tr>
      <w:tr>
        <w:trPr>
          <w:cantSplit/>
          <w:jc w:val="center"/>
        </w:trPr>
        <w:tc>
          <w:tcPr>
            <w:tcW w:w="324" w:type="pct"/>
            <w:tcBorders>
              <w:top w:val="single" w:sz="4" w:space="0" w:color="010000"/>
            </w:tcBorders>
            <w:vAlign w:val="center"/>
          </w:tcPr>
          <w:p>
            <w:pPr>
              <w:jc w:val="left"/>
            </w:pPr>
            <w:r/>
            <w:r>
              <w:rPr>
                <w:rFonts w:hint="eastAsia"/>
                <w:color w:val="000000"/>
                <w:sz w:val="21"/>
              </w:rPr>
              <w:t>三</w:t>
            </w:r>
          </w:p>
        </w:tc>
        <w:tc>
          <w:tcPr>
            <w:tcW w:w="935" w:type="pct"/>
            <w:tcBorders>
              <w:top w:val="single" w:sz="4" w:space="0" w:color="010000"/>
            </w:tcBorders>
            <w:vAlign w:val="center"/>
          </w:tcPr>
          <w:p>
            <w:pPr>
              <w:jc w:val="left"/>
            </w:pPr>
            <w:r/>
            <w:r>
              <w:rPr>
                <w:rFonts w:hint="eastAsia"/>
                <w:color w:val="000000"/>
                <w:sz w:val="21"/>
              </w:rPr>
              <w:t>第三方专业统计机构</w:t>
            </w:r>
          </w:p>
        </w:tc>
        <w:tc>
          <w:tcPr>
            <w:tcW w:w="2446" w:type="pct"/>
            <w:tcBorders>
              <w:top w:val="single" w:sz="4" w:space="0" w:color="010000"/>
            </w:tcBorders>
            <w:vAlign w:val="center"/>
          </w:tcPr>
          <w:p>
            <w:pPr>
              <w:jc w:val="left"/>
            </w:pPr>
            <w:r/>
            <w:r>
              <w:rPr>
                <w:rFonts w:hint="eastAsia"/>
                <w:color w:val="000000"/>
                <w:sz w:val="21"/>
              </w:rPr>
              <w:t>高工机器人（GGII）、IDC、MIR DATABANK、中商产业研究院、中国电子学会、摩根士丹利、高盛</w:t>
            </w:r>
          </w:p>
        </w:tc>
        <w:tc>
          <w:tcPr>
            <w:tcW w:w="1295" w:type="pct"/>
            <w:tcBorders>
              <w:top w:val="single" w:sz="4" w:space="0" w:color="010000"/>
            </w:tcBorders>
            <w:vAlign w:val="center"/>
          </w:tcPr>
          <w:p>
            <w:pPr>
              <w:jc w:val="left"/>
            </w:pPr>
            <w:r/>
            <w:r>
              <w:rPr>
                <w:rFonts w:hint="eastAsia"/>
                <w:color w:val="000000"/>
                <w:sz w:val="21"/>
              </w:rPr>
              <w:t>行业出货量、市场规模、市场份额、招投标统计、编码器竞争格局、中长期预测</w:t>
            </w:r>
          </w:p>
        </w:tc>
      </w:tr>
      <w:tr>
        <w:trPr>
          <w:cantSplit/>
          <w:jc w:val="center"/>
        </w:trPr>
        <w:tc>
          <w:tcPr>
            <w:tcW w:w="324" w:type="pct"/>
            <w:tcBorders>
              <w:top w:val="single" w:sz="4" w:space="0" w:color="010000"/>
            </w:tcBorders>
            <w:vAlign w:val="center"/>
          </w:tcPr>
          <w:p>
            <w:pPr>
              <w:jc w:val="left"/>
            </w:pPr>
            <w:r/>
            <w:r>
              <w:rPr>
                <w:rFonts w:hint="eastAsia"/>
                <w:color w:val="000000"/>
                <w:sz w:val="21"/>
              </w:rPr>
              <w:t>四</w:t>
            </w:r>
          </w:p>
        </w:tc>
        <w:tc>
          <w:tcPr>
            <w:tcW w:w="935" w:type="pct"/>
            <w:tcBorders>
              <w:top w:val="single" w:sz="4" w:space="0" w:color="010000"/>
            </w:tcBorders>
            <w:vAlign w:val="center"/>
          </w:tcPr>
          <w:p>
            <w:pPr>
              <w:jc w:val="left"/>
            </w:pPr>
            <w:r/>
            <w:r>
              <w:rPr>
                <w:rFonts w:hint="eastAsia"/>
                <w:color w:val="000000"/>
                <w:sz w:val="21"/>
              </w:rPr>
              <w:t>政府部门与官方媒体</w:t>
            </w:r>
          </w:p>
        </w:tc>
        <w:tc>
          <w:tcPr>
            <w:tcW w:w="2446" w:type="pct"/>
            <w:tcBorders>
              <w:top w:val="single" w:sz="4" w:space="0" w:color="010000"/>
            </w:tcBorders>
            <w:vAlign w:val="center"/>
          </w:tcPr>
          <w:p>
            <w:pPr>
              <w:jc w:val="left"/>
            </w:pPr>
            <w:r/>
            <w:r>
              <w:rPr>
                <w:rFonts w:hint="eastAsia"/>
                <w:color w:val="000000"/>
                <w:sz w:val="21"/>
              </w:rPr>
              <w:t>工业和信息化部《人形机器人创新发展指导意见》、2026年政府工作报告、"十五五"规划纲要草案、新华网、地方政府门户网站</w:t>
            </w:r>
          </w:p>
        </w:tc>
        <w:tc>
          <w:tcPr>
            <w:tcW w:w="1295" w:type="pct"/>
            <w:tcBorders>
              <w:top w:val="single" w:sz="4" w:space="0" w:color="010000"/>
            </w:tcBorders>
            <w:vAlign w:val="center"/>
          </w:tcPr>
          <w:p>
            <w:pPr>
              <w:jc w:val="left"/>
            </w:pPr>
            <w:r/>
            <w:r>
              <w:rPr>
                <w:rFonts w:hint="eastAsia"/>
                <w:color w:val="000000"/>
                <w:sz w:val="21"/>
              </w:rPr>
              <w:t>政策依据、行业产量与出货的官方口径、区域产业集群信息</w:t>
            </w:r>
          </w:p>
        </w:tc>
      </w:tr>
      <w:tr>
        <w:trPr>
          <w:cantSplit/>
          <w:jc w:val="center"/>
        </w:trPr>
        <w:tc>
          <w:tcPr>
            <w:tcW w:w="324" w:type="pct"/>
            <w:tcBorders>
              <w:top w:val="single" w:sz="4" w:space="0" w:color="010000"/>
            </w:tcBorders>
            <w:vAlign w:val="center"/>
          </w:tcPr>
          <w:p>
            <w:pPr>
              <w:jc w:val="left"/>
            </w:pPr>
            <w:r/>
            <w:r>
              <w:rPr>
                <w:rFonts w:hint="eastAsia"/>
                <w:color w:val="000000"/>
                <w:sz w:val="21"/>
              </w:rPr>
              <w:t>五</w:t>
            </w:r>
          </w:p>
        </w:tc>
        <w:tc>
          <w:tcPr>
            <w:tcW w:w="935" w:type="pct"/>
            <w:tcBorders>
              <w:top w:val="single" w:sz="4" w:space="0" w:color="010000"/>
            </w:tcBorders>
            <w:vAlign w:val="center"/>
          </w:tcPr>
          <w:p>
            <w:pPr>
              <w:jc w:val="left"/>
            </w:pPr>
            <w:r/>
            <w:r>
              <w:rPr>
                <w:rFonts w:hint="eastAsia"/>
                <w:color w:val="000000"/>
                <w:sz w:val="21"/>
              </w:rPr>
              <w:t>公司资料与行业媒体</w:t>
            </w:r>
          </w:p>
        </w:tc>
        <w:tc>
          <w:tcPr>
            <w:tcW w:w="2446" w:type="pct"/>
            <w:tcBorders>
              <w:top w:val="single" w:sz="4" w:space="0" w:color="010000"/>
            </w:tcBorders>
            <w:vAlign w:val="center"/>
          </w:tcPr>
          <w:p>
            <w:pPr>
              <w:jc w:val="left"/>
            </w:pPr>
            <w:r/>
            <w:r>
              <w:rPr>
                <w:rFonts w:hint="eastAsia"/>
                <w:color w:val="000000"/>
                <w:sz w:val="21"/>
              </w:rPr>
              <w:t>无锡巨蟹官网（juxiedrive.com）及产品手册、世界机器人大会展商资料、机器人大讲堂、NE时代、中国传动网及主流财经媒体报道</w:t>
            </w:r>
          </w:p>
        </w:tc>
        <w:tc>
          <w:tcPr>
            <w:tcW w:w="1295" w:type="pct"/>
            <w:tcBorders>
              <w:top w:val="single" w:sz="4" w:space="0" w:color="010000"/>
            </w:tcBorders>
            <w:vAlign w:val="center"/>
          </w:tcPr>
          <w:p>
            <w:pPr>
              <w:jc w:val="left"/>
            </w:pPr>
            <w:r/>
            <w:r>
              <w:rPr>
                <w:rFonts w:hint="eastAsia"/>
                <w:color w:val="000000"/>
                <w:sz w:val="21"/>
              </w:rPr>
              <w:t>未上市企业的产品参数、交付进展、融资情况、订单信息、行业白皮书结论</w:t>
            </w:r>
          </w:p>
        </w:tc>
      </w:tr>
    </w:tbl>
    <w:p>
      <w:pPr>
        <w:pStyle w:val="a6"/>
      </w:pPr>
      <w:r>
        <w:rPr>
          <w:rFonts w:hint="eastAsia"/>
        </w:rPr>
        <w:t>资料来源：本memo整理。</w:t>
      </w:r>
    </w:p>
    <w:p>
      <w:pPr>
        <w:pStyle w:val="3"/>
        <w:numPr>
          <w:ilvl w:val="0"/>
          <w:numId w:val="0"/>
        </w:numPr>
        <w:spacing w:before="156" w:after="156"/>
      </w:pPr>
      <w:r>
        <w:rPr>
          <w:rFonts w:hint="eastAsia"/>
        </w:rPr>
        <w:t>4.2 关键数据溯源</w:t>
      </w:r>
    </w:p>
    <w:p>
      <w:pPr>
        <w:pStyle w:val="a0"/>
      </w:pPr>
      <w:r>
        <w:rPr>
          <w:rFonts w:hint="eastAsia"/>
        </w:rPr>
        <w:t>以下列示报告中影响结论的关键数据及其来源，便于复核。完整溯源清单见配套Excel文件"08_数据来源清单"工作表（共20条来源记录）。</w:t>
      </w:r>
    </w:p>
    <w:p>
      <w:pPr>
        <w:keepNext/>
        <w:jc w:val="center"/>
      </w:pPr>
      <w:r>
        <w:rPr>
          <w:rFonts w:hint="eastAsia"/>
          <w:b/>
          <w:sz w:val="21"/>
        </w:rPr>
        <w:t>表6  关键数据溯源</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016" w:type="pct"/>
            <w:tcBorders>
              <w:top w:val="single" w:sz="12" w:space="0" w:color="010000"/>
              <w:bottom w:val="single" w:sz="4" w:space="0" w:color="010000"/>
            </w:tcBorders>
            <w:vAlign w:val="center"/>
          </w:tcPr>
          <w:p>
            <w:pPr>
              <w:keepNext/>
              <w:jc w:val="center"/>
            </w:pPr>
            <w:r/>
            <w:r>
              <w:rPr>
                <w:rFonts w:hint="eastAsia"/>
                <w:b/>
                <w:color w:val="000000"/>
                <w:sz w:val="21"/>
              </w:rPr>
              <w:t>关键数据</w:t>
            </w:r>
          </w:p>
        </w:tc>
        <w:tc>
          <w:tcPr>
            <w:tcW w:w="1953" w:type="pct"/>
            <w:tcBorders>
              <w:top w:val="single" w:sz="12" w:space="0" w:color="010000"/>
              <w:bottom w:val="single" w:sz="4" w:space="0" w:color="010000"/>
            </w:tcBorders>
            <w:vAlign w:val="center"/>
          </w:tcPr>
          <w:p>
            <w:pPr>
              <w:keepNext/>
              <w:jc w:val="center"/>
            </w:pPr>
            <w:r/>
            <w:r>
              <w:rPr>
                <w:rFonts w:hint="eastAsia"/>
                <w:b/>
                <w:color w:val="000000"/>
                <w:sz w:val="21"/>
              </w:rPr>
              <w:t>数值</w:t>
            </w:r>
          </w:p>
        </w:tc>
        <w:tc>
          <w:tcPr>
            <w:tcW w:w="1484" w:type="pct"/>
            <w:tcBorders>
              <w:top w:val="single" w:sz="12" w:space="0" w:color="010000"/>
              <w:bottom w:val="single" w:sz="4" w:space="0" w:color="010000"/>
            </w:tcBorders>
            <w:vAlign w:val="center"/>
          </w:tcPr>
          <w:p>
            <w:pPr>
              <w:keepNext/>
              <w:jc w:val="center"/>
            </w:pPr>
            <w:r/>
            <w:r>
              <w:rPr>
                <w:rFonts w:hint="eastAsia"/>
                <w:b/>
                <w:color w:val="000000"/>
                <w:sz w:val="21"/>
              </w:rPr>
              <w:t>来源</w:t>
            </w:r>
          </w:p>
        </w:tc>
        <w:tc>
          <w:tcPr>
            <w:tcW w:w="547" w:type="pct"/>
            <w:tcBorders>
              <w:top w:val="single" w:sz="12" w:space="0" w:color="010000"/>
              <w:bottom w:val="single" w:sz="4" w:space="0" w:color="010000"/>
            </w:tcBorders>
            <w:vAlign w:val="center"/>
          </w:tcPr>
          <w:p>
            <w:pPr>
              <w:keepNext/>
              <w:jc w:val="center"/>
            </w:pPr>
            <w:r/>
            <w:r>
              <w:rPr>
                <w:rFonts w:hint="eastAsia"/>
                <w:b/>
                <w:color w:val="000000"/>
                <w:sz w:val="21"/>
              </w:rPr>
              <w:t>报告位置</w:t>
            </w:r>
          </w:p>
        </w:tc>
      </w:tr>
      <w:tr>
        <w:trPr>
          <w:cantSplit/>
          <w:jc w:val="center"/>
        </w:trPr>
        <w:tc>
          <w:tcPr>
            <w:tcW w:w="1016" w:type="pct"/>
            <w:tcBorders>
              <w:top w:val="single" w:sz="4" w:space="0" w:color="010000"/>
            </w:tcBorders>
            <w:vAlign w:val="center"/>
          </w:tcPr>
          <w:p>
            <w:pPr>
              <w:jc w:val="left"/>
            </w:pPr>
            <w:r/>
            <w:r>
              <w:rPr>
                <w:rFonts w:hint="eastAsia"/>
                <w:color w:val="000000"/>
                <w:sz w:val="21"/>
              </w:rPr>
              <w:t>2025年中国人形机器人出货量</w:t>
            </w:r>
          </w:p>
        </w:tc>
        <w:tc>
          <w:tcPr>
            <w:tcW w:w="1953" w:type="pct"/>
            <w:tcBorders>
              <w:top w:val="single" w:sz="4" w:space="0" w:color="010000"/>
            </w:tcBorders>
            <w:vAlign w:val="center"/>
          </w:tcPr>
          <w:p>
            <w:pPr>
              <w:jc w:val="left"/>
            </w:pPr>
            <w:r/>
            <w:r>
              <w:rPr>
                <w:rFonts w:hint="eastAsia"/>
                <w:color w:val="000000"/>
                <w:sz w:val="21"/>
              </w:rPr>
              <w:t>约2万台，同比+614.29%；整机市场规模50—65亿元，广义市场规模约90亿元</w:t>
            </w:r>
          </w:p>
        </w:tc>
        <w:tc>
          <w:tcPr>
            <w:tcW w:w="1484" w:type="pct"/>
            <w:tcBorders>
              <w:top w:val="single" w:sz="4" w:space="0" w:color="010000"/>
            </w:tcBorders>
            <w:vAlign w:val="center"/>
          </w:tcPr>
          <w:p>
            <w:pPr>
              <w:jc w:val="left"/>
            </w:pPr>
            <w:r/>
            <w:r>
              <w:rPr>
                <w:rFonts w:hint="eastAsia"/>
                <w:color w:val="000000"/>
                <w:sz w:val="21"/>
              </w:rPr>
              <w:t>高工机器人（GGII）</w:t>
            </w:r>
          </w:p>
        </w:tc>
        <w:tc>
          <w:tcPr>
            <w:tcW w:w="547" w:type="pct"/>
            <w:tcBorders>
              <w:top w:val="single" w:sz="4" w:space="0" w:color="010000"/>
            </w:tcBorders>
            <w:vAlign w:val="center"/>
          </w:tcPr>
          <w:p>
            <w:pPr>
              <w:jc w:val="left"/>
            </w:pPr>
            <w:r/>
            <w:r>
              <w:rPr>
                <w:rFonts w:hint="eastAsia"/>
                <w:color w:val="000000"/>
                <w:sz w:val="21"/>
              </w:rPr>
              <w:t>3.1节、图4</w:t>
            </w:r>
          </w:p>
        </w:tc>
      </w:tr>
      <w:tr>
        <w:trPr>
          <w:cantSplit/>
          <w:jc w:val="center"/>
        </w:trPr>
        <w:tc>
          <w:tcPr>
            <w:tcW w:w="1016" w:type="pct"/>
            <w:tcBorders>
              <w:top w:val="single" w:sz="4" w:space="0" w:color="010000"/>
            </w:tcBorders>
            <w:vAlign w:val="center"/>
          </w:tcPr>
          <w:p>
            <w:pPr>
              <w:jc w:val="left"/>
            </w:pPr>
            <w:r/>
            <w:r>
              <w:rPr>
                <w:rFonts w:hint="eastAsia"/>
                <w:color w:val="000000"/>
                <w:sz w:val="21"/>
              </w:rPr>
              <w:t>2025年全球出货量与份额</w:t>
            </w:r>
          </w:p>
        </w:tc>
        <w:tc>
          <w:tcPr>
            <w:tcW w:w="1953" w:type="pct"/>
            <w:tcBorders>
              <w:top w:val="single" w:sz="4" w:space="0" w:color="010000"/>
            </w:tcBorders>
            <w:vAlign w:val="center"/>
          </w:tcPr>
          <w:p>
            <w:pPr>
              <w:jc w:val="left"/>
            </w:pPr>
            <w:r/>
            <w:r>
              <w:rPr>
                <w:rFonts w:hint="eastAsia"/>
                <w:color w:val="000000"/>
                <w:sz w:val="21"/>
              </w:rPr>
              <w:t>全球约1.7万台；宇树5,500台/32.4%、智元4,000台/23.5%；中国企业1.44万台/84.7%</w:t>
            </w:r>
          </w:p>
        </w:tc>
        <w:tc>
          <w:tcPr>
            <w:tcW w:w="1484" w:type="pct"/>
            <w:tcBorders>
              <w:top w:val="single" w:sz="4" w:space="0" w:color="010000"/>
            </w:tcBorders>
            <w:vAlign w:val="center"/>
          </w:tcPr>
          <w:p>
            <w:pPr>
              <w:jc w:val="left"/>
            </w:pPr>
            <w:r/>
            <w:r>
              <w:rPr>
                <w:rFonts w:hint="eastAsia"/>
                <w:color w:val="000000"/>
                <w:sz w:val="21"/>
              </w:rPr>
              <w:t>2025年人形机器人行业报告（IDC等口径）</w:t>
            </w:r>
          </w:p>
        </w:tc>
        <w:tc>
          <w:tcPr>
            <w:tcW w:w="547" w:type="pct"/>
            <w:tcBorders>
              <w:top w:val="single" w:sz="4" w:space="0" w:color="010000"/>
            </w:tcBorders>
            <w:vAlign w:val="center"/>
          </w:tcPr>
          <w:p>
            <w:pPr>
              <w:jc w:val="left"/>
            </w:pPr>
            <w:r/>
            <w:r>
              <w:rPr>
                <w:rFonts w:hint="eastAsia"/>
                <w:color w:val="000000"/>
                <w:sz w:val="21"/>
              </w:rPr>
              <w:t>4.1节、图6</w:t>
            </w:r>
          </w:p>
        </w:tc>
      </w:tr>
      <w:tr>
        <w:trPr>
          <w:cantSplit/>
          <w:jc w:val="center"/>
        </w:trPr>
        <w:tc>
          <w:tcPr>
            <w:tcW w:w="1016" w:type="pct"/>
            <w:tcBorders>
              <w:top w:val="single" w:sz="4" w:space="0" w:color="010000"/>
            </w:tcBorders>
            <w:vAlign w:val="center"/>
          </w:tcPr>
          <w:p>
            <w:pPr>
              <w:jc w:val="left"/>
            </w:pPr>
            <w:r/>
            <w:r>
              <w:rPr>
                <w:rFonts w:hint="eastAsia"/>
                <w:color w:val="000000"/>
                <w:sz w:val="21"/>
              </w:rPr>
              <w:t>2026年出货预测</w:t>
            </w:r>
          </w:p>
        </w:tc>
        <w:tc>
          <w:tcPr>
            <w:tcW w:w="1953" w:type="pct"/>
            <w:tcBorders>
              <w:top w:val="single" w:sz="4" w:space="0" w:color="010000"/>
            </w:tcBorders>
            <w:vAlign w:val="center"/>
          </w:tcPr>
          <w:p>
            <w:pPr>
              <w:jc w:val="left"/>
            </w:pPr>
            <w:r/>
            <w:r>
              <w:rPr>
                <w:rFonts w:hint="eastAsia"/>
                <w:color w:val="000000"/>
                <w:sz w:val="21"/>
              </w:rPr>
              <w:t>中商产业研究院3.8万台；摩根士丹利2.8万台；2026年上半年实际已超4万台</w:t>
            </w:r>
          </w:p>
        </w:tc>
        <w:tc>
          <w:tcPr>
            <w:tcW w:w="1484" w:type="pct"/>
            <w:tcBorders>
              <w:top w:val="single" w:sz="4" w:space="0" w:color="010000"/>
            </w:tcBorders>
            <w:vAlign w:val="center"/>
          </w:tcPr>
          <w:p>
            <w:pPr>
              <w:jc w:val="left"/>
            </w:pPr>
            <w:r/>
            <w:r>
              <w:rPr>
                <w:rFonts w:hint="eastAsia"/>
                <w:color w:val="000000"/>
                <w:sz w:val="21"/>
              </w:rPr>
              <w:t>中商产业研究院、摩根士丹利、工业和信息化主管部门</w:t>
            </w:r>
          </w:p>
        </w:tc>
        <w:tc>
          <w:tcPr>
            <w:tcW w:w="547" w:type="pct"/>
            <w:tcBorders>
              <w:top w:val="single" w:sz="4" w:space="0" w:color="010000"/>
            </w:tcBorders>
            <w:vAlign w:val="center"/>
          </w:tcPr>
          <w:p>
            <w:pPr>
              <w:jc w:val="left"/>
            </w:pPr>
            <w:r/>
            <w:r>
              <w:rPr>
                <w:rFonts w:hint="eastAsia"/>
                <w:color w:val="000000"/>
                <w:sz w:val="21"/>
              </w:rPr>
              <w:t>3.1节、图4</w:t>
            </w:r>
          </w:p>
        </w:tc>
      </w:tr>
      <w:tr>
        <w:trPr>
          <w:cantSplit/>
          <w:jc w:val="center"/>
        </w:trPr>
        <w:tc>
          <w:tcPr>
            <w:tcW w:w="1016" w:type="pct"/>
            <w:tcBorders>
              <w:top w:val="single" w:sz="4" w:space="0" w:color="010000"/>
            </w:tcBorders>
            <w:vAlign w:val="center"/>
          </w:tcPr>
          <w:p>
            <w:pPr>
              <w:jc w:val="left"/>
            </w:pPr>
            <w:r/>
            <w:r>
              <w:rPr>
                <w:rFonts w:hint="eastAsia"/>
                <w:color w:val="000000"/>
                <w:sz w:val="21"/>
              </w:rPr>
              <w:t>关节模组价值量占比</w:t>
            </w:r>
          </w:p>
        </w:tc>
        <w:tc>
          <w:tcPr>
            <w:tcW w:w="1953" w:type="pct"/>
            <w:tcBorders>
              <w:top w:val="single" w:sz="4" w:space="0" w:color="010000"/>
            </w:tcBorders>
            <w:vAlign w:val="center"/>
          </w:tcPr>
          <w:p>
            <w:pPr>
              <w:jc w:val="left"/>
            </w:pPr>
            <w:r/>
            <w:r>
              <w:rPr>
                <w:rFonts w:hint="eastAsia"/>
                <w:color w:val="000000"/>
                <w:sz w:val="21"/>
              </w:rPr>
              <w:t>占整机BOM成本35%—60%；Optimus Gen2硬件29万元、28个模组占54%、单套4,000—6,500元</w:t>
            </w:r>
          </w:p>
        </w:tc>
        <w:tc>
          <w:tcPr>
            <w:tcW w:w="1484" w:type="pct"/>
            <w:tcBorders>
              <w:top w:val="single" w:sz="4" w:space="0" w:color="010000"/>
            </w:tcBorders>
            <w:vAlign w:val="center"/>
          </w:tcPr>
          <w:p>
            <w:pPr>
              <w:jc w:val="left"/>
            </w:pPr>
            <w:r/>
            <w:r>
              <w:rPr>
                <w:rFonts w:hint="eastAsia"/>
                <w:color w:val="000000"/>
                <w:sz w:val="21"/>
              </w:rPr>
              <w:t>行业白皮书</w:t>
            </w:r>
          </w:p>
        </w:tc>
        <w:tc>
          <w:tcPr>
            <w:tcW w:w="547" w:type="pct"/>
            <w:tcBorders>
              <w:top w:val="single" w:sz="4" w:space="0" w:color="010000"/>
            </w:tcBorders>
            <w:vAlign w:val="center"/>
          </w:tcPr>
          <w:p>
            <w:pPr>
              <w:jc w:val="left"/>
            </w:pPr>
            <w:r/>
            <w:r>
              <w:rPr>
                <w:rFonts w:hint="eastAsia"/>
                <w:color w:val="000000"/>
                <w:sz w:val="21"/>
              </w:rPr>
              <w:t>2.1、2.4节、图1</w:t>
            </w:r>
          </w:p>
        </w:tc>
      </w:tr>
      <w:tr>
        <w:trPr>
          <w:cantSplit/>
          <w:jc w:val="center"/>
        </w:trPr>
        <w:tc>
          <w:tcPr>
            <w:tcW w:w="1016" w:type="pct"/>
            <w:tcBorders>
              <w:top w:val="single" w:sz="4" w:space="0" w:color="010000"/>
            </w:tcBorders>
            <w:vAlign w:val="center"/>
          </w:tcPr>
          <w:p>
            <w:pPr>
              <w:jc w:val="left"/>
            </w:pPr>
            <w:r/>
            <w:r>
              <w:rPr>
                <w:rFonts w:hint="eastAsia"/>
                <w:color w:val="000000"/>
                <w:sz w:val="21"/>
              </w:rPr>
              <w:t>谐波减速器市场份额</w:t>
            </w:r>
          </w:p>
        </w:tc>
        <w:tc>
          <w:tcPr>
            <w:tcW w:w="1953" w:type="pct"/>
            <w:tcBorders>
              <w:top w:val="single" w:sz="4" w:space="0" w:color="010000"/>
            </w:tcBorders>
            <w:vAlign w:val="center"/>
          </w:tcPr>
          <w:p>
            <w:pPr>
              <w:jc w:val="left"/>
            </w:pPr>
            <w:r/>
            <w:r>
              <w:rPr>
                <w:rFonts w:hint="eastAsia"/>
                <w:color w:val="000000"/>
                <w:sz w:val="21"/>
              </w:rPr>
              <w:t>绿的谐波22%、来福谐波21.4%、TOP4合计64.13%；哈默纳科全球超50%；国产化率约30%</w:t>
            </w:r>
          </w:p>
        </w:tc>
        <w:tc>
          <w:tcPr>
            <w:tcW w:w="1484" w:type="pct"/>
            <w:tcBorders>
              <w:top w:val="single" w:sz="4" w:space="0" w:color="010000"/>
            </w:tcBorders>
            <w:vAlign w:val="center"/>
          </w:tcPr>
          <w:p>
            <w:pPr>
              <w:jc w:val="left"/>
            </w:pPr>
            <w:r/>
            <w:r>
              <w:rPr>
                <w:rFonts w:hint="eastAsia"/>
                <w:color w:val="000000"/>
                <w:sz w:val="21"/>
              </w:rPr>
              <w:t>高工机器人GGII、来福谐波上市文件</w:t>
            </w:r>
          </w:p>
        </w:tc>
        <w:tc>
          <w:tcPr>
            <w:tcW w:w="547" w:type="pct"/>
            <w:tcBorders>
              <w:top w:val="single" w:sz="4" w:space="0" w:color="010000"/>
            </w:tcBorders>
            <w:vAlign w:val="center"/>
          </w:tcPr>
          <w:p>
            <w:pPr>
              <w:jc w:val="left"/>
            </w:pPr>
            <w:r/>
            <w:r>
              <w:rPr>
                <w:rFonts w:hint="eastAsia"/>
                <w:color w:val="000000"/>
                <w:sz w:val="21"/>
              </w:rPr>
              <w:t>2.2节、图2</w:t>
            </w:r>
          </w:p>
        </w:tc>
      </w:tr>
      <w:tr>
        <w:trPr>
          <w:cantSplit/>
          <w:jc w:val="center"/>
        </w:trPr>
        <w:tc>
          <w:tcPr>
            <w:tcW w:w="1016" w:type="pct"/>
            <w:tcBorders>
              <w:top w:val="single" w:sz="4" w:space="0" w:color="010000"/>
            </w:tcBorders>
            <w:vAlign w:val="center"/>
          </w:tcPr>
          <w:p>
            <w:pPr>
              <w:jc w:val="left"/>
            </w:pPr>
            <w:r/>
            <w:r>
              <w:rPr>
                <w:rFonts w:hint="eastAsia"/>
                <w:color w:val="000000"/>
                <w:sz w:val="21"/>
              </w:rPr>
              <w:t>谐波减速器价格趋势</w:t>
            </w:r>
          </w:p>
        </w:tc>
        <w:tc>
          <w:tcPr>
            <w:tcW w:w="1953" w:type="pct"/>
            <w:tcBorders>
              <w:top w:val="single" w:sz="4" w:space="0" w:color="010000"/>
            </w:tcBorders>
            <w:vAlign w:val="center"/>
          </w:tcPr>
          <w:p>
            <w:pPr>
              <w:jc w:val="left"/>
            </w:pPr>
            <w:r/>
            <w:r>
              <w:rPr>
                <w:rFonts w:hint="eastAsia"/>
                <w:color w:val="000000"/>
                <w:sz w:val="21"/>
              </w:rPr>
              <w:t>来福谐波均价795元/台（2023）→571元/台（2025），降幅28.2%；毛利率29.9%→24.6%</w:t>
            </w:r>
          </w:p>
        </w:tc>
        <w:tc>
          <w:tcPr>
            <w:tcW w:w="1484" w:type="pct"/>
            <w:tcBorders>
              <w:top w:val="single" w:sz="4" w:space="0" w:color="010000"/>
            </w:tcBorders>
            <w:vAlign w:val="center"/>
          </w:tcPr>
          <w:p>
            <w:pPr>
              <w:jc w:val="left"/>
            </w:pPr>
            <w:r/>
            <w:r>
              <w:rPr>
                <w:rFonts w:hint="eastAsia"/>
                <w:color w:val="000000"/>
                <w:sz w:val="21"/>
              </w:rPr>
              <w:t>来福谐波港交所上市文件</w:t>
            </w:r>
          </w:p>
        </w:tc>
        <w:tc>
          <w:tcPr>
            <w:tcW w:w="547" w:type="pct"/>
            <w:tcBorders>
              <w:top w:val="single" w:sz="4" w:space="0" w:color="010000"/>
            </w:tcBorders>
            <w:vAlign w:val="center"/>
          </w:tcPr>
          <w:p>
            <w:pPr>
              <w:jc w:val="left"/>
            </w:pPr>
            <w:r/>
            <w:r>
              <w:rPr>
                <w:rFonts w:hint="eastAsia"/>
                <w:color w:val="000000"/>
                <w:sz w:val="21"/>
              </w:rPr>
              <w:t>2.2、3.4节、图3</w:t>
            </w:r>
          </w:p>
        </w:tc>
      </w:tr>
      <w:tr>
        <w:trPr>
          <w:cantSplit/>
          <w:jc w:val="center"/>
        </w:trPr>
        <w:tc>
          <w:tcPr>
            <w:tcW w:w="1016" w:type="pct"/>
            <w:tcBorders>
              <w:top w:val="single" w:sz="4" w:space="0" w:color="010000"/>
            </w:tcBorders>
            <w:vAlign w:val="center"/>
          </w:tcPr>
          <w:p>
            <w:pPr>
              <w:jc w:val="left"/>
            </w:pPr>
            <w:r/>
            <w:r>
              <w:rPr>
                <w:rFonts w:hint="eastAsia"/>
                <w:color w:val="000000"/>
                <w:sz w:val="21"/>
              </w:rPr>
              <w:t>绿的谐波经营数据</w:t>
            </w:r>
          </w:p>
        </w:tc>
        <w:tc>
          <w:tcPr>
            <w:tcW w:w="1953" w:type="pct"/>
            <w:tcBorders>
              <w:top w:val="single" w:sz="4" w:space="0" w:color="010000"/>
            </w:tcBorders>
            <w:vAlign w:val="center"/>
          </w:tcPr>
          <w:p>
            <w:pPr>
              <w:jc w:val="left"/>
            </w:pPr>
            <w:r/>
            <w:r>
              <w:rPr>
                <w:rFonts w:hint="eastAsia"/>
                <w:color w:val="000000"/>
                <w:sz w:val="21"/>
              </w:rPr>
              <w:t>2025年营收5.71亿元（+47.31%）、归母净利1.24亿元（+121.42%）、销量42.52万台（+72.48%）</w:t>
            </w:r>
          </w:p>
        </w:tc>
        <w:tc>
          <w:tcPr>
            <w:tcW w:w="1484" w:type="pct"/>
            <w:tcBorders>
              <w:top w:val="single" w:sz="4" w:space="0" w:color="010000"/>
            </w:tcBorders>
            <w:vAlign w:val="center"/>
          </w:tcPr>
          <w:p>
            <w:pPr>
              <w:jc w:val="left"/>
            </w:pPr>
            <w:r/>
            <w:r>
              <w:rPr>
                <w:rFonts w:hint="eastAsia"/>
                <w:color w:val="000000"/>
                <w:sz w:val="21"/>
              </w:rPr>
              <w:t>绿的谐波2025年年度报告</w:t>
            </w:r>
          </w:p>
        </w:tc>
        <w:tc>
          <w:tcPr>
            <w:tcW w:w="547" w:type="pct"/>
            <w:tcBorders>
              <w:top w:val="single" w:sz="4" w:space="0" w:color="010000"/>
            </w:tcBorders>
            <w:vAlign w:val="center"/>
          </w:tcPr>
          <w:p>
            <w:pPr>
              <w:jc w:val="left"/>
            </w:pPr>
            <w:r/>
            <w:r>
              <w:rPr>
                <w:rFonts w:hint="eastAsia"/>
                <w:color w:val="000000"/>
                <w:sz w:val="21"/>
              </w:rPr>
              <w:t>2.2节、图3</w:t>
            </w:r>
          </w:p>
        </w:tc>
      </w:tr>
      <w:tr>
        <w:trPr>
          <w:cantSplit/>
          <w:jc w:val="center"/>
        </w:trPr>
        <w:tc>
          <w:tcPr>
            <w:tcW w:w="1016" w:type="pct"/>
            <w:tcBorders>
              <w:top w:val="single" w:sz="4" w:space="0" w:color="010000"/>
            </w:tcBorders>
            <w:vAlign w:val="center"/>
          </w:tcPr>
          <w:p>
            <w:pPr>
              <w:jc w:val="left"/>
            </w:pPr>
            <w:r/>
            <w:r>
              <w:rPr>
                <w:rFonts w:hint="eastAsia"/>
                <w:color w:val="000000"/>
                <w:sz w:val="21"/>
              </w:rPr>
              <w:t>编码器竞争格局</w:t>
            </w:r>
          </w:p>
        </w:tc>
        <w:tc>
          <w:tcPr>
            <w:tcW w:w="1953" w:type="pct"/>
            <w:tcBorders>
              <w:top w:val="single" w:sz="4" w:space="0" w:color="010000"/>
            </w:tcBorders>
            <w:vAlign w:val="center"/>
          </w:tcPr>
          <w:p>
            <w:pPr>
              <w:jc w:val="left"/>
            </w:pPr>
            <w:r/>
            <w:r>
              <w:rPr>
                <w:rFonts w:hint="eastAsia"/>
                <w:color w:val="000000"/>
                <w:sz w:val="21"/>
              </w:rPr>
              <w:t>2024年中国销量前五：多摩川、海德汉、禹衡光学、SICK、堡盟，仅一家内资</w:t>
            </w:r>
          </w:p>
        </w:tc>
        <w:tc>
          <w:tcPr>
            <w:tcW w:w="1484" w:type="pct"/>
            <w:tcBorders>
              <w:top w:val="single" w:sz="4" w:space="0" w:color="010000"/>
            </w:tcBorders>
            <w:vAlign w:val="center"/>
          </w:tcPr>
          <w:p>
            <w:pPr>
              <w:jc w:val="left"/>
            </w:pPr>
            <w:r/>
            <w:r>
              <w:rPr>
                <w:rFonts w:hint="eastAsia"/>
                <w:color w:val="000000"/>
                <w:sz w:val="21"/>
              </w:rPr>
              <w:t>MIR DATABANK</w:t>
            </w:r>
          </w:p>
        </w:tc>
        <w:tc>
          <w:tcPr>
            <w:tcW w:w="547" w:type="pct"/>
            <w:tcBorders>
              <w:top w:val="single" w:sz="4" w:space="0" w:color="010000"/>
            </w:tcBorders>
            <w:vAlign w:val="center"/>
          </w:tcPr>
          <w:p>
            <w:pPr>
              <w:jc w:val="left"/>
            </w:pPr>
            <w:r/>
            <w:r>
              <w:rPr>
                <w:rFonts w:hint="eastAsia"/>
                <w:color w:val="000000"/>
                <w:sz w:val="21"/>
              </w:rPr>
              <w:t>2.3节、表3</w:t>
            </w:r>
          </w:p>
        </w:tc>
      </w:tr>
      <w:tr>
        <w:trPr>
          <w:cantSplit/>
          <w:jc w:val="center"/>
        </w:trPr>
        <w:tc>
          <w:tcPr>
            <w:tcW w:w="1016" w:type="pct"/>
            <w:tcBorders>
              <w:top w:val="single" w:sz="4" w:space="0" w:color="010000"/>
            </w:tcBorders>
            <w:vAlign w:val="center"/>
          </w:tcPr>
          <w:p>
            <w:pPr>
              <w:jc w:val="left"/>
            </w:pPr>
            <w:r/>
            <w:r>
              <w:rPr>
                <w:rFonts w:hint="eastAsia"/>
                <w:color w:val="000000"/>
                <w:sz w:val="21"/>
              </w:rPr>
              <w:t>宇树科技经营与发行</w:t>
            </w:r>
          </w:p>
        </w:tc>
        <w:tc>
          <w:tcPr>
            <w:tcW w:w="1953" w:type="pct"/>
            <w:tcBorders>
              <w:top w:val="single" w:sz="4" w:space="0" w:color="010000"/>
            </w:tcBorders>
            <w:vAlign w:val="center"/>
          </w:tcPr>
          <w:p>
            <w:pPr>
              <w:jc w:val="left"/>
            </w:pPr>
            <w:r/>
            <w:r>
              <w:rPr>
                <w:rFonts w:hint="eastAsia"/>
                <w:color w:val="000000"/>
                <w:sz w:val="21"/>
              </w:rPr>
              <w:t>2025年营收17.08亿元、扣非净利6.001亿元、毛利率60.27%；募资42.02亿元、隐含估值约420亿元、保荐人中信证券、104天完成审核</w:t>
            </w:r>
          </w:p>
        </w:tc>
        <w:tc>
          <w:tcPr>
            <w:tcW w:w="1484" w:type="pct"/>
            <w:tcBorders>
              <w:top w:val="single" w:sz="4" w:space="0" w:color="010000"/>
            </w:tcBorders>
            <w:vAlign w:val="center"/>
          </w:tcPr>
          <w:p>
            <w:pPr>
              <w:jc w:val="left"/>
            </w:pPr>
            <w:r/>
            <w:r>
              <w:rPr>
                <w:rFonts w:hint="eastAsia"/>
                <w:color w:val="000000"/>
                <w:sz w:val="21"/>
              </w:rPr>
              <w:t>上海证券交易所公开披露、公开报道</w:t>
            </w:r>
          </w:p>
        </w:tc>
        <w:tc>
          <w:tcPr>
            <w:tcW w:w="547" w:type="pct"/>
            <w:tcBorders>
              <w:top w:val="single" w:sz="4" w:space="0" w:color="010000"/>
            </w:tcBorders>
            <w:vAlign w:val="center"/>
          </w:tcPr>
          <w:p>
            <w:pPr>
              <w:jc w:val="left"/>
            </w:pPr>
            <w:r/>
            <w:r>
              <w:rPr>
                <w:rFonts w:hint="eastAsia"/>
                <w:color w:val="000000"/>
                <w:sz w:val="21"/>
              </w:rPr>
              <w:t>5.1、6.1节</w:t>
            </w:r>
          </w:p>
        </w:tc>
      </w:tr>
      <w:tr>
        <w:trPr>
          <w:cantSplit/>
          <w:jc w:val="center"/>
        </w:trPr>
        <w:tc>
          <w:tcPr>
            <w:tcW w:w="1016" w:type="pct"/>
            <w:tcBorders>
              <w:top w:val="single" w:sz="4" w:space="0" w:color="010000"/>
            </w:tcBorders>
            <w:vAlign w:val="center"/>
          </w:tcPr>
          <w:p>
            <w:pPr>
              <w:jc w:val="left"/>
            </w:pPr>
            <w:r/>
            <w:r>
              <w:rPr>
                <w:rFonts w:hint="eastAsia"/>
                <w:color w:val="000000"/>
                <w:sz w:val="21"/>
              </w:rPr>
              <w:t>优必选经营数据</w:t>
            </w:r>
          </w:p>
        </w:tc>
        <w:tc>
          <w:tcPr>
            <w:tcW w:w="1953" w:type="pct"/>
            <w:tcBorders>
              <w:top w:val="single" w:sz="4" w:space="0" w:color="010000"/>
            </w:tcBorders>
            <w:vAlign w:val="center"/>
          </w:tcPr>
          <w:p>
            <w:pPr>
              <w:jc w:val="left"/>
            </w:pPr>
            <w:r/>
            <w:r>
              <w:rPr>
                <w:rFonts w:hint="eastAsia"/>
                <w:color w:val="000000"/>
                <w:sz w:val="21"/>
              </w:rPr>
              <w:t>2025年营收20.01亿元（+53.3%）；全尺寸人形收入8.2亿元（+2,203.7%）、销量1,079台；年度订单接近14亿元</w:t>
            </w:r>
          </w:p>
        </w:tc>
        <w:tc>
          <w:tcPr>
            <w:tcW w:w="1484" w:type="pct"/>
            <w:tcBorders>
              <w:top w:val="single" w:sz="4" w:space="0" w:color="010000"/>
            </w:tcBorders>
            <w:vAlign w:val="center"/>
          </w:tcPr>
          <w:p>
            <w:pPr>
              <w:jc w:val="left"/>
            </w:pPr>
            <w:r/>
            <w:r>
              <w:rPr>
                <w:rFonts w:hint="eastAsia"/>
                <w:color w:val="000000"/>
                <w:sz w:val="21"/>
              </w:rPr>
              <w:t>优必选2025年年度报告、公开报道</w:t>
            </w:r>
          </w:p>
        </w:tc>
        <w:tc>
          <w:tcPr>
            <w:tcW w:w="547" w:type="pct"/>
            <w:tcBorders>
              <w:top w:val="single" w:sz="4" w:space="0" w:color="010000"/>
            </w:tcBorders>
            <w:vAlign w:val="center"/>
          </w:tcPr>
          <w:p>
            <w:pPr>
              <w:jc w:val="left"/>
            </w:pPr>
            <w:r/>
            <w:r>
              <w:rPr>
                <w:rFonts w:hint="eastAsia"/>
                <w:color w:val="000000"/>
                <w:sz w:val="21"/>
              </w:rPr>
              <w:t>5.3节</w:t>
            </w:r>
          </w:p>
        </w:tc>
      </w:tr>
      <w:tr>
        <w:trPr>
          <w:cantSplit/>
          <w:jc w:val="center"/>
        </w:trPr>
        <w:tc>
          <w:tcPr>
            <w:tcW w:w="1016" w:type="pct"/>
            <w:tcBorders>
              <w:top w:val="single" w:sz="4" w:space="0" w:color="010000"/>
            </w:tcBorders>
            <w:vAlign w:val="center"/>
          </w:tcPr>
          <w:p>
            <w:pPr>
              <w:jc w:val="left"/>
            </w:pPr>
            <w:r/>
            <w:r>
              <w:rPr>
                <w:rFonts w:hint="eastAsia"/>
                <w:color w:val="000000"/>
                <w:sz w:val="21"/>
              </w:rPr>
              <w:t>智元资本化路径</w:t>
            </w:r>
          </w:p>
        </w:tc>
        <w:tc>
          <w:tcPr>
            <w:tcW w:w="1953" w:type="pct"/>
            <w:tcBorders>
              <w:top w:val="single" w:sz="4" w:space="0" w:color="010000"/>
            </w:tcBorders>
            <w:vAlign w:val="center"/>
          </w:tcPr>
          <w:p>
            <w:pPr>
              <w:jc w:val="left"/>
            </w:pPr>
            <w:r/>
            <w:r>
              <w:rPr>
                <w:rFonts w:hint="eastAsia"/>
                <w:color w:val="000000"/>
                <w:sz w:val="21"/>
              </w:rPr>
              <w:t>21亿元取得上纬新材66.99%控股权，2025/7/8受让29.99%、9/23完成过户；不构成重组上市</w:t>
            </w:r>
          </w:p>
        </w:tc>
        <w:tc>
          <w:tcPr>
            <w:tcW w:w="1484" w:type="pct"/>
            <w:tcBorders>
              <w:top w:val="single" w:sz="4" w:space="0" w:color="010000"/>
            </w:tcBorders>
            <w:vAlign w:val="center"/>
          </w:tcPr>
          <w:p>
            <w:pPr>
              <w:jc w:val="left"/>
            </w:pPr>
            <w:r/>
            <w:r>
              <w:rPr>
                <w:rFonts w:hint="eastAsia"/>
                <w:color w:val="000000"/>
                <w:sz w:val="21"/>
              </w:rPr>
              <w:t>上纬新材公告、公开报道</w:t>
            </w:r>
          </w:p>
        </w:tc>
        <w:tc>
          <w:tcPr>
            <w:tcW w:w="547" w:type="pct"/>
            <w:tcBorders>
              <w:top w:val="single" w:sz="4" w:space="0" w:color="010000"/>
            </w:tcBorders>
            <w:vAlign w:val="center"/>
          </w:tcPr>
          <w:p>
            <w:pPr>
              <w:jc w:val="left"/>
            </w:pPr>
            <w:r/>
            <w:r>
              <w:rPr>
                <w:rFonts w:hint="eastAsia"/>
                <w:color w:val="000000"/>
                <w:sz w:val="21"/>
              </w:rPr>
              <w:t>5.2、6.4节、表11</w:t>
            </w:r>
          </w:p>
        </w:tc>
      </w:tr>
      <w:tr>
        <w:trPr>
          <w:cantSplit/>
          <w:jc w:val="center"/>
        </w:trPr>
        <w:tc>
          <w:tcPr>
            <w:tcW w:w="1016" w:type="pct"/>
            <w:tcBorders>
              <w:top w:val="single" w:sz="4" w:space="0" w:color="010000"/>
            </w:tcBorders>
            <w:vAlign w:val="center"/>
          </w:tcPr>
          <w:p>
            <w:pPr>
              <w:jc w:val="left"/>
            </w:pPr>
            <w:r/>
            <w:r>
              <w:rPr>
                <w:rFonts w:hint="eastAsia"/>
                <w:color w:val="000000"/>
                <w:sz w:val="21"/>
              </w:rPr>
              <w:t>2025年中标统计</w:t>
            </w:r>
          </w:p>
        </w:tc>
        <w:tc>
          <w:tcPr>
            <w:tcW w:w="1953" w:type="pct"/>
            <w:tcBorders>
              <w:top w:val="single" w:sz="4" w:space="0" w:color="010000"/>
            </w:tcBorders>
            <w:vAlign w:val="center"/>
          </w:tcPr>
          <w:p>
            <w:pPr>
              <w:jc w:val="left"/>
            </w:pPr>
            <w:r/>
            <w:r>
              <w:rPr>
                <w:rFonts w:hint="eastAsia"/>
                <w:color w:val="000000"/>
                <w:sz w:val="21"/>
              </w:rPr>
              <w:t>292个项目、金额超18.1亿元；0—100万元占54%、100万—1,000万元占33%、1,000万元以上占13%、亿元级10个</w:t>
            </w:r>
          </w:p>
        </w:tc>
        <w:tc>
          <w:tcPr>
            <w:tcW w:w="1484" w:type="pct"/>
            <w:tcBorders>
              <w:top w:val="single" w:sz="4" w:space="0" w:color="010000"/>
            </w:tcBorders>
            <w:vAlign w:val="center"/>
          </w:tcPr>
          <w:p>
            <w:pPr>
              <w:jc w:val="left"/>
            </w:pPr>
            <w:r/>
            <w:r>
              <w:rPr>
                <w:rFonts w:hint="eastAsia"/>
                <w:color w:val="000000"/>
                <w:sz w:val="21"/>
              </w:rPr>
              <w:t>高工机器人（GGII）投招标统计</w:t>
            </w:r>
          </w:p>
        </w:tc>
        <w:tc>
          <w:tcPr>
            <w:tcW w:w="547" w:type="pct"/>
            <w:tcBorders>
              <w:top w:val="single" w:sz="4" w:space="0" w:color="010000"/>
            </w:tcBorders>
            <w:vAlign w:val="center"/>
          </w:tcPr>
          <w:p>
            <w:pPr>
              <w:jc w:val="left"/>
            </w:pPr>
            <w:r/>
            <w:r>
              <w:rPr>
                <w:rFonts w:hint="eastAsia"/>
                <w:color w:val="000000"/>
                <w:sz w:val="21"/>
              </w:rPr>
              <w:t>3.3节、图5</w:t>
            </w:r>
          </w:p>
        </w:tc>
      </w:tr>
      <w:tr>
        <w:trPr>
          <w:cantSplit/>
          <w:jc w:val="center"/>
        </w:trPr>
        <w:tc>
          <w:tcPr>
            <w:tcW w:w="1016" w:type="pct"/>
            <w:tcBorders>
              <w:top w:val="single" w:sz="4" w:space="0" w:color="010000"/>
            </w:tcBorders>
            <w:vAlign w:val="center"/>
          </w:tcPr>
          <w:p>
            <w:pPr>
              <w:jc w:val="left"/>
            </w:pPr>
            <w:r/>
            <w:r>
              <w:rPr>
                <w:rFonts w:hint="eastAsia"/>
                <w:color w:val="000000"/>
                <w:sz w:val="21"/>
              </w:rPr>
              <w:t>国泰海通投行位置</w:t>
            </w:r>
          </w:p>
        </w:tc>
        <w:tc>
          <w:tcPr>
            <w:tcW w:w="1953" w:type="pct"/>
            <w:tcBorders>
              <w:top w:val="single" w:sz="4" w:space="0" w:color="010000"/>
            </w:tcBorders>
            <w:vAlign w:val="center"/>
          </w:tcPr>
          <w:p>
            <w:pPr>
              <w:jc w:val="left"/>
            </w:pPr>
            <w:r/>
            <w:r>
              <w:rPr>
                <w:rFonts w:hint="eastAsia"/>
                <w:color w:val="000000"/>
                <w:sz w:val="21"/>
              </w:rPr>
              <w:t>2026年上半年A股IPO保荐上市13单居首、市占率约18.3%；承销646亿元居第三</w:t>
            </w:r>
          </w:p>
        </w:tc>
        <w:tc>
          <w:tcPr>
            <w:tcW w:w="1484" w:type="pct"/>
            <w:tcBorders>
              <w:top w:val="single" w:sz="4" w:space="0" w:color="010000"/>
            </w:tcBorders>
            <w:vAlign w:val="center"/>
          </w:tcPr>
          <w:p>
            <w:pPr>
              <w:jc w:val="left"/>
            </w:pPr>
            <w:r/>
            <w:r>
              <w:rPr>
                <w:rFonts w:hint="eastAsia"/>
                <w:color w:val="000000"/>
                <w:sz w:val="21"/>
              </w:rPr>
              <w:t>公开统计</w:t>
            </w:r>
          </w:p>
        </w:tc>
        <w:tc>
          <w:tcPr>
            <w:tcW w:w="547" w:type="pct"/>
            <w:tcBorders>
              <w:top w:val="single" w:sz="4" w:space="0" w:color="010000"/>
            </w:tcBorders>
            <w:vAlign w:val="center"/>
          </w:tcPr>
          <w:p>
            <w:pPr>
              <w:jc w:val="left"/>
            </w:pPr>
            <w:r/>
            <w:r>
              <w:rPr>
                <w:rFonts w:hint="eastAsia"/>
                <w:color w:val="000000"/>
                <w:sz w:val="21"/>
              </w:rPr>
              <w:t>7.1节</w:t>
            </w:r>
          </w:p>
        </w:tc>
      </w:tr>
      <w:tr>
        <w:trPr>
          <w:cantSplit/>
          <w:jc w:val="center"/>
        </w:trPr>
        <w:tc>
          <w:tcPr>
            <w:tcW w:w="1016" w:type="pct"/>
            <w:tcBorders>
              <w:top w:val="single" w:sz="4" w:space="0" w:color="010000"/>
            </w:tcBorders>
            <w:vAlign w:val="center"/>
          </w:tcPr>
          <w:p>
            <w:pPr>
              <w:jc w:val="left"/>
            </w:pPr>
            <w:r/>
            <w:r>
              <w:rPr>
                <w:rFonts w:hint="eastAsia"/>
                <w:color w:val="000000"/>
                <w:sz w:val="21"/>
              </w:rPr>
              <w:t>国泰海通保荐承销项目</w:t>
            </w:r>
          </w:p>
        </w:tc>
        <w:tc>
          <w:tcPr>
            <w:tcW w:w="1953" w:type="pct"/>
            <w:tcBorders>
              <w:top w:val="single" w:sz="4" w:space="0" w:color="010000"/>
            </w:tcBorders>
            <w:vAlign w:val="center"/>
          </w:tcPr>
          <w:p>
            <w:pPr>
              <w:jc w:val="left"/>
            </w:pPr>
            <w:r/>
            <w:r>
              <w:rPr>
                <w:rFonts w:hint="eastAsia"/>
                <w:color w:val="000000"/>
                <w:sz w:val="21"/>
              </w:rPr>
              <w:t>乐动机器人（港股，国泰君安国际＋海通国际，集资约8.8亿港元）、晋拓科技定增、新睿电子北交所、三瑞智能创业板</w:t>
            </w:r>
          </w:p>
        </w:tc>
        <w:tc>
          <w:tcPr>
            <w:tcW w:w="1484" w:type="pct"/>
            <w:tcBorders>
              <w:top w:val="single" w:sz="4" w:space="0" w:color="010000"/>
            </w:tcBorders>
            <w:vAlign w:val="center"/>
          </w:tcPr>
          <w:p>
            <w:pPr>
              <w:jc w:val="left"/>
            </w:pPr>
            <w:r/>
            <w:r>
              <w:rPr>
                <w:rFonts w:hint="eastAsia"/>
                <w:color w:val="000000"/>
                <w:sz w:val="21"/>
              </w:rPr>
              <w:t>交易所披露的发行保荐书与上市保荐书、公开报道</w:t>
            </w:r>
          </w:p>
        </w:tc>
        <w:tc>
          <w:tcPr>
            <w:tcW w:w="547" w:type="pct"/>
            <w:tcBorders>
              <w:top w:val="single" w:sz="4" w:space="0" w:color="010000"/>
            </w:tcBorders>
            <w:vAlign w:val="center"/>
          </w:tcPr>
          <w:p>
            <w:pPr>
              <w:jc w:val="left"/>
            </w:pPr>
            <w:r/>
            <w:r>
              <w:rPr>
                <w:rFonts w:hint="eastAsia"/>
                <w:color w:val="000000"/>
                <w:sz w:val="21"/>
              </w:rPr>
              <w:t>7.2节、表12</w:t>
            </w:r>
          </w:p>
        </w:tc>
      </w:tr>
      <w:tr>
        <w:trPr>
          <w:cantSplit/>
          <w:jc w:val="center"/>
        </w:trPr>
        <w:tc>
          <w:tcPr>
            <w:tcW w:w="1016" w:type="pct"/>
            <w:tcBorders>
              <w:top w:val="single" w:sz="4" w:space="0" w:color="010000"/>
            </w:tcBorders>
            <w:vAlign w:val="center"/>
          </w:tcPr>
          <w:p>
            <w:pPr>
              <w:jc w:val="left"/>
            </w:pPr>
            <w:r/>
            <w:r>
              <w:rPr>
                <w:rFonts w:hint="eastAsia"/>
                <w:color w:val="000000"/>
                <w:sz w:val="21"/>
              </w:rPr>
              <w:t>国泰海通辅导项目</w:t>
            </w:r>
          </w:p>
        </w:tc>
        <w:tc>
          <w:tcPr>
            <w:tcW w:w="1953" w:type="pct"/>
            <w:tcBorders>
              <w:top w:val="single" w:sz="4" w:space="0" w:color="010000"/>
            </w:tcBorders>
            <w:vAlign w:val="center"/>
          </w:tcPr>
          <w:p>
            <w:pPr>
              <w:jc w:val="left"/>
            </w:pPr>
            <w:r/>
            <w:r>
              <w:rPr>
                <w:rFonts w:hint="eastAsia"/>
                <w:color w:val="000000"/>
                <w:sz w:val="21"/>
              </w:rPr>
              <w:t>镭神技术（2026/4/15备案）、智谱（与中金联合）、上海图灵智算（2026/8/5备案）</w:t>
            </w:r>
          </w:p>
        </w:tc>
        <w:tc>
          <w:tcPr>
            <w:tcW w:w="1484" w:type="pct"/>
            <w:tcBorders>
              <w:top w:val="single" w:sz="4" w:space="0" w:color="010000"/>
            </w:tcBorders>
            <w:vAlign w:val="center"/>
          </w:tcPr>
          <w:p>
            <w:pPr>
              <w:jc w:val="left"/>
            </w:pPr>
            <w:r/>
            <w:r>
              <w:rPr>
                <w:rFonts w:hint="eastAsia"/>
                <w:color w:val="000000"/>
                <w:sz w:val="21"/>
              </w:rPr>
              <w:t>证监会及各地证监局辅导备案公示</w:t>
            </w:r>
          </w:p>
        </w:tc>
        <w:tc>
          <w:tcPr>
            <w:tcW w:w="547" w:type="pct"/>
            <w:tcBorders>
              <w:top w:val="single" w:sz="4" w:space="0" w:color="010000"/>
            </w:tcBorders>
            <w:vAlign w:val="center"/>
          </w:tcPr>
          <w:p>
            <w:pPr>
              <w:jc w:val="left"/>
            </w:pPr>
            <w:r/>
            <w:r>
              <w:rPr>
                <w:rFonts w:hint="eastAsia"/>
                <w:color w:val="000000"/>
                <w:sz w:val="21"/>
              </w:rPr>
              <w:t>7.3节、表13</w:t>
            </w:r>
          </w:p>
        </w:tc>
      </w:tr>
      <w:tr>
        <w:trPr>
          <w:cantSplit/>
          <w:jc w:val="center"/>
        </w:trPr>
        <w:tc>
          <w:tcPr>
            <w:tcW w:w="1016" w:type="pct"/>
            <w:tcBorders>
              <w:top w:val="single" w:sz="4" w:space="0" w:color="010000"/>
            </w:tcBorders>
            <w:vAlign w:val="center"/>
          </w:tcPr>
          <w:p>
            <w:pPr>
              <w:jc w:val="left"/>
            </w:pPr>
            <w:r/>
            <w:r>
              <w:rPr>
                <w:rFonts w:hint="eastAsia"/>
                <w:color w:val="000000"/>
                <w:sz w:val="21"/>
              </w:rPr>
              <w:t>国泰海通投资项目</w:t>
            </w:r>
          </w:p>
        </w:tc>
        <w:tc>
          <w:tcPr>
            <w:tcW w:w="1953" w:type="pct"/>
            <w:tcBorders>
              <w:top w:val="single" w:sz="4" w:space="0" w:color="010000"/>
            </w:tcBorders>
            <w:vAlign w:val="center"/>
          </w:tcPr>
          <w:p>
            <w:pPr>
              <w:jc w:val="left"/>
            </w:pPr>
            <w:r/>
            <w:r>
              <w:rPr>
                <w:rFonts w:hint="eastAsia"/>
                <w:color w:val="000000"/>
                <w:sz w:val="21"/>
              </w:rPr>
              <w:t>智平方B轮（2026/2，超10亿元，估值超100亿元，2026/6新一轮后超200亿元）、飒智智能（海通开元与国元股权联合投资）</w:t>
            </w:r>
          </w:p>
        </w:tc>
        <w:tc>
          <w:tcPr>
            <w:tcW w:w="1484" w:type="pct"/>
            <w:tcBorders>
              <w:top w:val="single" w:sz="4" w:space="0" w:color="010000"/>
            </w:tcBorders>
            <w:vAlign w:val="center"/>
          </w:tcPr>
          <w:p>
            <w:pPr>
              <w:jc w:val="left"/>
            </w:pPr>
            <w:r/>
            <w:r>
              <w:rPr>
                <w:rFonts w:hint="eastAsia"/>
                <w:color w:val="000000"/>
                <w:sz w:val="21"/>
              </w:rPr>
              <w:t>公开融资报道</w:t>
            </w:r>
          </w:p>
        </w:tc>
        <w:tc>
          <w:tcPr>
            <w:tcW w:w="547" w:type="pct"/>
            <w:tcBorders>
              <w:top w:val="single" w:sz="4" w:space="0" w:color="010000"/>
            </w:tcBorders>
            <w:vAlign w:val="center"/>
          </w:tcPr>
          <w:p>
            <w:pPr>
              <w:jc w:val="left"/>
            </w:pPr>
            <w:r/>
            <w:r>
              <w:rPr>
                <w:rFonts w:hint="eastAsia"/>
                <w:color w:val="000000"/>
                <w:sz w:val="21"/>
              </w:rPr>
              <w:t>7.4节、表14</w:t>
            </w:r>
          </w:p>
        </w:tc>
      </w:tr>
      <w:tr>
        <w:trPr>
          <w:cantSplit/>
          <w:jc w:val="center"/>
        </w:trPr>
        <w:tc>
          <w:tcPr>
            <w:tcW w:w="1016" w:type="pct"/>
            <w:tcBorders>
              <w:top w:val="single" w:sz="4" w:space="0" w:color="010000"/>
            </w:tcBorders>
            <w:vAlign w:val="center"/>
          </w:tcPr>
          <w:p>
            <w:pPr>
              <w:jc w:val="left"/>
            </w:pPr>
            <w:r/>
            <w:r>
              <w:rPr>
                <w:rFonts w:hint="eastAsia"/>
                <w:color w:val="000000"/>
                <w:sz w:val="21"/>
              </w:rPr>
              <w:t>无锡巨蟹经营进展</w:t>
            </w:r>
          </w:p>
        </w:tc>
        <w:tc>
          <w:tcPr>
            <w:tcW w:w="1953" w:type="pct"/>
            <w:tcBorders>
              <w:top w:val="single" w:sz="4" w:space="0" w:color="010000"/>
            </w:tcBorders>
            <w:vAlign w:val="center"/>
          </w:tcPr>
          <w:p>
            <w:pPr>
              <w:jc w:val="left"/>
            </w:pPr>
            <w:r/>
            <w:r>
              <w:rPr>
                <w:rFonts w:hint="eastAsia"/>
                <w:color w:val="000000"/>
                <w:sz w:val="21"/>
              </w:rPr>
              <w:t>累计交付人形机器人专用模组1,320套；天魁1号上肢供应；中标哈尔滨电机厂项目；2025年10月完成近亿元A轮（科沃斯战投领投）</w:t>
            </w:r>
          </w:p>
        </w:tc>
        <w:tc>
          <w:tcPr>
            <w:tcW w:w="1484" w:type="pct"/>
            <w:tcBorders>
              <w:top w:val="single" w:sz="4" w:space="0" w:color="010000"/>
            </w:tcBorders>
            <w:vAlign w:val="center"/>
          </w:tcPr>
          <w:p>
            <w:pPr>
              <w:jc w:val="left"/>
            </w:pPr>
            <w:r/>
            <w:r>
              <w:rPr>
                <w:rFonts w:hint="eastAsia"/>
                <w:color w:val="000000"/>
                <w:sz w:val="21"/>
              </w:rPr>
              <w:t>公开报道</w:t>
            </w:r>
          </w:p>
        </w:tc>
        <w:tc>
          <w:tcPr>
            <w:tcW w:w="547" w:type="pct"/>
            <w:tcBorders>
              <w:top w:val="single" w:sz="4" w:space="0" w:color="010000"/>
            </w:tcBorders>
            <w:vAlign w:val="center"/>
          </w:tcPr>
          <w:p>
            <w:pPr>
              <w:jc w:val="left"/>
            </w:pPr>
            <w:r/>
            <w:r>
              <w:rPr>
                <w:rFonts w:hint="eastAsia"/>
                <w:color w:val="000000"/>
                <w:sz w:val="21"/>
              </w:rPr>
              <w:t>8.1节</w:t>
            </w:r>
          </w:p>
        </w:tc>
      </w:tr>
      <w:tr>
        <w:trPr>
          <w:cantSplit/>
          <w:jc w:val="center"/>
        </w:trPr>
        <w:tc>
          <w:tcPr>
            <w:tcW w:w="1016" w:type="pct"/>
            <w:tcBorders>
              <w:top w:val="single" w:sz="4" w:space="0" w:color="010000"/>
            </w:tcBorders>
            <w:vAlign w:val="center"/>
          </w:tcPr>
          <w:p>
            <w:pPr>
              <w:jc w:val="left"/>
            </w:pPr>
            <w:r/>
            <w:r>
              <w:rPr>
                <w:rFonts w:hint="eastAsia"/>
                <w:color w:val="000000"/>
                <w:sz w:val="21"/>
              </w:rPr>
              <w:t>无锡巨蟹产品参数</w:t>
            </w:r>
          </w:p>
        </w:tc>
        <w:tc>
          <w:tcPr>
            <w:tcW w:w="1953" w:type="pct"/>
            <w:tcBorders>
              <w:top w:val="single" w:sz="4" w:space="0" w:color="010000"/>
            </w:tcBorders>
            <w:vAlign w:val="center"/>
          </w:tcPr>
          <w:p>
            <w:pPr>
              <w:jc w:val="left"/>
            </w:pPr>
            <w:r/>
            <w:r>
              <w:rPr>
                <w:rFonts w:hint="eastAsia"/>
                <w:color w:val="000000"/>
                <w:sz w:val="21"/>
              </w:rPr>
              <w:t>R48/R58/R68/R83/R102/R120六大系列、全系双编码器；R48-Lite：Ø48×45.5mm、0.26kg、5N·m/11±0.5N·m、101:1、3,000rpm</w:t>
            </w:r>
          </w:p>
        </w:tc>
        <w:tc>
          <w:tcPr>
            <w:tcW w:w="1484" w:type="pct"/>
            <w:tcBorders>
              <w:top w:val="single" w:sz="4" w:space="0" w:color="010000"/>
            </w:tcBorders>
            <w:vAlign w:val="center"/>
          </w:tcPr>
          <w:p>
            <w:pPr>
              <w:jc w:val="left"/>
            </w:pPr>
            <w:r/>
            <w:r>
              <w:rPr>
                <w:rFonts w:hint="eastAsia"/>
                <w:color w:val="000000"/>
                <w:sz w:val="21"/>
              </w:rPr>
              <w:t>公司产品资料及公开报道</w:t>
            </w:r>
          </w:p>
        </w:tc>
        <w:tc>
          <w:tcPr>
            <w:tcW w:w="547" w:type="pct"/>
            <w:tcBorders>
              <w:top w:val="single" w:sz="4" w:space="0" w:color="010000"/>
            </w:tcBorders>
            <w:vAlign w:val="center"/>
          </w:tcPr>
          <w:p>
            <w:pPr>
              <w:jc w:val="left"/>
            </w:pPr>
            <w:r/>
            <w:r>
              <w:rPr>
                <w:rFonts w:hint="eastAsia"/>
                <w:color w:val="000000"/>
                <w:sz w:val="21"/>
              </w:rPr>
              <w:t>2.4、8.1节</w:t>
            </w:r>
          </w:p>
        </w:tc>
      </w:tr>
    </w:tbl>
    <w:p>
      <w:pPr>
        <w:pStyle w:val="a6"/>
      </w:pPr>
      <w:r>
        <w:rPr>
          <w:rFonts w:hint="eastAsia"/>
        </w:rPr>
        <w:t>资料来源：本memo整理。</w:t>
      </w:r>
    </w:p>
    <w:p/>
    <w:p>
      <w:pPr>
        <w:pStyle w:val="2"/>
        <w:spacing w:before="156" w:after="156"/>
      </w:pPr>
      <w:r>
        <w:rPr>
          <w:rFonts w:hint="eastAsia"/>
          <w:b/>
        </w:rPr>
        <w:t>数据局限与使用提示</w:t>
      </w:r>
    </w:p>
    <w:p>
      <w:pPr>
        <w:pStyle w:val="a0"/>
      </w:pPr>
      <w:r>
        <w:rPr>
          <w:rFonts w:hint="eastAsia"/>
        </w:rPr>
        <w:t>第一，统计口径不统一。人形机器人出货量的统计尚无行业标准，各机构在是否包含轮式双臂机型、是否包含半身/上肢平台、是否包含科研样机等方面存在差异。报告中"中国2025年出货2万台"（GGII口径）与"全球2025年出货1.7万台、中国1.44万台"（IDC等口径）来自不同统计体系，不可直接比较，也不能相互印证。</w:t>
      </w:r>
    </w:p>
    <w:p>
      <w:pPr>
        <w:pStyle w:val="a0"/>
      </w:pPr>
      <w:r>
        <w:rPr>
          <w:rFonts w:hint="eastAsia"/>
        </w:rPr>
        <w:t>第二，第三方统计与企业自主披露存在出入。典型如优必选：公司2025年年报披露全尺寸具身智能人形机器人销量1,079台，而第三方统计将其归入400—1,000台区间；智元第三方统计约4,000台，公司自主披露截至2025年12月8日累计交付5,000台（含历史累计）。报告在使用时已注明口径，但在做企业间横向比较时仍需谨慎。</w:t>
      </w:r>
    </w:p>
    <w:p>
      <w:pPr>
        <w:pStyle w:val="a0"/>
      </w:pPr>
      <w:r>
        <w:rPr>
          <w:rFonts w:hint="eastAsia"/>
        </w:rPr>
        <w:t>第三，未上市企业数据的可靠性有限。第二梯队整机企业和无锡巨蟹的经营数据均来自公开报道或企业自主宣传，未经审计核验；其估值均为公开报道的融资后估值，不代表实际交易定价或市场公允价值。辅导阶段企业尚未形成公开招股书，其财务数据同样未经核验。</w:t>
      </w:r>
    </w:p>
    <w:p>
      <w:pPr>
        <w:pStyle w:val="a0"/>
      </w:pPr>
      <w:r>
        <w:rPr>
          <w:rFonts w:hint="eastAsia"/>
        </w:rPr>
        <w:t>第四，前瞻性数据的不确定性。报告引用的2026年及以后的出货量预测、产能规划和成本目标（包括特斯拉Optimus的产能与成本目标）均为方向性参考。特斯拉的产能规划历史上多次延期；国内整机企业的产能规划与实际交付之间通常存在明显差距（2026年头部企业合计规划产能超10万台，而行业预计实际交付4万—6万台）。</w:t>
      </w:r>
    </w:p>
    <w:p>
      <w:pPr>
        <w:pStyle w:val="a0"/>
      </w:pPr>
      <w:r>
        <w:rPr>
          <w:rFonts w:hint="eastAsia"/>
        </w:rPr>
        <w:t>第五，检索范围的局限。本次研究通过公开渠道检索完成，受网络访问条件限制，未能逐一打开并核对每一份原始文件的全文，部分数据来自检索结果中的内容摘要。同时，证券公司的在审项目、辅导项目和私募股权子公司的投资组合并非全部对外披露，第七章关于国泰海通的梳理仅覆盖可公开检索到的部分，不构成完整清单；建议在正式使用前通过公司内部项目系统进行补充核对。</w:t>
      </w:r>
    </w:p>
    <w:p>
      <w:pPr>
        <w:pStyle w:val="a0"/>
      </w:pPr>
      <w:r>
        <w:rPr>
          <w:rFonts w:hint="eastAsia"/>
        </w:rPr>
        <w:t>第六，时效性。本报告及本memo完成于2026年8月，产业链信息与资本化进度核验至2026年8月上旬。人形机器人行业变化较快，产能规划、上市进度、融资估值和市场份额等信息可能随时间发生变化，使用时请以最新公开披露为准。</w:t>
      </w:r>
    </w:p>
    <w:p/>
    <w:p>
      <w:pPr>
        <w:pStyle w:val="2"/>
        <w:spacing w:before="156" w:after="156"/>
      </w:pPr>
      <w:r>
        <w:rPr>
          <w:rFonts w:hint="eastAsia"/>
          <w:b/>
        </w:rPr>
        <w:t>交付物清单</w:t>
      </w:r>
    </w:p>
    <w:p>
      <w:pPr>
        <w:keepNext/>
        <w:jc w:val="center"/>
      </w:pPr>
      <w:r>
        <w:rPr>
          <w:rFonts w:hint="eastAsia"/>
          <w:b/>
          <w:sz w:val="21"/>
        </w:rPr>
        <w:t>表7  交付物清单</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282" w:type="pct"/>
            <w:tcBorders>
              <w:top w:val="single" w:sz="12" w:space="0" w:color="010000"/>
              <w:bottom w:val="single" w:sz="4" w:space="0" w:color="010000"/>
            </w:tcBorders>
            <w:vAlign w:val="center"/>
          </w:tcPr>
          <w:p>
            <w:pPr>
              <w:keepNext/>
              <w:jc w:val="center"/>
            </w:pPr>
            <w:r/>
            <w:r>
              <w:rPr>
                <w:rFonts w:hint="eastAsia"/>
                <w:b/>
                <w:color w:val="000000"/>
                <w:sz w:val="21"/>
              </w:rPr>
              <w:t>序号</w:t>
            </w:r>
          </w:p>
        </w:tc>
        <w:tc>
          <w:tcPr>
            <w:tcW w:w="1831" w:type="pct"/>
            <w:tcBorders>
              <w:top w:val="single" w:sz="12" w:space="0" w:color="010000"/>
              <w:bottom w:val="single" w:sz="4" w:space="0" w:color="010000"/>
            </w:tcBorders>
            <w:vAlign w:val="center"/>
          </w:tcPr>
          <w:p>
            <w:pPr>
              <w:keepNext/>
              <w:jc w:val="center"/>
            </w:pPr>
            <w:r/>
            <w:r>
              <w:rPr>
                <w:rFonts w:hint="eastAsia"/>
                <w:b/>
                <w:color w:val="000000"/>
                <w:sz w:val="21"/>
              </w:rPr>
              <w:t>文件名</w:t>
            </w:r>
          </w:p>
        </w:tc>
        <w:tc>
          <w:tcPr>
            <w:tcW w:w="634" w:type="pct"/>
            <w:tcBorders>
              <w:top w:val="single" w:sz="12" w:space="0" w:color="010000"/>
              <w:bottom w:val="single" w:sz="4" w:space="0" w:color="010000"/>
            </w:tcBorders>
            <w:vAlign w:val="center"/>
          </w:tcPr>
          <w:p>
            <w:pPr>
              <w:keepNext/>
              <w:jc w:val="center"/>
            </w:pPr>
            <w:r/>
            <w:r>
              <w:rPr>
                <w:rFonts w:hint="eastAsia"/>
                <w:b/>
                <w:color w:val="000000"/>
                <w:sz w:val="21"/>
              </w:rPr>
              <w:t>格式</w:t>
            </w:r>
          </w:p>
        </w:tc>
        <w:tc>
          <w:tcPr>
            <w:tcW w:w="2254" w:type="pct"/>
            <w:tcBorders>
              <w:top w:val="single" w:sz="12" w:space="0" w:color="010000"/>
              <w:bottom w:val="single" w:sz="4" w:space="0" w:color="010000"/>
            </w:tcBorders>
            <w:vAlign w:val="center"/>
          </w:tcPr>
          <w:p>
            <w:pPr>
              <w:keepNext/>
              <w:jc w:val="center"/>
            </w:pPr>
            <w:r/>
            <w:r>
              <w:rPr>
                <w:rFonts w:hint="eastAsia"/>
                <w:b/>
                <w:color w:val="000000"/>
                <w:sz w:val="21"/>
              </w:rPr>
              <w:t>内容说明</w:t>
            </w:r>
          </w:p>
        </w:tc>
      </w:tr>
      <w:tr>
        <w:trPr>
          <w:cantSplit/>
          <w:jc w:val="center"/>
        </w:trPr>
        <w:tc>
          <w:tcPr>
            <w:tcW w:w="282" w:type="pct"/>
            <w:tcBorders>
              <w:top w:val="single" w:sz="4" w:space="0" w:color="010000"/>
            </w:tcBorders>
            <w:vAlign w:val="center"/>
          </w:tcPr>
          <w:p>
            <w:pPr>
              <w:jc w:val="left"/>
            </w:pPr>
            <w:r/>
            <w:r>
              <w:rPr>
                <w:rFonts w:hint="eastAsia"/>
                <w:color w:val="000000"/>
                <w:sz w:val="21"/>
              </w:rPr>
              <w:t>1</w:t>
            </w:r>
          </w:p>
        </w:tc>
        <w:tc>
          <w:tcPr>
            <w:tcW w:w="1831" w:type="pct"/>
            <w:tcBorders>
              <w:top w:val="single" w:sz="4" w:space="0" w:color="010000"/>
            </w:tcBorders>
            <w:vAlign w:val="center"/>
          </w:tcPr>
          <w:p>
            <w:pPr>
              <w:jc w:val="left"/>
            </w:pPr>
            <w:r/>
            <w:r>
              <w:rPr>
                <w:rFonts w:hint="eastAsia"/>
                <w:color w:val="000000"/>
                <w:sz w:val="21"/>
              </w:rPr>
              <w:t>中国人形机器人产业链研究.docx</w:t>
            </w:r>
          </w:p>
        </w:tc>
        <w:tc>
          <w:tcPr>
            <w:tcW w:w="634" w:type="pct"/>
            <w:tcBorders>
              <w:top w:val="single" w:sz="4" w:space="0" w:color="010000"/>
            </w:tcBorders>
            <w:vAlign w:val="center"/>
          </w:tcPr>
          <w:p>
            <w:pPr>
              <w:jc w:val="left"/>
            </w:pPr>
            <w:r/>
            <w:r>
              <w:rPr>
                <w:rFonts w:hint="eastAsia"/>
                <w:color w:val="000000"/>
                <w:sz w:val="21"/>
              </w:rPr>
              <w:t>可编辑Word文档</w:t>
            </w:r>
          </w:p>
        </w:tc>
        <w:tc>
          <w:tcPr>
            <w:tcW w:w="2254" w:type="pct"/>
            <w:tcBorders>
              <w:top w:val="single" w:sz="4" w:space="0" w:color="010000"/>
            </w:tcBorders>
            <w:vAlign w:val="center"/>
          </w:tcPr>
          <w:p>
            <w:pPr>
              <w:jc w:val="left"/>
            </w:pPr>
            <w:r/>
            <w:r>
              <w:rPr>
                <w:rFonts w:hint="eastAsia"/>
                <w:color w:val="000000"/>
                <w:sz w:val="21"/>
              </w:rPr>
              <w:t>研究报告正文，共八章加数据来源说明，含图6幅、表15张，约2.9万字。</w:t>
            </w:r>
          </w:p>
        </w:tc>
      </w:tr>
      <w:tr>
        <w:trPr>
          <w:cantSplit/>
          <w:jc w:val="center"/>
        </w:trPr>
        <w:tc>
          <w:tcPr>
            <w:tcW w:w="282" w:type="pct"/>
            <w:tcBorders>
              <w:top w:val="single" w:sz="4" w:space="0" w:color="010000"/>
            </w:tcBorders>
            <w:vAlign w:val="center"/>
          </w:tcPr>
          <w:p>
            <w:pPr>
              <w:jc w:val="left"/>
            </w:pPr>
            <w:r/>
            <w:r>
              <w:rPr>
                <w:rFonts w:hint="eastAsia"/>
                <w:color w:val="000000"/>
                <w:sz w:val="21"/>
              </w:rPr>
              <w:t>2</w:t>
            </w:r>
          </w:p>
        </w:tc>
        <w:tc>
          <w:tcPr>
            <w:tcW w:w="1831" w:type="pct"/>
            <w:tcBorders>
              <w:top w:val="single" w:sz="4" w:space="0" w:color="010000"/>
            </w:tcBorders>
            <w:vAlign w:val="center"/>
          </w:tcPr>
          <w:p>
            <w:pPr>
              <w:jc w:val="left"/>
            </w:pPr>
            <w:r/>
            <w:r>
              <w:rPr>
                <w:rFonts w:hint="eastAsia"/>
                <w:color w:val="000000"/>
                <w:sz w:val="21"/>
              </w:rPr>
              <w:t>中国人形机器人产业链研究_图表数据底稿.xlsx</w:t>
            </w:r>
          </w:p>
        </w:tc>
        <w:tc>
          <w:tcPr>
            <w:tcW w:w="634" w:type="pct"/>
            <w:tcBorders>
              <w:top w:val="single" w:sz="4" w:space="0" w:color="010000"/>
            </w:tcBorders>
            <w:vAlign w:val="center"/>
          </w:tcPr>
          <w:p>
            <w:pPr>
              <w:jc w:val="left"/>
            </w:pPr>
            <w:r/>
            <w:r>
              <w:rPr>
                <w:rFonts w:hint="eastAsia"/>
                <w:color w:val="000000"/>
                <w:sz w:val="21"/>
              </w:rPr>
              <w:t>Excel工作簿</w:t>
            </w:r>
          </w:p>
        </w:tc>
        <w:tc>
          <w:tcPr>
            <w:tcW w:w="2254" w:type="pct"/>
            <w:tcBorders>
              <w:top w:val="single" w:sz="4" w:space="0" w:color="010000"/>
            </w:tcBorders>
            <w:vAlign w:val="center"/>
          </w:tcPr>
          <w:p>
            <w:pPr>
              <w:jc w:val="left"/>
            </w:pPr>
            <w:r/>
            <w:r>
              <w:rPr>
                <w:rFonts w:hint="eastAsia"/>
                <w:color w:val="000000"/>
                <w:sz w:val="21"/>
              </w:rPr>
              <w:t>共9个工作表：说明、制图数据（图1—图6全部原始数据）、市场规模与出货、核心零部件环节、整机企业、资本化进度、国泰海通相关、无锡巨蟹、数据来源清单。</w:t>
            </w:r>
          </w:p>
        </w:tc>
      </w:tr>
      <w:tr>
        <w:trPr>
          <w:cantSplit/>
          <w:jc w:val="center"/>
        </w:trPr>
        <w:tc>
          <w:tcPr>
            <w:tcW w:w="282" w:type="pct"/>
            <w:tcBorders>
              <w:top w:val="single" w:sz="4" w:space="0" w:color="010000"/>
            </w:tcBorders>
            <w:vAlign w:val="center"/>
          </w:tcPr>
          <w:p>
            <w:pPr>
              <w:jc w:val="left"/>
            </w:pPr>
            <w:r/>
            <w:r>
              <w:rPr>
                <w:rFonts w:hint="eastAsia"/>
                <w:color w:val="000000"/>
                <w:sz w:val="21"/>
              </w:rPr>
              <w:t>3</w:t>
            </w:r>
          </w:p>
        </w:tc>
        <w:tc>
          <w:tcPr>
            <w:tcW w:w="1831" w:type="pct"/>
            <w:tcBorders>
              <w:top w:val="single" w:sz="4" w:space="0" w:color="010000"/>
            </w:tcBorders>
            <w:vAlign w:val="center"/>
          </w:tcPr>
          <w:p>
            <w:pPr>
              <w:jc w:val="left"/>
            </w:pPr>
            <w:r/>
            <w:r>
              <w:rPr>
                <w:rFonts w:hint="eastAsia"/>
                <w:color w:val="000000"/>
                <w:sz w:val="21"/>
              </w:rPr>
              <w:t>中国人形机器人产业链研究_大纲与数据来源memo.docx</w:t>
            </w:r>
          </w:p>
        </w:tc>
        <w:tc>
          <w:tcPr>
            <w:tcW w:w="634" w:type="pct"/>
            <w:tcBorders>
              <w:top w:val="single" w:sz="4" w:space="0" w:color="010000"/>
            </w:tcBorders>
            <w:vAlign w:val="center"/>
          </w:tcPr>
          <w:p>
            <w:pPr>
              <w:jc w:val="left"/>
            </w:pPr>
            <w:r/>
            <w:r>
              <w:rPr>
                <w:rFonts w:hint="eastAsia"/>
                <w:color w:val="000000"/>
                <w:sz w:val="21"/>
              </w:rPr>
              <w:t>可编辑Word文档</w:t>
            </w:r>
          </w:p>
        </w:tc>
        <w:tc>
          <w:tcPr>
            <w:tcW w:w="2254" w:type="pct"/>
            <w:tcBorders>
              <w:top w:val="single" w:sz="4" w:space="0" w:color="010000"/>
            </w:tcBorders>
            <w:vAlign w:val="center"/>
          </w:tcPr>
          <w:p>
            <w:pPr>
              <w:jc w:val="left"/>
            </w:pPr>
            <w:r/>
            <w:r>
              <w:rPr>
                <w:rFonts w:hint="eastAsia"/>
                <w:color w:val="000000"/>
                <w:sz w:val="21"/>
              </w:rPr>
              <w:t>本文件，含研究背景与范围、研究方法、报告大纲与图表清单、数据来源memo、数据局限与使用提示。</w:t>
            </w:r>
          </w:p>
        </w:tc>
      </w:tr>
    </w:tbl>
    <w:p>
      <w:pPr>
        <w:pStyle w:val="a6"/>
      </w:pPr>
      <w:r>
        <w:rPr>
          <w:rFonts w:hint="eastAsia"/>
        </w:rPr>
        <w:t>资料来源：本memo整理。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