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24"/>
        <w:gridCol w:w="4110"/>
        <w:gridCol w:w="2448"/>
        <w:gridCol w:w="1224"/>
      </w:tblGrid>
      <w:tr>
        <w:trPr>
          <w:cantSplit/>
          <w:trHeight w:val="397"/>
          <w:tblHeader/>
          <w:jc w:val="center"/>
        </w:trPr>
        <w:tc>
          <w:tcPr>
            <w:tcW w:w="524" w:type="dxa"/>
            <w:vAlign w:val="center"/>
          </w:tcPr>
          <w:p>
            <w:pPr>
              <w:spacing w:before="0" w:after="0"/>
              <w:jc w:val="center"/>
              <w:keepNext/>
            </w:pPr>
            <w:r>
              <w:rPr>
                <w:rFonts w:ascii="Times New Roman" w:hAnsi="Times New Roman" w:eastAsia="宋体"/>
                <w:b/>
                <w:sz w:val="21"/>
              </w:rPr>
              <w:t>序号</w:t>
            </w:r>
          </w:p>
        </w:tc>
        <w:tc>
          <w:tcPr>
            <w:tcW w:w="4110" w:type="dxa"/>
            <w:vAlign w:val="center"/>
          </w:tcPr>
          <w:p>
            <w:pPr>
              <w:spacing w:before="0" w:after="0"/>
              <w:jc w:val="center"/>
              <w:keepNext/>
            </w:pPr>
            <w:r>
              <w:rPr>
                <w:rFonts w:ascii="Times New Roman" w:hAnsi="Times New Roman" w:eastAsia="宋体"/>
                <w:b/>
                <w:sz w:val="21"/>
              </w:rPr>
              <w:t>标准名称</w:t>
            </w:r>
          </w:p>
        </w:tc>
        <w:tc>
          <w:tcPr>
            <w:tcW w:w="2448" w:type="dxa"/>
            <w:vAlign w:val="center"/>
          </w:tcPr>
          <w:p>
            <w:pPr>
              <w:spacing w:before="0" w:after="0"/>
              <w:jc w:val="center"/>
              <w:keepNext/>
            </w:pPr>
            <w:r>
              <w:rPr>
                <w:rFonts w:ascii="Times New Roman" w:hAnsi="Times New Roman" w:eastAsia="宋体"/>
                <w:b/>
                <w:sz w:val="21"/>
              </w:rPr>
              <w:t>颁布单位</w:t>
            </w:r>
          </w:p>
        </w:tc>
        <w:tc>
          <w:tcPr>
            <w:tcW w:w="1224"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24" w:type="dxa"/>
            <w:vAlign w:val="center"/>
          </w:tcPr>
          <w:p>
            <w:pPr>
              <w:spacing w:before="0" w:after="0"/>
            </w:pPr>
            <w:r>
              <w:rPr>
                <w:rFonts w:ascii="Times New Roman" w:hAnsi="Times New Roman" w:eastAsia="宋体"/>
                <w:b w:val="0"/>
                <w:sz w:val="21"/>
              </w:rPr>
              <w:t>1</w:t>
            </w:r>
          </w:p>
        </w:tc>
        <w:tc>
          <w:tcPr>
            <w:tcW w:w="4110" w:type="dxa"/>
            <w:vAlign w:val="center"/>
          </w:tcPr>
          <w:p>
            <w:pPr>
              <w:spacing w:before="0" w:after="0"/>
            </w:pPr>
            <w:r>
              <w:rPr>
                <w:rFonts w:ascii="Times New Roman" w:hAnsi="Times New Roman" w:eastAsia="宋体"/>
                <w:b w:val="0"/>
                <w:sz w:val="21"/>
              </w:rPr>
              <w:t>GB/T 30819—2024《机器人用谐波齿轮减速器》</w:t>
            </w:r>
          </w:p>
        </w:tc>
        <w:tc>
          <w:tcPr>
            <w:tcW w:w="2448" w:type="dxa"/>
            <w:vAlign w:val="center"/>
          </w:tcPr>
          <w:p>
            <w:pPr>
              <w:spacing w:before="0" w:after="0"/>
            </w:pPr>
            <w:r>
              <w:rPr>
                <w:rFonts w:ascii="Times New Roman" w:hAnsi="Times New Roman" w:eastAsia="宋体"/>
                <w:b w:val="0"/>
                <w:sz w:val="21"/>
              </w:rPr>
              <w:t>国家市场监督管理总局、国家标准化管理委员会</w:t>
            </w:r>
          </w:p>
        </w:tc>
        <w:tc>
          <w:tcPr>
            <w:tcW w:w="1224"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24" w:type="dxa"/>
            <w:vAlign w:val="center"/>
          </w:tcPr>
          <w:p>
            <w:pPr>
              <w:spacing w:before="0" w:after="0"/>
            </w:pPr>
            <w:r>
              <w:rPr>
                <w:rFonts w:ascii="Times New Roman" w:hAnsi="Times New Roman" w:eastAsia="宋体"/>
                <w:b w:val="0"/>
                <w:sz w:val="21"/>
              </w:rPr>
              <w:t>2</w:t>
            </w:r>
          </w:p>
        </w:tc>
        <w:tc>
          <w:tcPr>
            <w:tcW w:w="4110" w:type="dxa"/>
            <w:vAlign w:val="center"/>
          </w:tcPr>
          <w:p>
            <w:pPr>
              <w:spacing w:before="0" w:after="0"/>
            </w:pPr>
            <w:r>
              <w:rPr>
                <w:rFonts w:ascii="Times New Roman" w:hAnsi="Times New Roman" w:eastAsia="宋体"/>
                <w:b w:val="0"/>
                <w:sz w:val="21"/>
              </w:rPr>
              <w:t>GB/T 43200—2023《机器人一体化关节性能及试验方法》</w:t>
            </w:r>
          </w:p>
        </w:tc>
        <w:tc>
          <w:tcPr>
            <w:tcW w:w="2448" w:type="dxa"/>
            <w:vAlign w:val="center"/>
          </w:tcPr>
          <w:p>
            <w:pPr>
              <w:spacing w:before="0" w:after="0"/>
            </w:pPr>
            <w:r>
              <w:rPr>
                <w:rFonts w:ascii="Times New Roman" w:hAnsi="Times New Roman" w:eastAsia="宋体"/>
                <w:b w:val="0"/>
                <w:sz w:val="21"/>
              </w:rPr>
              <w:t>国家市场监督管理总局、国家标准化管理委员会</w:t>
            </w:r>
          </w:p>
        </w:tc>
        <w:tc>
          <w:tcPr>
            <w:tcW w:w="1224"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24" w:type="dxa"/>
            <w:vAlign w:val="center"/>
          </w:tcPr>
          <w:p>
            <w:pPr>
              <w:spacing w:before="0" w:after="0"/>
            </w:pPr>
            <w:r>
              <w:rPr>
                <w:rFonts w:ascii="Times New Roman" w:hAnsi="Times New Roman" w:eastAsia="宋体"/>
                <w:b w:val="0"/>
                <w:sz w:val="21"/>
              </w:rPr>
              <w:t>3</w:t>
            </w:r>
          </w:p>
        </w:tc>
        <w:tc>
          <w:tcPr>
            <w:tcW w:w="4110" w:type="dxa"/>
            <w:vAlign w:val="center"/>
          </w:tcPr>
          <w:p>
            <w:pPr>
              <w:spacing w:before="0" w:after="0"/>
            </w:pPr>
            <w:r>
              <w:rPr>
                <w:rFonts w:ascii="Times New Roman" w:hAnsi="Times New Roman" w:eastAsia="宋体"/>
                <w:b w:val="0"/>
                <w:sz w:val="21"/>
              </w:rPr>
              <w:t>GB/T 40731—2021《精密减速器回差测试与评价方法》</w:t>
            </w:r>
          </w:p>
        </w:tc>
        <w:tc>
          <w:tcPr>
            <w:tcW w:w="2448" w:type="dxa"/>
            <w:vAlign w:val="center"/>
          </w:tcPr>
          <w:p>
            <w:pPr>
              <w:spacing w:before="0" w:after="0"/>
            </w:pPr>
            <w:r>
              <w:rPr>
                <w:rFonts w:ascii="Times New Roman" w:hAnsi="Times New Roman" w:eastAsia="宋体"/>
                <w:b w:val="0"/>
                <w:sz w:val="21"/>
              </w:rPr>
              <w:t>国家市场监督管理总局、国家标准化管理委员会</w:t>
            </w:r>
          </w:p>
        </w:tc>
        <w:tc>
          <w:tcPr>
            <w:tcW w:w="1224" w:type="dxa"/>
            <w:vAlign w:val="center"/>
          </w:tcPr>
          <w:p>
            <w:pPr>
              <w:spacing w:before="0" w:after="0"/>
            </w:pPr>
            <w:r>
              <w:rPr>
                <w:rFonts w:ascii="Times New Roman" w:hAnsi="Times New Roman" w:eastAsia="宋体"/>
                <w:b w:val="0"/>
                <w:sz w:val="21"/>
              </w:rPr>
              <w:t>2022年5月</w:t>
            </w:r>
          </w:p>
        </w:tc>
      </w:tr>
      <w:tr>
        <w:trPr>
          <w:cantSplit/>
          <w:trHeight w:val="397"/>
          <w:jc w:val="center"/>
        </w:trPr>
        <w:tc>
          <w:tcPr>
            <w:tcW w:w="524" w:type="dxa"/>
            <w:vAlign w:val="center"/>
          </w:tcPr>
          <w:p>
            <w:pPr>
              <w:spacing w:before="0" w:after="0"/>
            </w:pPr>
            <w:r>
              <w:rPr>
                <w:rFonts w:ascii="Times New Roman" w:hAnsi="Times New Roman" w:eastAsia="宋体"/>
                <w:b w:val="0"/>
                <w:sz w:val="21"/>
              </w:rPr>
              <w:t>4</w:t>
            </w:r>
          </w:p>
        </w:tc>
        <w:tc>
          <w:tcPr>
            <w:tcW w:w="4110" w:type="dxa"/>
            <w:vAlign w:val="center"/>
          </w:tcPr>
          <w:p>
            <w:pPr>
              <w:spacing w:before="0" w:after="0"/>
            </w:pPr>
            <w:r>
              <w:rPr>
                <w:rFonts w:ascii="Times New Roman" w:hAnsi="Times New Roman" w:eastAsia="宋体"/>
                <w:b w:val="0"/>
                <w:sz w:val="21"/>
              </w:rPr>
              <w:t>GB/T 37414.2—2020《工业机器人电气设备及系统 第2部分：交流伺服驱动装置技术条件》</w:t>
            </w:r>
          </w:p>
        </w:tc>
        <w:tc>
          <w:tcPr>
            <w:tcW w:w="2448" w:type="dxa"/>
            <w:vAlign w:val="center"/>
          </w:tcPr>
          <w:p>
            <w:pPr>
              <w:spacing w:before="0" w:after="0"/>
            </w:pPr>
            <w:r>
              <w:rPr>
                <w:rFonts w:ascii="Times New Roman" w:hAnsi="Times New Roman" w:eastAsia="宋体"/>
                <w:b w:val="0"/>
                <w:sz w:val="21"/>
              </w:rPr>
              <w:t>国家市场监督管理总局、国家标准化管理委员会</w:t>
            </w:r>
          </w:p>
        </w:tc>
        <w:tc>
          <w:tcPr>
            <w:tcW w:w="1224" w:type="dxa"/>
            <w:vAlign w:val="center"/>
          </w:tcPr>
          <w:p>
            <w:pPr>
              <w:spacing w:before="0" w:after="0"/>
            </w:pPr>
            <w:r>
              <w:rPr>
                <w:rFonts w:ascii="Times New Roman" w:hAnsi="Times New Roman" w:eastAsia="宋体"/>
                <w:b w:val="0"/>
                <w:sz w:val="21"/>
              </w:rPr>
              <w:t>2020年11月</w:t>
            </w:r>
          </w:p>
        </w:tc>
      </w:tr>
      <w:tr>
        <w:trPr>
          <w:cantSplit/>
          <w:trHeight w:val="397"/>
          <w:jc w:val="center"/>
        </w:trPr>
        <w:tc>
          <w:tcPr>
            <w:tcW w:w="524" w:type="dxa"/>
            <w:vAlign w:val="center"/>
          </w:tcPr>
          <w:p>
            <w:pPr>
              <w:spacing w:before="0" w:after="0"/>
            </w:pPr>
            <w:r>
              <w:rPr>
                <w:rFonts w:ascii="Times New Roman" w:hAnsi="Times New Roman" w:eastAsia="宋体"/>
                <w:b w:val="0"/>
                <w:sz w:val="21"/>
              </w:rPr>
              <w:t>5</w:t>
            </w:r>
          </w:p>
        </w:tc>
        <w:tc>
          <w:tcPr>
            <w:tcW w:w="4110" w:type="dxa"/>
            <w:vAlign w:val="center"/>
          </w:tcPr>
          <w:p>
            <w:pPr>
              <w:spacing w:before="0" w:after="0"/>
            </w:pPr>
            <w:r>
              <w:rPr>
                <w:rFonts w:ascii="Times New Roman" w:hAnsi="Times New Roman" w:eastAsia="宋体"/>
                <w:b w:val="0"/>
                <w:sz w:val="21"/>
              </w:rPr>
              <w:t>GB/T 38559—2020《工业机器人力控制技术规范》</w:t>
            </w:r>
          </w:p>
        </w:tc>
        <w:tc>
          <w:tcPr>
            <w:tcW w:w="2448" w:type="dxa"/>
            <w:vAlign w:val="center"/>
          </w:tcPr>
          <w:p>
            <w:pPr>
              <w:spacing w:before="0" w:after="0"/>
            </w:pPr>
            <w:r>
              <w:rPr>
                <w:rFonts w:ascii="Times New Roman" w:hAnsi="Times New Roman" w:eastAsia="宋体"/>
                <w:b w:val="0"/>
                <w:sz w:val="21"/>
              </w:rPr>
              <w:t>国家市场监督管理总局、国家标准化管理委员会</w:t>
            </w:r>
          </w:p>
        </w:tc>
        <w:tc>
          <w:tcPr>
            <w:tcW w:w="1224" w:type="dxa"/>
            <w:vAlign w:val="center"/>
          </w:tcPr>
          <w:p>
            <w:pPr>
              <w:spacing w:before="0" w:after="0"/>
            </w:pPr>
            <w:r>
              <w:rPr>
                <w:rFonts w:ascii="Times New Roman" w:hAnsi="Times New Roman" w:eastAsia="宋体"/>
                <w:b w:val="0"/>
                <w:sz w:val="21"/>
              </w:rPr>
              <w:t>2020年10月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国家标准分别对应谐波减速机、一体化关节模组、减速器回差检测、伺服驱动装置和力控制技术，与公司谐波减速机、微型低压驱动器、力传感器组件及一体化关节模组等产品直接相关。此外，人形机器人部组件电驱动一体化关节的要求及试验方法等标准正在制定过程中。</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图1  人形机器人硬件成本结构</w:t>
      </w:r>
    </w:p>
    <w:p>
      <w:pPr>
        <w:spacing w:before="120" w:after="60"/>
        <w:jc w:val="center"/>
        <w:keepNext/>
      </w:pPr>
      <w:r>
        <w:drawing>
          <wp:inline xmlns:a="http://schemas.openxmlformats.org/drawingml/2006/main" xmlns:pic="http://schemas.openxmlformats.org/drawingml/2006/picture">
            <wp:extent cx="5029200" cy="1978860"/>
            <wp:docPr id="1" name="Picture 1"/>
            <wp:cNvGraphicFramePr>
              <a:graphicFrameLocks noChangeAspect="1"/>
            </wp:cNvGraphicFramePr>
            <a:graphic>
              <a:graphicData uri="http://schemas.openxmlformats.org/drawingml/2006/picture">
                <pic:pic>
                  <pic:nvPicPr>
                    <pic:cNvPr id="0" name="fig2.png"/>
                    <pic:cNvPicPr/>
                  </pic:nvPicPr>
                  <pic:blipFill>
                    <a:blip r:embed="rId36"/>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成本方面，据觅途咨询测算，2025年特斯拉Optimus Gen2整机硬件成本约29万元，其中关节模组约15.8万元、占比约54%；该机型使用约28个关节模组，单个模组的平均成本约4,000元至6,500元。该机构同时判断，随着核心零部件国产化、结构集成化与装配自动化的推进，一体化关节模组的成本较当前水平仍有40%至60%的下降空间。</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图2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2" name="Picture 2"/>
            <wp:cNvGraphicFramePr>
              <a:graphicFrameLocks noChangeAspect="1"/>
            </wp:cNvGraphicFramePr>
            <a:graphic>
              <a:graphicData uri="http://schemas.openxmlformats.org/drawingml/2006/picture">
                <pic:pic>
                  <pic:nvPicPr>
                    <pic:cNvPr id="0" name="fig3.png"/>
                    <pic:cNvPicPr/>
                  </pic:nvPicPr>
                  <pic:blipFill>
                    <a:blip r:embed="rId37"/>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前述谐波减速机方案的核心部件，也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图3  全球谐波减速机产能</w:t>
      </w:r>
    </w:p>
    <w:p>
      <w:pPr>
        <w:spacing w:before="120" w:after="60"/>
        <w:jc w:val="center"/>
        <w:keepNext/>
      </w:pPr>
      <w:r>
        <w:drawing>
          <wp:inline xmlns:a="http://schemas.openxmlformats.org/drawingml/2006/main" xmlns:pic="http://schemas.openxmlformats.org/drawingml/2006/picture">
            <wp:extent cx="5029200" cy="2191225"/>
            <wp:docPr id="3" name="Picture 3"/>
            <wp:cNvGraphicFramePr>
              <a:graphicFrameLocks noChangeAspect="1"/>
            </wp:cNvGraphicFramePr>
            <a:graphic>
              <a:graphicData uri="http://schemas.openxmlformats.org/drawingml/2006/picture">
                <pic:pic>
                  <pic:nvPicPr>
                    <pic:cNvPr id="0" name="fig4.png"/>
                    <pic:cNvPicPr/>
                  </pic:nvPicPr>
                  <pic:blipFill>
                    <a:blip r:embed="rId38"/>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需求放量的前提是人形机器人相对于人工岗位具备经济替代性。随着执行器自研、关键零部件垂直整合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图4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4" name="Picture 4"/>
            <wp:cNvGraphicFramePr>
              <a:graphicFrameLocks noChangeAspect="1"/>
            </wp:cNvGraphicFramePr>
            <a:graphic>
              <a:graphicData uri="http://schemas.openxmlformats.org/drawingml/2006/picture">
                <pic:pic>
                  <pic:nvPicPr>
                    <pic:cNvPr id="0" name="fig5.png"/>
                    <pic:cNvPicPr/>
                  </pic:nvPicPr>
                  <pic:blipFill>
                    <a:blip r:embed="rId39"/>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从产业阶段看，觅途咨询将2025年界定为人形机器人小批量产元年、2026年为规模量产元年。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上述前提尚在形成过程中，因此不宜认为整机厂商将放弃自研；更可能的形态是自研与外购并行，整机厂商在差异化环节保留自研，在标准化程度较高的规格上转向外购。对公司而言，未来数年是进入头部整机厂商供应体系的窗口期，能否在特定规格上建立稳定的批量供应记录，将影响其在产业分工形成后的位置。</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如前所述，谐波减速机、无框力矩电机等环节已形成规模化的国产供应，国产零部件的批量应用直接降低了关节模组的整体成本，并缩短了供应链响应周期。国产化率的提升同时改变了竞争的比较对象，该环节的竞争已由进口替代转向国产厂商之间的技术与成本比较，产品价格随之下行。以来福谐波披露的数据为例，其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在实验室与样机阶段，行业比较的是峰值扭矩和传动精度；进入规模化量产阶段后，量产一致性、交付稳定性、良品率和成本控制成为主要比较维度，可复制的制造能力构成新的竞争壁垒。</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表明本环节的竞争已转向规模与成本，对企业的供应链管理和量产成本控制能力提出了更高要求。</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如前所述，随着国产厂商份额提升，该环节的比较对象已由境外品牌转为国产同行；在此基础上，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据其公开披露，除部分芯片外，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据其上市文件披露，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觅途咨询则将一体化关节模组的核心壁垒归纳为设计、工艺、标定和供应链四个方面。综合前述研究，就新进入者而言，本行业的主要壁垒体现为以下五类。</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核心零部件与一体化关节模组，谐波减速机、微型低压驱动器、集成式编码器和力传感器组件均已实现自研与量产。据公司产品手册及官网，其关节模组产品中，面向人形机器人的系列已形成R48、R58、R68、R83、R102、R120和R120 Max，按关节部位分别对应头颈、肩肘腕及腰部、髋部及腿部；在此之外另设面向工业场景的模组系列。据公司2025年产品手册，前述人形机器人用系列的峰值扭矩覆盖3.8牛米至576牛米。如前所述，减速器占执行器成本的30%至50%，具备谐波减速机自研与量产能力的关节模组厂商在成本控制上具有起点优势；公司在此基础上进一步实现了驱动器、编码器和力传感器组件的自研。</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根据前述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曾研制人形机器人整机用于技术验证与展示。据公司官网，公司拥有12,000平方米研制基地，已取得授权发明专利15项、授权实用新型专利11项和软件著作权4项。公司为高新技术企业、江苏省重点智能制造企业和2025年江苏省专精特新中小企业，2021年获批无锡市高寿命高精度谐波减速机重点实验室，已取得ISO 9001:2015质量管理体系认证，“机器人一体化智能动力关节”产品入选《江苏省重点推广应用的新技术新产品目录（2025年）》；公司先后获高工金球奖、2024年度人形机器人核心驱动奖、机器人一体化关节标杆奖和2026年度具身智能关节性能突破奖等行业奖项。据公开报道，公司已完成人形机器人专用关节模组1,320套的交付；2025年10月完成近亿元A轮融资，由科沃斯战略投资领投。公司所在的无锡是长三角具身智能产业链的重要承载地，本地已形成覆盖轴承、线缆、模组、芯片和电机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