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半导体设备零部件企业IPO审核关注要点（第六章）</w:t>
      </w:r>
    </w:p>
    <w:p>
      <w:pPr>
        <w:pStyle w:val="a0"/>
      </w:pPr>
      <w:r>
        <w:rPr>
          <w:rFonts w:hint="eastAsia"/>
        </w:rPr>
        <w:t>本章依据四家可比公司的审核问询函回复与招股说明书整理，所引问题与数据均出自交易所发行上市审核信息公开网站披露的原始文件。</w:t>
      </w:r>
    </w:p>
    <w:p>
      <w:pPr>
        <w:pStyle w:val="2"/>
        <w:spacing w:before="156" w:after="156"/>
      </w:pPr>
      <w:bookmarkStart w:id="1000" w:name="_Toc900000"/>
      <w:r>
        <w:rPr>
          <w:rFonts w:hint="eastAsia"/>
          <w:b/>
        </w:rPr>
        <w:t>首次公开发行审核关注要点</w:t>
      </w:r>
      <w:bookmarkEnd w:id="1000"/>
    </w:p>
    <w:p>
      <w:pPr>
        <w:pStyle w:val="3"/>
        <w:numPr>
          <w:ilvl w:val="0"/>
          <w:numId w:val="0"/>
        </w:numPr>
        <w:spacing w:before="156" w:after="156"/>
      </w:pPr>
      <w:bookmarkStart w:id="1001" w:name="_Toc900001"/>
      <w:r>
        <w:rPr>
          <w:rFonts w:hint="eastAsia"/>
        </w:rPr>
        <w:t>6.1 样本与甄别方法</w:t>
      </w:r>
      <w:bookmarkEnd w:id="1001"/>
    </w:p>
    <w:p>
      <w:pPr>
        <w:pStyle w:val="a0"/>
      </w:pPr>
      <w:r>
        <w:rPr>
          <w:rFonts w:hint="eastAsia"/>
        </w:rPr>
        <w:t>本章选取四家半导体设备零部件企业作为样本，覆盖金属零部件、陶瓷零部件、硅与石英零部件三条工艺路线，以及2019年与2024至2026年两个审核时段。四家企业的审核文件均已在交易所网站公开。</w:t>
      </w:r>
    </w:p>
    <w:p>
      <w:pPr>
        <w:keepNext/>
        <w:jc w:val="center"/>
      </w:pPr>
      <w:r>
        <w:rPr>
          <w:rFonts w:hint="eastAsia"/>
          <w:b/>
          <w:sz w:val="21"/>
        </w:rPr>
        <w:t>表1  样本企业审核概况</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187"/>
        <w:gridCol w:w="1187"/>
        <w:gridCol w:w="1187"/>
        <w:gridCol w:w="1187"/>
        <w:gridCol w:w="1187"/>
        <w:gridCol w:w="1187"/>
        <w:gridCol w:w="1187"/>
      </w:tblGrid>
      <w:tr>
        <w:trPr>
          <w:cantSplit/>
          <w:tblHeader/>
          <w:jc w:val="center"/>
        </w:trPr>
        <w:tc>
          <w:tcPr>
            <w:tcW w:w="615"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423"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385" w:type="pct"/>
            <w:tcBorders>
              <w:top w:val="single" w:sz="12" w:space="0" w:color="010000"/>
              <w:bottom w:val="single" w:sz="4" w:space="0" w:color="010000"/>
            </w:tcBorders>
            <w:vAlign w:val="center"/>
          </w:tcPr>
          <w:p>
            <w:pPr>
              <w:keepNext/>
              <w:jc w:val="center"/>
            </w:pPr>
            <w:r/>
            <w:r>
              <w:rPr>
                <w:rFonts w:hint="eastAsia"/>
                <w:b/>
                <w:color w:val="000000"/>
                <w:sz w:val="21"/>
              </w:rPr>
              <w:t>上市板块</w:t>
            </w:r>
          </w:p>
        </w:tc>
        <w:tc>
          <w:tcPr>
            <w:tcW w:w="923" w:type="pct"/>
            <w:tcBorders>
              <w:top w:val="single" w:sz="12" w:space="0" w:color="010000"/>
              <w:bottom w:val="single" w:sz="4" w:space="0" w:color="010000"/>
            </w:tcBorders>
            <w:vAlign w:val="center"/>
          </w:tcPr>
          <w:p>
            <w:pPr>
              <w:keepNext/>
              <w:jc w:val="center"/>
            </w:pPr>
            <w:r/>
            <w:r>
              <w:rPr>
                <w:rFonts w:hint="eastAsia"/>
                <w:b/>
                <w:color w:val="000000"/>
                <w:sz w:val="21"/>
              </w:rPr>
              <w:t>受理与审核时间</w:t>
            </w:r>
          </w:p>
        </w:tc>
        <w:tc>
          <w:tcPr>
            <w:tcW w:w="769" w:type="pct"/>
            <w:tcBorders>
              <w:top w:val="single" w:sz="12" w:space="0" w:color="010000"/>
              <w:bottom w:val="single" w:sz="4" w:space="0" w:color="010000"/>
            </w:tcBorders>
            <w:vAlign w:val="center"/>
          </w:tcPr>
          <w:p>
            <w:pPr>
              <w:keepNext/>
              <w:jc w:val="center"/>
            </w:pPr>
            <w:r/>
            <w:r>
              <w:rPr>
                <w:rFonts w:hint="eastAsia"/>
                <w:b/>
                <w:color w:val="000000"/>
                <w:sz w:val="21"/>
              </w:rPr>
              <w:t>问询轮次</w:t>
            </w:r>
          </w:p>
        </w:tc>
        <w:tc>
          <w:tcPr>
            <w:tcW w:w="346" w:type="pct"/>
            <w:tcBorders>
              <w:top w:val="single" w:sz="12" w:space="0" w:color="010000"/>
              <w:bottom w:val="single" w:sz="4" w:space="0" w:color="010000"/>
            </w:tcBorders>
            <w:vAlign w:val="center"/>
          </w:tcPr>
          <w:p>
            <w:pPr>
              <w:keepNext/>
              <w:jc w:val="center"/>
            </w:pPr>
            <w:r/>
            <w:r>
              <w:rPr>
                <w:rFonts w:hint="eastAsia"/>
                <w:b/>
                <w:color w:val="000000"/>
                <w:sz w:val="21"/>
              </w:rPr>
              <w:t>首轮问题数</w:t>
            </w:r>
          </w:p>
        </w:tc>
        <w:tc>
          <w:tcPr>
            <w:tcW w:w="1538" w:type="pct"/>
            <w:tcBorders>
              <w:top w:val="single" w:sz="12" w:space="0" w:color="010000"/>
              <w:bottom w:val="single" w:sz="4" w:space="0" w:color="010000"/>
            </w:tcBorders>
            <w:vAlign w:val="center"/>
          </w:tcPr>
          <w:p>
            <w:pPr>
              <w:keepNext/>
              <w:jc w:val="center"/>
            </w:pPr>
            <w:r/>
            <w:r>
              <w:rPr>
                <w:rFonts w:hint="eastAsia"/>
                <w:b/>
                <w:color w:val="000000"/>
                <w:sz w:val="21"/>
              </w:rPr>
              <w:t>主要产品</w:t>
            </w:r>
          </w:p>
        </w:tc>
      </w:tr>
      <w:tr>
        <w:trPr>
          <w:cantSplit/>
          <w:jc w:val="center"/>
        </w:trPr>
        <w:tc>
          <w:tcPr>
            <w:tcW w:w="615" w:type="pct"/>
            <w:tcBorders>
              <w:top w:val="single" w:sz="4" w:space="0" w:color="010000"/>
            </w:tcBorders>
            <w:vAlign w:val="center"/>
          </w:tcPr>
          <w:p>
            <w:pPr>
              <w:jc w:val="center"/>
            </w:pPr>
            <w:r/>
            <w:r>
              <w:rPr>
                <w:rFonts w:hint="eastAsia"/>
                <w:color w:val="000000"/>
                <w:sz w:val="21"/>
              </w:rPr>
              <w:t>托伦斯精密制造（江苏）</w:t>
            </w:r>
          </w:p>
        </w:tc>
        <w:tc>
          <w:tcPr>
            <w:tcW w:w="423" w:type="pct"/>
            <w:tcBorders>
              <w:top w:val="single" w:sz="4" w:space="0" w:color="010000"/>
            </w:tcBorders>
            <w:vAlign w:val="center"/>
          </w:tcPr>
          <w:p>
            <w:pPr>
              <w:jc w:val="center"/>
            </w:pPr>
            <w:r/>
            <w:r>
              <w:rPr>
                <w:rFonts w:hint="eastAsia"/>
                <w:color w:val="000000"/>
                <w:sz w:val="21"/>
              </w:rPr>
              <w:t>301583.SZ</w:t>
            </w:r>
          </w:p>
        </w:tc>
        <w:tc>
          <w:tcPr>
            <w:tcW w:w="385" w:type="pct"/>
            <w:tcBorders>
              <w:top w:val="single" w:sz="4" w:space="0" w:color="010000"/>
            </w:tcBorders>
            <w:vAlign w:val="center"/>
          </w:tcPr>
          <w:p>
            <w:pPr>
              <w:jc w:val="center"/>
            </w:pPr>
            <w:r/>
            <w:r>
              <w:rPr>
                <w:rFonts w:hint="eastAsia"/>
                <w:color w:val="000000"/>
                <w:sz w:val="21"/>
              </w:rPr>
              <w:t>创业板</w:t>
            </w:r>
          </w:p>
        </w:tc>
        <w:tc>
          <w:tcPr>
            <w:tcW w:w="923" w:type="pct"/>
            <w:tcBorders>
              <w:top w:val="single" w:sz="4" w:space="0" w:color="010000"/>
            </w:tcBorders>
            <w:vAlign w:val="center"/>
          </w:tcPr>
          <w:p>
            <w:pPr>
              <w:jc w:val="left"/>
            </w:pPr>
            <w:r/>
            <w:r>
              <w:rPr>
                <w:rFonts w:hint="eastAsia"/>
                <w:color w:val="000000"/>
                <w:sz w:val="21"/>
              </w:rPr>
              <w:t>2025年12月23日受理，2026年4月25日提交注册</w:t>
            </w:r>
          </w:p>
        </w:tc>
        <w:tc>
          <w:tcPr>
            <w:tcW w:w="769" w:type="pct"/>
            <w:tcBorders>
              <w:top w:val="single" w:sz="4" w:space="0" w:color="010000"/>
            </w:tcBorders>
            <w:vAlign w:val="center"/>
          </w:tcPr>
          <w:p>
            <w:pPr>
              <w:jc w:val="center"/>
            </w:pPr>
            <w:r/>
            <w:r>
              <w:rPr>
                <w:rFonts w:hint="eastAsia"/>
                <w:color w:val="000000"/>
                <w:sz w:val="21"/>
              </w:rPr>
              <w:t>两轮问询＋审核中心意见落实函</w:t>
            </w:r>
          </w:p>
        </w:tc>
        <w:tc>
          <w:tcPr>
            <w:tcW w:w="346" w:type="pct"/>
            <w:tcBorders>
              <w:top w:val="single" w:sz="4" w:space="0" w:color="010000"/>
            </w:tcBorders>
            <w:vAlign w:val="center"/>
          </w:tcPr>
          <w:p>
            <w:pPr>
              <w:jc w:val="center"/>
            </w:pPr>
            <w:r/>
            <w:r>
              <w:rPr>
                <w:rFonts w:hint="eastAsia"/>
                <w:color w:val="000000"/>
                <w:sz w:val="21"/>
              </w:rPr>
              <w:t>15</w:t>
            </w:r>
          </w:p>
        </w:tc>
        <w:tc>
          <w:tcPr>
            <w:tcW w:w="1538" w:type="pct"/>
            <w:tcBorders>
              <w:top w:val="single" w:sz="4" w:space="0" w:color="010000"/>
            </w:tcBorders>
            <w:vAlign w:val="center"/>
          </w:tcPr>
          <w:p>
            <w:pPr>
              <w:jc w:val="left"/>
            </w:pPr>
            <w:r/>
            <w:r>
              <w:rPr>
                <w:rFonts w:hint="eastAsia"/>
                <w:color w:val="000000"/>
                <w:sz w:val="21"/>
              </w:rPr>
              <w:t>半导体关键工艺零部件（内衬、匀气环、腔体、气体分布盘、匀气盘、加热器、静电卡盘基体等）、结构零部件、激光零部件</w:t>
            </w:r>
          </w:p>
        </w:tc>
      </w:tr>
      <w:tr>
        <w:trPr>
          <w:cantSplit/>
          <w:jc w:val="center"/>
        </w:trPr>
        <w:tc>
          <w:tcPr>
            <w:tcW w:w="615" w:type="pct"/>
            <w:tcBorders>
              <w:top w:val="single" w:sz="4" w:space="0" w:color="010000"/>
            </w:tcBorders>
            <w:vAlign w:val="center"/>
          </w:tcPr>
          <w:p>
            <w:pPr>
              <w:jc w:val="center"/>
            </w:pPr>
            <w:r/>
            <w:r>
              <w:rPr>
                <w:rFonts w:hint="eastAsia"/>
                <w:color w:val="000000"/>
                <w:sz w:val="21"/>
              </w:rPr>
              <w:t>臻宝科技</w:t>
            </w:r>
          </w:p>
        </w:tc>
        <w:tc>
          <w:tcPr>
            <w:tcW w:w="423" w:type="pct"/>
            <w:tcBorders>
              <w:top w:val="single" w:sz="4" w:space="0" w:color="010000"/>
            </w:tcBorders>
            <w:vAlign w:val="center"/>
          </w:tcPr>
          <w:p>
            <w:pPr>
              <w:jc w:val="center"/>
            </w:pPr>
            <w:r/>
            <w:r>
              <w:rPr>
                <w:rFonts w:hint="eastAsia"/>
                <w:color w:val="000000"/>
                <w:sz w:val="21"/>
              </w:rPr>
              <w:t>688797.SH</w:t>
            </w:r>
          </w:p>
        </w:tc>
        <w:tc>
          <w:tcPr>
            <w:tcW w:w="385" w:type="pct"/>
            <w:tcBorders>
              <w:top w:val="single" w:sz="4" w:space="0" w:color="010000"/>
            </w:tcBorders>
            <w:vAlign w:val="center"/>
          </w:tcPr>
          <w:p>
            <w:pPr>
              <w:jc w:val="center"/>
            </w:pPr>
            <w:r/>
            <w:r>
              <w:rPr>
                <w:rFonts w:hint="eastAsia"/>
                <w:color w:val="000000"/>
                <w:sz w:val="21"/>
              </w:rPr>
              <w:t>科创板</w:t>
            </w:r>
          </w:p>
        </w:tc>
        <w:tc>
          <w:tcPr>
            <w:tcW w:w="923" w:type="pct"/>
            <w:tcBorders>
              <w:top w:val="single" w:sz="4" w:space="0" w:color="010000"/>
            </w:tcBorders>
            <w:vAlign w:val="center"/>
          </w:tcPr>
          <w:p>
            <w:pPr>
              <w:jc w:val="left"/>
            </w:pPr>
            <w:r/>
            <w:r>
              <w:rPr>
                <w:rFonts w:hint="eastAsia"/>
                <w:color w:val="000000"/>
                <w:sz w:val="21"/>
              </w:rPr>
              <w:t>2025年首轮问询，2026年3月5日过会，2026年6月24日上市</w:t>
            </w:r>
          </w:p>
        </w:tc>
        <w:tc>
          <w:tcPr>
            <w:tcW w:w="769" w:type="pct"/>
            <w:tcBorders>
              <w:top w:val="single" w:sz="4" w:space="0" w:color="010000"/>
            </w:tcBorders>
            <w:vAlign w:val="center"/>
          </w:tcPr>
          <w:p>
            <w:pPr>
              <w:jc w:val="center"/>
            </w:pPr>
            <w:r/>
            <w:r>
              <w:rPr>
                <w:rFonts w:hint="eastAsia"/>
                <w:color w:val="000000"/>
                <w:sz w:val="21"/>
              </w:rPr>
              <w:t>两轮问询</w:t>
            </w:r>
          </w:p>
        </w:tc>
        <w:tc>
          <w:tcPr>
            <w:tcW w:w="346" w:type="pct"/>
            <w:tcBorders>
              <w:top w:val="single" w:sz="4" w:space="0" w:color="010000"/>
            </w:tcBorders>
            <w:vAlign w:val="center"/>
          </w:tcPr>
          <w:p>
            <w:pPr>
              <w:jc w:val="center"/>
            </w:pPr>
            <w:r/>
            <w:r>
              <w:rPr>
                <w:rFonts w:hint="eastAsia"/>
                <w:color w:val="000000"/>
                <w:sz w:val="21"/>
              </w:rPr>
              <w:t>13</w:t>
            </w:r>
          </w:p>
        </w:tc>
        <w:tc>
          <w:tcPr>
            <w:tcW w:w="1538" w:type="pct"/>
            <w:tcBorders>
              <w:top w:val="single" w:sz="4" w:space="0" w:color="010000"/>
            </w:tcBorders>
            <w:vAlign w:val="center"/>
          </w:tcPr>
          <w:p>
            <w:pPr>
              <w:jc w:val="left"/>
            </w:pPr>
            <w:r/>
            <w:r>
              <w:rPr>
                <w:rFonts w:hint="eastAsia"/>
                <w:color w:val="000000"/>
                <w:sz w:val="21"/>
              </w:rPr>
              <w:t>硅、石英、碳化硅、氧化铝陶瓷零部件及工程塑料零部件，并提供熔射再生、阳极氧化、精密清洗等表面处理服务</w:t>
            </w:r>
          </w:p>
        </w:tc>
      </w:tr>
      <w:tr>
        <w:trPr>
          <w:cantSplit/>
          <w:jc w:val="center"/>
        </w:trPr>
        <w:tc>
          <w:tcPr>
            <w:tcW w:w="615" w:type="pct"/>
            <w:tcBorders>
              <w:top w:val="single" w:sz="4" w:space="0" w:color="010000"/>
            </w:tcBorders>
            <w:vAlign w:val="center"/>
          </w:tcPr>
          <w:p>
            <w:pPr>
              <w:jc w:val="center"/>
            </w:pPr>
            <w:r/>
            <w:r>
              <w:rPr>
                <w:rFonts w:hint="eastAsia"/>
                <w:color w:val="000000"/>
                <w:sz w:val="21"/>
              </w:rPr>
              <w:t>珂玛科技</w:t>
            </w:r>
          </w:p>
        </w:tc>
        <w:tc>
          <w:tcPr>
            <w:tcW w:w="423" w:type="pct"/>
            <w:tcBorders>
              <w:top w:val="single" w:sz="4" w:space="0" w:color="010000"/>
            </w:tcBorders>
            <w:vAlign w:val="center"/>
          </w:tcPr>
          <w:p>
            <w:pPr>
              <w:jc w:val="center"/>
            </w:pPr>
            <w:r/>
            <w:r>
              <w:rPr>
                <w:rFonts w:hint="eastAsia"/>
                <w:color w:val="000000"/>
                <w:sz w:val="21"/>
              </w:rPr>
              <w:t>301611.SZ</w:t>
            </w:r>
          </w:p>
        </w:tc>
        <w:tc>
          <w:tcPr>
            <w:tcW w:w="385" w:type="pct"/>
            <w:tcBorders>
              <w:top w:val="single" w:sz="4" w:space="0" w:color="010000"/>
            </w:tcBorders>
            <w:vAlign w:val="center"/>
          </w:tcPr>
          <w:p>
            <w:pPr>
              <w:jc w:val="center"/>
            </w:pPr>
            <w:r/>
            <w:r>
              <w:rPr>
                <w:rFonts w:hint="eastAsia"/>
                <w:color w:val="000000"/>
                <w:sz w:val="21"/>
              </w:rPr>
              <w:t>创业板</w:t>
            </w:r>
          </w:p>
        </w:tc>
        <w:tc>
          <w:tcPr>
            <w:tcW w:w="923" w:type="pct"/>
            <w:tcBorders>
              <w:top w:val="single" w:sz="4" w:space="0" w:color="010000"/>
            </w:tcBorders>
            <w:vAlign w:val="center"/>
          </w:tcPr>
          <w:p>
            <w:pPr>
              <w:jc w:val="left"/>
            </w:pPr>
            <w:r/>
            <w:r>
              <w:rPr>
                <w:rFonts w:hint="eastAsia"/>
                <w:color w:val="000000"/>
                <w:sz w:val="21"/>
              </w:rPr>
              <w:t>2024年4月回复第二轮，2024年8月16日上市</w:t>
            </w:r>
          </w:p>
        </w:tc>
        <w:tc>
          <w:tcPr>
            <w:tcW w:w="769" w:type="pct"/>
            <w:tcBorders>
              <w:top w:val="single" w:sz="4" w:space="0" w:color="010000"/>
            </w:tcBorders>
            <w:vAlign w:val="center"/>
          </w:tcPr>
          <w:p>
            <w:pPr>
              <w:jc w:val="center"/>
            </w:pPr>
            <w:r/>
            <w:r>
              <w:rPr>
                <w:rFonts w:hint="eastAsia"/>
                <w:color w:val="000000"/>
                <w:sz w:val="21"/>
              </w:rPr>
              <w:t>两轮问询＋审核中心意见落实函</w:t>
            </w:r>
          </w:p>
        </w:tc>
        <w:tc>
          <w:tcPr>
            <w:tcW w:w="346" w:type="pct"/>
            <w:tcBorders>
              <w:top w:val="single" w:sz="4" w:space="0" w:color="010000"/>
            </w:tcBorders>
            <w:vAlign w:val="center"/>
          </w:tcPr>
          <w:p>
            <w:pPr>
              <w:jc w:val="center"/>
            </w:pPr>
            <w:r/>
            <w:r>
              <w:rPr>
                <w:rFonts w:hint="eastAsia"/>
                <w:color w:val="000000"/>
                <w:sz w:val="21"/>
              </w:rPr>
              <w:t>19（含会计师专项）</w:t>
            </w:r>
          </w:p>
        </w:tc>
        <w:tc>
          <w:tcPr>
            <w:tcW w:w="1538" w:type="pct"/>
            <w:tcBorders>
              <w:top w:val="single" w:sz="4" w:space="0" w:color="010000"/>
            </w:tcBorders>
            <w:vAlign w:val="center"/>
          </w:tcPr>
          <w:p>
            <w:pPr>
              <w:jc w:val="left"/>
            </w:pPr>
            <w:r/>
            <w:r>
              <w:rPr>
                <w:rFonts w:hint="eastAsia"/>
                <w:color w:val="000000"/>
                <w:sz w:val="21"/>
              </w:rPr>
              <w:t>先进陶瓷材料零部件、陶瓷加热器，及泛半导体设备表面处理服务</w:t>
            </w:r>
          </w:p>
        </w:tc>
      </w:tr>
      <w:tr>
        <w:trPr>
          <w:cantSplit/>
          <w:jc w:val="center"/>
        </w:trPr>
        <w:tc>
          <w:tcPr>
            <w:tcW w:w="615" w:type="pct"/>
            <w:tcBorders>
              <w:top w:val="single" w:sz="4" w:space="0" w:color="010000"/>
            </w:tcBorders>
            <w:vAlign w:val="center"/>
          </w:tcPr>
          <w:p>
            <w:pPr>
              <w:jc w:val="center"/>
            </w:pPr>
            <w:r/>
            <w:r>
              <w:rPr>
                <w:rFonts w:hint="eastAsia"/>
                <w:color w:val="000000"/>
                <w:sz w:val="21"/>
              </w:rPr>
              <w:t>中微半导体设备（上海）</w:t>
            </w:r>
          </w:p>
        </w:tc>
        <w:tc>
          <w:tcPr>
            <w:tcW w:w="423" w:type="pct"/>
            <w:tcBorders>
              <w:top w:val="single" w:sz="4" w:space="0" w:color="010000"/>
            </w:tcBorders>
            <w:vAlign w:val="center"/>
          </w:tcPr>
          <w:p>
            <w:pPr>
              <w:jc w:val="center"/>
            </w:pPr>
            <w:r/>
            <w:r>
              <w:rPr>
                <w:rFonts w:hint="eastAsia"/>
                <w:color w:val="000000"/>
                <w:sz w:val="21"/>
              </w:rPr>
              <w:t>688012.SH</w:t>
            </w:r>
          </w:p>
        </w:tc>
        <w:tc>
          <w:tcPr>
            <w:tcW w:w="385" w:type="pct"/>
            <w:tcBorders>
              <w:top w:val="single" w:sz="4" w:space="0" w:color="010000"/>
            </w:tcBorders>
            <w:vAlign w:val="center"/>
          </w:tcPr>
          <w:p>
            <w:pPr>
              <w:jc w:val="center"/>
            </w:pPr>
            <w:r/>
            <w:r>
              <w:rPr>
                <w:rFonts w:hint="eastAsia"/>
                <w:color w:val="000000"/>
                <w:sz w:val="21"/>
              </w:rPr>
              <w:t>科创板</w:t>
            </w:r>
          </w:p>
        </w:tc>
        <w:tc>
          <w:tcPr>
            <w:tcW w:w="923" w:type="pct"/>
            <w:tcBorders>
              <w:top w:val="single" w:sz="4" w:space="0" w:color="010000"/>
            </w:tcBorders>
            <w:vAlign w:val="center"/>
          </w:tcPr>
          <w:p>
            <w:pPr>
              <w:jc w:val="left"/>
            </w:pPr>
            <w:r/>
            <w:r>
              <w:rPr>
                <w:rFonts w:hint="eastAsia"/>
                <w:color w:val="000000"/>
                <w:sz w:val="21"/>
              </w:rPr>
              <w:t>2019年3月受理，2019年7月22日上市</w:t>
            </w:r>
          </w:p>
        </w:tc>
        <w:tc>
          <w:tcPr>
            <w:tcW w:w="769" w:type="pct"/>
            <w:tcBorders>
              <w:top w:val="single" w:sz="4" w:space="0" w:color="010000"/>
            </w:tcBorders>
            <w:vAlign w:val="center"/>
          </w:tcPr>
          <w:p>
            <w:pPr>
              <w:jc w:val="center"/>
            </w:pPr>
            <w:r/>
            <w:r>
              <w:rPr>
                <w:rFonts w:hint="eastAsia"/>
                <w:color w:val="000000"/>
                <w:sz w:val="21"/>
              </w:rPr>
              <w:t>四轮问询＋审核中心意见落实函</w:t>
            </w:r>
          </w:p>
        </w:tc>
        <w:tc>
          <w:tcPr>
            <w:tcW w:w="346" w:type="pct"/>
            <w:tcBorders>
              <w:top w:val="single" w:sz="4" w:space="0" w:color="010000"/>
            </w:tcBorders>
            <w:vAlign w:val="center"/>
          </w:tcPr>
          <w:p>
            <w:pPr>
              <w:jc w:val="center"/>
            </w:pPr>
            <w:r/>
            <w:r>
              <w:rPr>
                <w:rFonts w:hint="eastAsia"/>
                <w:color w:val="000000"/>
                <w:sz w:val="21"/>
              </w:rPr>
              <w:t>52</w:t>
            </w:r>
          </w:p>
        </w:tc>
        <w:tc>
          <w:tcPr>
            <w:tcW w:w="1538" w:type="pct"/>
            <w:tcBorders>
              <w:top w:val="single" w:sz="4" w:space="0" w:color="010000"/>
            </w:tcBorders>
            <w:vAlign w:val="center"/>
          </w:tcPr>
          <w:p>
            <w:pPr>
              <w:jc w:val="left"/>
            </w:pPr>
            <w:r/>
            <w:r>
              <w:rPr>
                <w:rFonts w:hint="eastAsia"/>
                <w:color w:val="000000"/>
                <w:sz w:val="21"/>
              </w:rPr>
              <w:t>等离子体刻蚀设备、MOCVD设备（设备整机，作为下游对照样本）</w:t>
            </w:r>
          </w:p>
        </w:tc>
      </w:tr>
    </w:tbl>
    <w:p>
      <w:pPr>
        <w:pStyle w:val="a6"/>
        <w:jc w:val="center"/>
      </w:pPr>
      <w:r>
        <w:rPr>
          <w:rFonts w:hint="eastAsia"/>
          <w:sz w:val="11"/>
          <w:szCs w:val="11"/>
        </w:rPr>
        <w:t>资料来源：各公司审核问询函回复、招股说明书，本报告整理</w:t>
      </w:r>
    </w:p>
    <w:p>
      <w:pPr>
        <w:pStyle w:val="a0"/>
      </w:pPr>
      <w:r>
        <w:rPr>
          <w:rFonts w:hint="eastAsia"/>
        </w:rPr>
        <w:t>重点问题的甄别采用三条标准：一是轮次，在第二轮及以后仍被继续追问的事项；二是层级，进入审核中心意见落实函的事项；三是详略，单个问题下设多个子问题并要求逐项量化说明、同时要求保荐人概括核查过程并发表明确核查意见的事项。三条标准同时命中的，视为该类企业的共性关注点。</w:t>
      </w:r>
    </w:p>
    <w:p>
      <w:pPr>
        <w:pStyle w:val="3"/>
        <w:numPr>
          <w:ilvl w:val="0"/>
          <w:numId w:val="0"/>
        </w:numPr>
        <w:spacing w:before="156" w:after="156"/>
      </w:pPr>
      <w:bookmarkStart w:id="1002" w:name="_Toc900002"/>
      <w:r>
        <w:rPr>
          <w:rFonts w:hint="eastAsia"/>
        </w:rPr>
        <w:t>6.2 问题的收敛过程</w:t>
      </w:r>
      <w:bookmarkEnd w:id="1002"/>
    </w:p>
    <w:p>
      <w:pPr>
        <w:pStyle w:val="a0"/>
      </w:pPr>
      <w:r>
        <w:rPr>
          <w:rFonts w:hint="eastAsia"/>
        </w:rPr>
        <w:t>四家企业的问题数量均呈逐轮收敛。托伦斯由首轮15个问题收敛至第二轮3个、落实函1个；臻宝科技由首轮13个收敛至第二轮5个；珂玛科技第二轮5个、落实函3个；中微公司由首轮52个依次收敛至10个、3个、2个，落实函3个。收敛后仍保留的问题，即为审核实际关注的核心。</w:t>
      </w:r>
    </w:p>
    <w:p>
      <w:pPr>
        <w:keepNext/>
        <w:jc w:val="center"/>
      </w:pPr>
      <w:r>
        <w:rPr>
          <w:rFonts w:hint="eastAsia"/>
          <w:b/>
          <w:sz w:val="21"/>
        </w:rPr>
        <w:t>表2  四家企业问询问题的逐轮收敛</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455"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1455" w:type="pct"/>
            <w:tcBorders>
              <w:top w:val="single" w:sz="12" w:space="0" w:color="010000"/>
              <w:bottom w:val="single" w:sz="4" w:space="0" w:color="010000"/>
            </w:tcBorders>
            <w:vAlign w:val="center"/>
          </w:tcPr>
          <w:p>
            <w:pPr>
              <w:keepNext/>
              <w:jc w:val="center"/>
            </w:pPr>
            <w:r/>
            <w:r>
              <w:rPr>
                <w:rFonts w:hint="eastAsia"/>
                <w:b/>
                <w:color w:val="000000"/>
                <w:sz w:val="21"/>
              </w:rPr>
              <w:t>首轮问题</w:t>
            </w:r>
          </w:p>
        </w:tc>
        <w:tc>
          <w:tcPr>
            <w:tcW w:w="1182" w:type="pct"/>
            <w:tcBorders>
              <w:top w:val="single" w:sz="12" w:space="0" w:color="010000"/>
              <w:bottom w:val="single" w:sz="4" w:space="0" w:color="010000"/>
            </w:tcBorders>
            <w:vAlign w:val="center"/>
          </w:tcPr>
          <w:p>
            <w:pPr>
              <w:keepNext/>
              <w:jc w:val="center"/>
            </w:pPr>
            <w:r/>
            <w:r>
              <w:rPr>
                <w:rFonts w:hint="eastAsia"/>
                <w:b/>
                <w:color w:val="000000"/>
                <w:sz w:val="21"/>
              </w:rPr>
              <w:t>第二轮保留</w:t>
            </w:r>
          </w:p>
        </w:tc>
        <w:tc>
          <w:tcPr>
            <w:tcW w:w="1000" w:type="pct"/>
            <w:tcBorders>
              <w:top w:val="single" w:sz="12" w:space="0" w:color="010000"/>
              <w:bottom w:val="single" w:sz="4" w:space="0" w:color="010000"/>
            </w:tcBorders>
            <w:vAlign w:val="center"/>
          </w:tcPr>
          <w:p>
            <w:pPr>
              <w:keepNext/>
              <w:jc w:val="center"/>
            </w:pPr>
            <w:r/>
            <w:r>
              <w:rPr>
                <w:rFonts w:hint="eastAsia"/>
                <w:b/>
                <w:color w:val="000000"/>
                <w:sz w:val="21"/>
              </w:rPr>
              <w:t>第三轮及以后保留</w:t>
            </w:r>
          </w:p>
        </w:tc>
        <w:tc>
          <w:tcPr>
            <w:tcW w:w="909" w:type="pct"/>
            <w:tcBorders>
              <w:top w:val="single" w:sz="12" w:space="0" w:color="010000"/>
              <w:bottom w:val="single" w:sz="4" w:space="0" w:color="010000"/>
            </w:tcBorders>
            <w:vAlign w:val="center"/>
          </w:tcPr>
          <w:p>
            <w:pPr>
              <w:keepNext/>
              <w:jc w:val="center"/>
            </w:pPr>
            <w:r/>
            <w:r>
              <w:rPr>
                <w:rFonts w:hint="eastAsia"/>
                <w:b/>
                <w:color w:val="000000"/>
                <w:sz w:val="21"/>
              </w:rPr>
              <w:t>落实函保留</w:t>
            </w:r>
          </w:p>
        </w:tc>
      </w:tr>
      <w:tr>
        <w:trPr>
          <w:cantSplit/>
          <w:jc w:val="center"/>
        </w:trPr>
        <w:tc>
          <w:tcPr>
            <w:tcW w:w="455" w:type="pct"/>
            <w:tcBorders>
              <w:top w:val="single" w:sz="4" w:space="0" w:color="010000"/>
            </w:tcBorders>
            <w:vAlign w:val="center"/>
          </w:tcPr>
          <w:p>
            <w:pPr>
              <w:jc w:val="center"/>
            </w:pPr>
            <w:r/>
            <w:r>
              <w:rPr>
                <w:rFonts w:hint="eastAsia"/>
                <w:color w:val="000000"/>
                <w:sz w:val="21"/>
              </w:rPr>
              <w:t>托伦斯</w:t>
            </w:r>
          </w:p>
        </w:tc>
        <w:tc>
          <w:tcPr>
            <w:tcW w:w="1455" w:type="pct"/>
            <w:tcBorders>
              <w:top w:val="single" w:sz="4" w:space="0" w:color="010000"/>
            </w:tcBorders>
            <w:vAlign w:val="center"/>
          </w:tcPr>
          <w:p>
            <w:pPr>
              <w:jc w:val="left"/>
            </w:pPr>
            <w:r/>
            <w:r>
              <w:rPr>
                <w:rFonts w:hint="eastAsia"/>
                <w:color w:val="000000"/>
                <w:sz w:val="21"/>
              </w:rPr>
              <w:t>产品和技术、业务成长性、历史沿革、关联交易、对赌协议、高管及核心技术人员、募投项目、收入变动和主要客户、采购和供应商、成本和毛利率、期间费用、应收款项、存货、上市标准、环保合规性（15项）</w:t>
            </w:r>
          </w:p>
        </w:tc>
        <w:tc>
          <w:tcPr>
            <w:tcW w:w="1182" w:type="pct"/>
            <w:tcBorders>
              <w:top w:val="single" w:sz="4" w:space="0" w:color="010000"/>
            </w:tcBorders>
            <w:vAlign w:val="center"/>
          </w:tcPr>
          <w:p>
            <w:pPr>
              <w:jc w:val="left"/>
            </w:pPr>
            <w:r/>
            <w:r>
              <w:rPr>
                <w:rFonts w:hint="eastAsia"/>
                <w:color w:val="000000"/>
                <w:sz w:val="21"/>
              </w:rPr>
              <w:t>技术先进性和市场空间、营业收入变动、毛利率变动（3项）</w:t>
            </w:r>
          </w:p>
        </w:tc>
        <w:tc>
          <w:tcPr>
            <w:tcW w:w="1000" w:type="pct"/>
            <w:tcBorders>
              <w:top w:val="single" w:sz="4" w:space="0" w:color="010000"/>
            </w:tcBorders>
            <w:vAlign w:val="center"/>
          </w:tcPr>
          <w:p>
            <w:pPr>
              <w:jc w:val="left"/>
            </w:pPr>
            <w:r/>
            <w:r>
              <w:rPr>
                <w:rFonts w:hint="eastAsia"/>
                <w:color w:val="000000"/>
                <w:sz w:val="21"/>
              </w:rPr>
              <w:t>—</w:t>
            </w:r>
          </w:p>
        </w:tc>
        <w:tc>
          <w:tcPr>
            <w:tcW w:w="909" w:type="pct"/>
            <w:tcBorders>
              <w:top w:val="single" w:sz="4" w:space="0" w:color="010000"/>
            </w:tcBorders>
            <w:vAlign w:val="center"/>
          </w:tcPr>
          <w:p>
            <w:pPr>
              <w:jc w:val="left"/>
            </w:pPr>
            <w:r/>
            <w:r>
              <w:rPr>
                <w:rFonts w:hint="eastAsia"/>
                <w:color w:val="000000"/>
                <w:sz w:val="21"/>
              </w:rPr>
              <w:t>业绩稳定性（1项）</w:t>
            </w:r>
          </w:p>
        </w:tc>
      </w:tr>
      <w:tr>
        <w:trPr>
          <w:cantSplit/>
          <w:jc w:val="center"/>
        </w:trPr>
        <w:tc>
          <w:tcPr>
            <w:tcW w:w="455" w:type="pct"/>
            <w:tcBorders>
              <w:top w:val="single" w:sz="4" w:space="0" w:color="010000"/>
            </w:tcBorders>
            <w:vAlign w:val="center"/>
          </w:tcPr>
          <w:p>
            <w:pPr>
              <w:jc w:val="center"/>
            </w:pPr>
            <w:r/>
            <w:r>
              <w:rPr>
                <w:rFonts w:hint="eastAsia"/>
                <w:color w:val="000000"/>
                <w:sz w:val="21"/>
              </w:rPr>
              <w:t>臻宝科技</w:t>
            </w:r>
          </w:p>
        </w:tc>
        <w:tc>
          <w:tcPr>
            <w:tcW w:w="1455" w:type="pct"/>
            <w:tcBorders>
              <w:top w:val="single" w:sz="4" w:space="0" w:color="010000"/>
            </w:tcBorders>
            <w:vAlign w:val="center"/>
          </w:tcPr>
          <w:p>
            <w:pPr>
              <w:jc w:val="left"/>
            </w:pPr>
            <w:r/>
            <w:r>
              <w:rPr>
                <w:rFonts w:hint="eastAsia"/>
                <w:color w:val="000000"/>
                <w:sz w:val="21"/>
              </w:rPr>
              <w:t>产品与市场竞争、核心技术、收入、采购与供应商、成本、毛利率、研发费用、历史沿革与股权结构、存货、募投项目、其他费用及股份支付、长期资产、应收账款（13项）</w:t>
            </w:r>
          </w:p>
        </w:tc>
        <w:tc>
          <w:tcPr>
            <w:tcW w:w="1182" w:type="pct"/>
            <w:tcBorders>
              <w:top w:val="single" w:sz="4" w:space="0" w:color="010000"/>
            </w:tcBorders>
            <w:vAlign w:val="center"/>
          </w:tcPr>
          <w:p>
            <w:pPr>
              <w:jc w:val="left"/>
            </w:pPr>
            <w:r/>
            <w:r>
              <w:rPr>
                <w:rFonts w:hint="eastAsia"/>
                <w:color w:val="000000"/>
                <w:sz w:val="21"/>
              </w:rPr>
              <w:t>经营业绩、研发费用、成本及毛利率、收入、募投项目（5项）</w:t>
            </w:r>
          </w:p>
        </w:tc>
        <w:tc>
          <w:tcPr>
            <w:tcW w:w="1000" w:type="pct"/>
            <w:tcBorders>
              <w:top w:val="single" w:sz="4" w:space="0" w:color="010000"/>
            </w:tcBorders>
            <w:vAlign w:val="center"/>
          </w:tcPr>
          <w:p>
            <w:pPr>
              <w:jc w:val="left"/>
            </w:pPr>
            <w:r/>
            <w:r>
              <w:rPr>
                <w:rFonts w:hint="eastAsia"/>
                <w:color w:val="000000"/>
                <w:sz w:val="21"/>
              </w:rPr>
              <w:t>—</w:t>
            </w:r>
          </w:p>
        </w:tc>
        <w:tc>
          <w:tcPr>
            <w:tcW w:w="909" w:type="pct"/>
            <w:tcBorders>
              <w:top w:val="single" w:sz="4" w:space="0" w:color="010000"/>
            </w:tcBorders>
            <w:vAlign w:val="center"/>
          </w:tcPr>
          <w:p>
            <w:pPr>
              <w:jc w:val="left"/>
            </w:pPr>
            <w:r/>
            <w:r>
              <w:rPr>
                <w:rFonts w:hint="eastAsia"/>
                <w:color w:val="000000"/>
                <w:sz w:val="21"/>
              </w:rPr>
              <w:t>—</w:t>
            </w:r>
          </w:p>
        </w:tc>
      </w:tr>
      <w:tr>
        <w:trPr>
          <w:cantSplit/>
          <w:jc w:val="center"/>
        </w:trPr>
        <w:tc>
          <w:tcPr>
            <w:tcW w:w="455" w:type="pct"/>
            <w:tcBorders>
              <w:top w:val="single" w:sz="4" w:space="0" w:color="010000"/>
            </w:tcBorders>
            <w:vAlign w:val="center"/>
          </w:tcPr>
          <w:p>
            <w:pPr>
              <w:jc w:val="center"/>
            </w:pPr>
            <w:r/>
            <w:r>
              <w:rPr>
                <w:rFonts w:hint="eastAsia"/>
                <w:color w:val="000000"/>
                <w:sz w:val="21"/>
              </w:rPr>
              <w:t>珂玛科技</w:t>
            </w:r>
          </w:p>
        </w:tc>
        <w:tc>
          <w:tcPr>
            <w:tcW w:w="1455" w:type="pct"/>
            <w:tcBorders>
              <w:top w:val="single" w:sz="4" w:space="0" w:color="010000"/>
            </w:tcBorders>
            <w:vAlign w:val="center"/>
          </w:tcPr>
          <w:p>
            <w:pPr>
              <w:jc w:val="left"/>
            </w:pPr>
            <w:r/>
            <w:r>
              <w:rPr>
                <w:rFonts w:hint="eastAsia"/>
                <w:color w:val="000000"/>
                <w:sz w:val="21"/>
              </w:rPr>
              <w:t>收入与客户、采购与供应商、成本、毛利率、存货、应收款项、销售费用、无锡塞姆、废料收入、理财产品、长期资产、募集资金运用、资金流水核查等（会计师专项13项）</w:t>
            </w:r>
          </w:p>
        </w:tc>
        <w:tc>
          <w:tcPr>
            <w:tcW w:w="1182" w:type="pct"/>
            <w:tcBorders>
              <w:top w:val="single" w:sz="4" w:space="0" w:color="010000"/>
            </w:tcBorders>
            <w:vAlign w:val="center"/>
          </w:tcPr>
          <w:p>
            <w:pPr>
              <w:jc w:val="left"/>
            </w:pPr>
            <w:r/>
            <w:r>
              <w:rPr>
                <w:rFonts w:hint="eastAsia"/>
                <w:color w:val="000000"/>
                <w:sz w:val="21"/>
              </w:rPr>
              <w:t>收入增长可持续性、毛利率、股权清晰、核心技术、政策风险（5项）</w:t>
            </w:r>
          </w:p>
        </w:tc>
        <w:tc>
          <w:tcPr>
            <w:tcW w:w="1000" w:type="pct"/>
            <w:tcBorders>
              <w:top w:val="single" w:sz="4" w:space="0" w:color="010000"/>
            </w:tcBorders>
            <w:vAlign w:val="center"/>
          </w:tcPr>
          <w:p>
            <w:pPr>
              <w:jc w:val="left"/>
            </w:pPr>
            <w:r/>
            <w:r>
              <w:rPr>
                <w:rFonts w:hint="eastAsia"/>
                <w:color w:val="000000"/>
                <w:sz w:val="21"/>
              </w:rPr>
              <w:t>—</w:t>
            </w:r>
          </w:p>
        </w:tc>
        <w:tc>
          <w:tcPr>
            <w:tcW w:w="909" w:type="pct"/>
            <w:tcBorders>
              <w:top w:val="single" w:sz="4" w:space="0" w:color="010000"/>
            </w:tcBorders>
            <w:vAlign w:val="center"/>
          </w:tcPr>
          <w:p>
            <w:pPr>
              <w:jc w:val="left"/>
            </w:pPr>
            <w:r/>
            <w:r>
              <w:rPr>
                <w:rFonts w:hint="eastAsia"/>
                <w:color w:val="000000"/>
                <w:sz w:val="21"/>
              </w:rPr>
              <w:t>业务与技术、毛利率、媒体质疑（3项）</w:t>
            </w:r>
          </w:p>
        </w:tc>
      </w:tr>
      <w:tr>
        <w:trPr>
          <w:cantSplit/>
          <w:jc w:val="center"/>
        </w:trPr>
        <w:tc>
          <w:tcPr>
            <w:tcW w:w="455" w:type="pct"/>
            <w:tcBorders>
              <w:top w:val="single" w:sz="4" w:space="0" w:color="010000"/>
            </w:tcBorders>
            <w:vAlign w:val="center"/>
          </w:tcPr>
          <w:p>
            <w:pPr>
              <w:jc w:val="center"/>
            </w:pPr>
            <w:r/>
            <w:r>
              <w:rPr>
                <w:rFonts w:hint="eastAsia"/>
                <w:color w:val="000000"/>
                <w:sz w:val="21"/>
              </w:rPr>
              <w:t>中微公司</w:t>
            </w:r>
          </w:p>
        </w:tc>
        <w:tc>
          <w:tcPr>
            <w:tcW w:w="1455" w:type="pct"/>
            <w:tcBorders>
              <w:top w:val="single" w:sz="4" w:space="0" w:color="010000"/>
            </w:tcBorders>
            <w:vAlign w:val="center"/>
          </w:tcPr>
          <w:p>
            <w:pPr>
              <w:jc w:val="left"/>
            </w:pPr>
            <w:r/>
            <w:r>
              <w:rPr>
                <w:rFonts w:hint="eastAsia"/>
                <w:color w:val="000000"/>
                <w:sz w:val="21"/>
              </w:rPr>
              <w:t>按六个大类共52个问题：股权结构与董监高、核心技术、业务、公司治理与独立性、财务会计信息与管理层分析、其他事项</w:t>
            </w:r>
          </w:p>
        </w:tc>
        <w:tc>
          <w:tcPr>
            <w:tcW w:w="1182" w:type="pct"/>
            <w:tcBorders>
              <w:top w:val="single" w:sz="4" w:space="0" w:color="010000"/>
            </w:tcBorders>
            <w:vAlign w:val="center"/>
          </w:tcPr>
          <w:p>
            <w:pPr>
              <w:jc w:val="left"/>
            </w:pPr>
            <w:r/>
            <w:r>
              <w:rPr>
                <w:rFonts w:hint="eastAsia"/>
                <w:color w:val="000000"/>
                <w:sz w:val="21"/>
              </w:rPr>
              <w:t>实际控制人认定及核心技术人员稳定、股份支付、政府补助、应收账款、存货及产销量、研发投入资本化、固定资产成新率、收入确认、股份下翻及海外收购、其他事项（10项）</w:t>
            </w:r>
          </w:p>
        </w:tc>
        <w:tc>
          <w:tcPr>
            <w:tcW w:w="1000" w:type="pct"/>
            <w:tcBorders>
              <w:top w:val="single" w:sz="4" w:space="0" w:color="010000"/>
            </w:tcBorders>
            <w:vAlign w:val="center"/>
          </w:tcPr>
          <w:p>
            <w:pPr>
              <w:jc w:val="left"/>
            </w:pPr>
            <w:r/>
            <w:r>
              <w:rPr>
                <w:rFonts w:hint="eastAsia"/>
                <w:color w:val="000000"/>
                <w:sz w:val="21"/>
              </w:rPr>
              <w:t>第三轮：开发支出资本化、存货及产销量、政府补助（3项）；第四轮：政府补助、开发支出资本化（2项）</w:t>
            </w:r>
          </w:p>
        </w:tc>
        <w:tc>
          <w:tcPr>
            <w:tcW w:w="909" w:type="pct"/>
            <w:tcBorders>
              <w:top w:val="single" w:sz="4" w:space="0" w:color="010000"/>
            </w:tcBorders>
            <w:vAlign w:val="center"/>
          </w:tcPr>
          <w:p>
            <w:pPr>
              <w:jc w:val="left"/>
            </w:pPr>
            <w:r/>
            <w:r>
              <w:rPr>
                <w:rFonts w:hint="eastAsia"/>
                <w:color w:val="000000"/>
                <w:sz w:val="21"/>
              </w:rPr>
              <w:t>产品结构变化及低毛利率产品占比、股份支付非经常性损益认定、欺诈发行股份购回承诺（3项）</w:t>
            </w:r>
          </w:p>
        </w:tc>
      </w:tr>
    </w:tbl>
    <w:p>
      <w:pPr>
        <w:pStyle w:val="a6"/>
        <w:jc w:val="center"/>
      </w:pPr>
      <w:r>
        <w:rPr>
          <w:rFonts w:hint="eastAsia"/>
          <w:sz w:val="11"/>
          <w:szCs w:val="11"/>
        </w:rPr>
        <w:t>资料来源：各公司审核问询函回复、招股说明书，本报告整理</w:t>
      </w:r>
    </w:p>
    <w:p>
      <w:pPr>
        <w:pStyle w:val="3"/>
        <w:numPr>
          <w:ilvl w:val="0"/>
          <w:numId w:val="0"/>
        </w:numPr>
        <w:spacing w:before="156" w:after="156"/>
      </w:pPr>
      <w:bookmarkStart w:id="1003" w:name="_Toc900003"/>
      <w:r>
        <w:rPr>
          <w:rFonts w:hint="eastAsia"/>
        </w:rPr>
        <w:t>6.3 共性关注点之一：毛利率</w:t>
      </w:r>
      <w:bookmarkEnd w:id="1003"/>
    </w:p>
    <w:p>
      <w:pPr>
        <w:pStyle w:val="a0"/>
      </w:pPr>
      <w:r>
        <w:rPr>
          <w:rFonts w:hint="eastAsia"/>
        </w:rPr>
        <w:t>毛利率是四家企业全部命中、且均被追问至最后轮次的问题。托伦斯首轮问“成本和毛利率”，第二轮单列“毛利率变动”，落实函以“业绩稳定性”继续追问毛利率是否进一步下滑；臻宝科技首轮问“毛利率”，第二轮问“成本及毛利率”；珂玛科技第二轮与落实函连续两次单列“毛利率”；中微公司的落实函要求结合产品结构变化及低毛利率产品占比变动说明。</w:t>
      </w:r>
    </w:p>
    <w:p>
      <w:pPr>
        <w:pStyle w:val="a0"/>
      </w:pPr>
      <w:r>
        <w:rPr>
          <w:rFonts w:hint="eastAsia"/>
        </w:rPr>
        <w:t>审核关注毛利率的具体角度有三类。</w:t>
      </w:r>
    </w:p>
    <w:p>
      <w:pPr>
        <w:pStyle w:val="a0"/>
      </w:pPr>
      <w:r>
        <w:rPr>
          <w:rFonts w:hint="eastAsia"/>
        </w:rPr>
        <w:t>第一类是产品结构层面的拆分。托伦斯第二轮问询要求说明，2023年半导体工艺零部件、半导体结构零部件及激光零部件毛利率同比大幅下滑，而半导体关键工艺零部件毛利率逆势增长的原因及合理性。发行人在回复中按单一产品逐项列示了毛利率与收入占比及其变动影响。</w:t>
      </w:r>
    </w:p>
    <w:p>
      <w:pPr>
        <w:keepNext/>
        <w:jc w:val="center"/>
      </w:pPr>
      <w:r>
        <w:rPr>
          <w:rFonts w:hint="eastAsia"/>
          <w:b/>
          <w:sz w:val="21"/>
        </w:rPr>
        <w:t>表3  托伦斯分产品毛利率与收入占比（问询回复披露）</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1444" w:type="pct"/>
            <w:tcBorders>
              <w:top w:val="single" w:sz="12" w:space="0" w:color="010000"/>
              <w:bottom w:val="single" w:sz="4" w:space="0" w:color="010000"/>
            </w:tcBorders>
            <w:vAlign w:val="center"/>
          </w:tcPr>
          <w:p>
            <w:pPr>
              <w:keepNext/>
              <w:jc w:val="center"/>
            </w:pPr>
            <w:r/>
            <w:r>
              <w:rPr>
                <w:rFonts w:hint="eastAsia"/>
                <w:b/>
                <w:color w:val="000000"/>
                <w:sz w:val="21"/>
              </w:rPr>
              <w:t>产品</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2023年毛利率（%）</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2023年收入占比（%）</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2022年毛利率（%）</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2022年收入占比（%）</w:t>
            </w:r>
          </w:p>
        </w:tc>
      </w:tr>
      <w:tr>
        <w:trPr>
          <w:cantSplit/>
          <w:jc w:val="center"/>
        </w:trPr>
        <w:tc>
          <w:tcPr>
            <w:tcW w:w="1444" w:type="pct"/>
            <w:tcBorders>
              <w:top w:val="single" w:sz="4" w:space="0" w:color="010000"/>
            </w:tcBorders>
            <w:vAlign w:val="center"/>
          </w:tcPr>
          <w:p>
            <w:pPr>
              <w:jc w:val="left"/>
            </w:pPr>
            <w:r/>
            <w:r>
              <w:rPr>
                <w:rFonts w:hint="eastAsia"/>
                <w:color w:val="000000"/>
                <w:sz w:val="21"/>
              </w:rPr>
              <w:t>半导体关键工艺零部件（合计）</w:t>
            </w:r>
          </w:p>
        </w:tc>
        <w:tc>
          <w:tcPr>
            <w:tcW w:w="889" w:type="pct"/>
            <w:tcBorders>
              <w:top w:val="single" w:sz="4" w:space="0" w:color="010000"/>
            </w:tcBorders>
            <w:vAlign w:val="center"/>
          </w:tcPr>
          <w:p>
            <w:pPr>
              <w:jc w:val="right"/>
            </w:pPr>
            <w:r/>
            <w:r>
              <w:rPr>
                <w:rFonts w:hint="eastAsia"/>
                <w:color w:val="000000"/>
                <w:sz w:val="21"/>
              </w:rPr>
              <w:t>31.50</w:t>
            </w:r>
          </w:p>
        </w:tc>
        <w:tc>
          <w:tcPr>
            <w:tcW w:w="889" w:type="pct"/>
            <w:tcBorders>
              <w:top w:val="single" w:sz="4" w:space="0" w:color="010000"/>
            </w:tcBorders>
            <w:vAlign w:val="center"/>
          </w:tcPr>
          <w:p>
            <w:pPr>
              <w:jc w:val="right"/>
            </w:pPr>
            <w:r/>
            <w:r>
              <w:rPr>
                <w:rFonts w:hint="eastAsia"/>
                <w:color w:val="000000"/>
                <w:sz w:val="21"/>
              </w:rPr>
              <w:t>41.33</w:t>
            </w:r>
          </w:p>
        </w:tc>
        <w:tc>
          <w:tcPr>
            <w:tcW w:w="889" w:type="pct"/>
            <w:tcBorders>
              <w:top w:val="single" w:sz="4" w:space="0" w:color="010000"/>
            </w:tcBorders>
            <w:vAlign w:val="center"/>
          </w:tcPr>
          <w:p>
            <w:pPr>
              <w:jc w:val="right"/>
            </w:pPr>
            <w:r/>
            <w:r>
              <w:rPr>
                <w:rFonts w:hint="eastAsia"/>
                <w:color w:val="000000"/>
                <w:sz w:val="21"/>
              </w:rPr>
              <w:t>33.17</w:t>
            </w:r>
          </w:p>
        </w:tc>
        <w:tc>
          <w:tcPr>
            <w:tcW w:w="889" w:type="pct"/>
            <w:tcBorders>
              <w:top w:val="single" w:sz="4" w:space="0" w:color="010000"/>
            </w:tcBorders>
            <w:vAlign w:val="center"/>
          </w:tcPr>
          <w:p>
            <w:pPr>
              <w:jc w:val="right"/>
            </w:pPr>
            <w:r/>
            <w:r>
              <w:rPr>
                <w:rFonts w:hint="eastAsia"/>
                <w:color w:val="000000"/>
                <w:sz w:val="21"/>
              </w:rPr>
              <w:t>37.54</w:t>
            </w:r>
          </w:p>
        </w:tc>
      </w:tr>
      <w:tr>
        <w:trPr>
          <w:cantSplit/>
          <w:jc w:val="center"/>
        </w:trPr>
        <w:tc>
          <w:tcPr>
            <w:tcW w:w="1444" w:type="pct"/>
            <w:tcBorders>
              <w:top w:val="single" w:sz="4" w:space="0" w:color="010000"/>
            </w:tcBorders>
            <w:vAlign w:val="center"/>
          </w:tcPr>
          <w:p>
            <w:pPr>
              <w:jc w:val="left"/>
            </w:pPr>
            <w:r/>
            <w:r>
              <w:rPr>
                <w:rFonts w:hint="eastAsia"/>
                <w:color w:val="000000"/>
                <w:sz w:val="21"/>
              </w:rPr>
              <w:t>其中：内衬</w:t>
            </w:r>
          </w:p>
        </w:tc>
        <w:tc>
          <w:tcPr>
            <w:tcW w:w="889" w:type="pct"/>
            <w:tcBorders>
              <w:top w:val="single" w:sz="4" w:space="0" w:color="010000"/>
            </w:tcBorders>
            <w:vAlign w:val="center"/>
          </w:tcPr>
          <w:p>
            <w:pPr>
              <w:jc w:val="right"/>
            </w:pPr>
            <w:r/>
            <w:r>
              <w:rPr>
                <w:rFonts w:hint="eastAsia"/>
                <w:color w:val="000000"/>
                <w:sz w:val="21"/>
              </w:rPr>
              <w:t>44.96</w:t>
            </w:r>
          </w:p>
        </w:tc>
        <w:tc>
          <w:tcPr>
            <w:tcW w:w="889" w:type="pct"/>
            <w:tcBorders>
              <w:top w:val="single" w:sz="4" w:space="0" w:color="010000"/>
            </w:tcBorders>
            <w:vAlign w:val="center"/>
          </w:tcPr>
          <w:p>
            <w:pPr>
              <w:jc w:val="right"/>
            </w:pPr>
            <w:r/>
            <w:r>
              <w:rPr>
                <w:rFonts w:hint="eastAsia"/>
                <w:color w:val="000000"/>
                <w:sz w:val="21"/>
              </w:rPr>
              <w:t>11.63</w:t>
            </w:r>
          </w:p>
        </w:tc>
        <w:tc>
          <w:tcPr>
            <w:tcW w:w="889" w:type="pct"/>
            <w:tcBorders>
              <w:top w:val="single" w:sz="4" w:space="0" w:color="010000"/>
            </w:tcBorders>
            <w:vAlign w:val="center"/>
          </w:tcPr>
          <w:p>
            <w:pPr>
              <w:jc w:val="right"/>
            </w:pPr>
            <w:r/>
            <w:r>
              <w:rPr>
                <w:rFonts w:hint="eastAsia"/>
                <w:color w:val="000000"/>
                <w:sz w:val="21"/>
              </w:rPr>
              <w:t>44.63</w:t>
            </w:r>
          </w:p>
        </w:tc>
        <w:tc>
          <w:tcPr>
            <w:tcW w:w="889" w:type="pct"/>
            <w:tcBorders>
              <w:top w:val="single" w:sz="4" w:space="0" w:color="010000"/>
            </w:tcBorders>
            <w:vAlign w:val="center"/>
          </w:tcPr>
          <w:p>
            <w:pPr>
              <w:jc w:val="right"/>
            </w:pPr>
            <w:r/>
            <w:r>
              <w:rPr>
                <w:rFonts w:hint="eastAsia"/>
                <w:color w:val="000000"/>
                <w:sz w:val="21"/>
              </w:rPr>
              <w:t>11.55</w:t>
            </w:r>
          </w:p>
        </w:tc>
      </w:tr>
      <w:tr>
        <w:trPr>
          <w:cantSplit/>
          <w:jc w:val="center"/>
        </w:trPr>
        <w:tc>
          <w:tcPr>
            <w:tcW w:w="1444" w:type="pct"/>
            <w:tcBorders>
              <w:top w:val="single" w:sz="4" w:space="0" w:color="010000"/>
            </w:tcBorders>
            <w:vAlign w:val="center"/>
          </w:tcPr>
          <w:p>
            <w:pPr>
              <w:jc w:val="left"/>
            </w:pPr>
            <w:r/>
            <w:r>
              <w:rPr>
                <w:rFonts w:hint="eastAsia"/>
                <w:color w:val="000000"/>
                <w:sz w:val="21"/>
              </w:rPr>
              <w:t>匀气环</w:t>
            </w:r>
          </w:p>
        </w:tc>
        <w:tc>
          <w:tcPr>
            <w:tcW w:w="889" w:type="pct"/>
            <w:tcBorders>
              <w:top w:val="single" w:sz="4" w:space="0" w:color="010000"/>
            </w:tcBorders>
            <w:vAlign w:val="center"/>
          </w:tcPr>
          <w:p>
            <w:pPr>
              <w:jc w:val="right"/>
            </w:pPr>
            <w:r/>
            <w:r>
              <w:rPr>
                <w:rFonts w:hint="eastAsia"/>
                <w:color w:val="000000"/>
                <w:sz w:val="21"/>
              </w:rPr>
              <w:t>21.08</w:t>
            </w:r>
          </w:p>
        </w:tc>
        <w:tc>
          <w:tcPr>
            <w:tcW w:w="889" w:type="pct"/>
            <w:tcBorders>
              <w:top w:val="single" w:sz="4" w:space="0" w:color="010000"/>
            </w:tcBorders>
            <w:vAlign w:val="center"/>
          </w:tcPr>
          <w:p>
            <w:pPr>
              <w:jc w:val="right"/>
            </w:pPr>
            <w:r/>
            <w:r>
              <w:rPr>
                <w:rFonts w:hint="eastAsia"/>
                <w:color w:val="000000"/>
                <w:sz w:val="21"/>
              </w:rPr>
              <w:t>6.01</w:t>
            </w:r>
          </w:p>
        </w:tc>
        <w:tc>
          <w:tcPr>
            <w:tcW w:w="889" w:type="pct"/>
            <w:tcBorders>
              <w:top w:val="single" w:sz="4" w:space="0" w:color="010000"/>
            </w:tcBorders>
            <w:vAlign w:val="center"/>
          </w:tcPr>
          <w:p>
            <w:pPr>
              <w:jc w:val="right"/>
            </w:pPr>
            <w:r/>
            <w:r>
              <w:rPr>
                <w:rFonts w:hint="eastAsia"/>
                <w:color w:val="000000"/>
                <w:sz w:val="21"/>
              </w:rPr>
              <w:t>23.66</w:t>
            </w:r>
          </w:p>
        </w:tc>
        <w:tc>
          <w:tcPr>
            <w:tcW w:w="889" w:type="pct"/>
            <w:tcBorders>
              <w:top w:val="single" w:sz="4" w:space="0" w:color="010000"/>
            </w:tcBorders>
            <w:vAlign w:val="center"/>
          </w:tcPr>
          <w:p>
            <w:pPr>
              <w:jc w:val="right"/>
            </w:pPr>
            <w:r/>
            <w:r>
              <w:rPr>
                <w:rFonts w:hint="eastAsia"/>
                <w:color w:val="000000"/>
                <w:sz w:val="21"/>
              </w:rPr>
              <w:t>6.92</w:t>
            </w:r>
          </w:p>
        </w:tc>
      </w:tr>
      <w:tr>
        <w:trPr>
          <w:cantSplit/>
          <w:jc w:val="center"/>
        </w:trPr>
        <w:tc>
          <w:tcPr>
            <w:tcW w:w="1444" w:type="pct"/>
            <w:tcBorders>
              <w:top w:val="single" w:sz="4" w:space="0" w:color="010000"/>
            </w:tcBorders>
            <w:vAlign w:val="center"/>
          </w:tcPr>
          <w:p>
            <w:pPr>
              <w:jc w:val="left"/>
            </w:pPr>
            <w:r/>
            <w:r>
              <w:rPr>
                <w:rFonts w:hint="eastAsia"/>
                <w:color w:val="000000"/>
                <w:sz w:val="21"/>
              </w:rPr>
              <w:t>腔体</w:t>
            </w:r>
          </w:p>
        </w:tc>
        <w:tc>
          <w:tcPr>
            <w:tcW w:w="889" w:type="pct"/>
            <w:tcBorders>
              <w:top w:val="single" w:sz="4" w:space="0" w:color="010000"/>
            </w:tcBorders>
            <w:vAlign w:val="center"/>
          </w:tcPr>
          <w:p>
            <w:pPr>
              <w:jc w:val="right"/>
            </w:pPr>
            <w:r/>
            <w:r>
              <w:rPr>
                <w:rFonts w:hint="eastAsia"/>
                <w:color w:val="000000"/>
                <w:sz w:val="21"/>
              </w:rPr>
              <w:t>21.35</w:t>
            </w:r>
          </w:p>
        </w:tc>
        <w:tc>
          <w:tcPr>
            <w:tcW w:w="889" w:type="pct"/>
            <w:tcBorders>
              <w:top w:val="single" w:sz="4" w:space="0" w:color="010000"/>
            </w:tcBorders>
            <w:vAlign w:val="center"/>
          </w:tcPr>
          <w:p>
            <w:pPr>
              <w:jc w:val="right"/>
            </w:pPr>
            <w:r/>
            <w:r>
              <w:rPr>
                <w:rFonts w:hint="eastAsia"/>
                <w:color w:val="000000"/>
                <w:sz w:val="21"/>
              </w:rPr>
              <w:t>9.70</w:t>
            </w:r>
          </w:p>
        </w:tc>
        <w:tc>
          <w:tcPr>
            <w:tcW w:w="889" w:type="pct"/>
            <w:tcBorders>
              <w:top w:val="single" w:sz="4" w:space="0" w:color="010000"/>
            </w:tcBorders>
            <w:vAlign w:val="center"/>
          </w:tcPr>
          <w:p>
            <w:pPr>
              <w:jc w:val="right"/>
            </w:pPr>
            <w:r/>
            <w:r>
              <w:rPr>
                <w:rFonts w:hint="eastAsia"/>
                <w:color w:val="000000"/>
                <w:sz w:val="21"/>
              </w:rPr>
              <w:t>24.77</w:t>
            </w:r>
          </w:p>
        </w:tc>
        <w:tc>
          <w:tcPr>
            <w:tcW w:w="889" w:type="pct"/>
            <w:tcBorders>
              <w:top w:val="single" w:sz="4" w:space="0" w:color="010000"/>
            </w:tcBorders>
            <w:vAlign w:val="center"/>
          </w:tcPr>
          <w:p>
            <w:pPr>
              <w:jc w:val="right"/>
            </w:pPr>
            <w:r/>
            <w:r>
              <w:rPr>
                <w:rFonts w:hint="eastAsia"/>
                <w:color w:val="000000"/>
                <w:sz w:val="21"/>
              </w:rPr>
              <w:t>8.51</w:t>
            </w:r>
          </w:p>
        </w:tc>
      </w:tr>
      <w:tr>
        <w:trPr>
          <w:cantSplit/>
          <w:jc w:val="center"/>
        </w:trPr>
        <w:tc>
          <w:tcPr>
            <w:tcW w:w="1444" w:type="pct"/>
            <w:tcBorders>
              <w:top w:val="single" w:sz="4" w:space="0" w:color="010000"/>
            </w:tcBorders>
            <w:vAlign w:val="center"/>
          </w:tcPr>
          <w:p>
            <w:pPr>
              <w:jc w:val="left"/>
            </w:pPr>
            <w:r/>
            <w:r>
              <w:rPr>
                <w:rFonts w:hint="eastAsia"/>
                <w:color w:val="000000"/>
                <w:sz w:val="21"/>
              </w:rPr>
              <w:t>气体分布盘</w:t>
            </w:r>
          </w:p>
        </w:tc>
        <w:tc>
          <w:tcPr>
            <w:tcW w:w="889" w:type="pct"/>
            <w:tcBorders>
              <w:top w:val="single" w:sz="4" w:space="0" w:color="010000"/>
            </w:tcBorders>
            <w:vAlign w:val="center"/>
          </w:tcPr>
          <w:p>
            <w:pPr>
              <w:jc w:val="right"/>
            </w:pPr>
            <w:r/>
            <w:r>
              <w:rPr>
                <w:rFonts w:hint="eastAsia"/>
                <w:color w:val="000000"/>
                <w:sz w:val="21"/>
              </w:rPr>
              <w:t>20.05</w:t>
            </w:r>
          </w:p>
        </w:tc>
        <w:tc>
          <w:tcPr>
            <w:tcW w:w="889" w:type="pct"/>
            <w:tcBorders>
              <w:top w:val="single" w:sz="4" w:space="0" w:color="010000"/>
            </w:tcBorders>
            <w:vAlign w:val="center"/>
          </w:tcPr>
          <w:p>
            <w:pPr>
              <w:jc w:val="right"/>
            </w:pPr>
            <w:r/>
            <w:r>
              <w:rPr>
                <w:rFonts w:hint="eastAsia"/>
                <w:color w:val="000000"/>
                <w:sz w:val="21"/>
              </w:rPr>
              <w:t>4.78</w:t>
            </w:r>
          </w:p>
        </w:tc>
        <w:tc>
          <w:tcPr>
            <w:tcW w:w="889" w:type="pct"/>
            <w:tcBorders>
              <w:top w:val="single" w:sz="4" w:space="0" w:color="010000"/>
            </w:tcBorders>
            <w:vAlign w:val="center"/>
          </w:tcPr>
          <w:p>
            <w:pPr>
              <w:jc w:val="right"/>
            </w:pPr>
            <w:r/>
            <w:r>
              <w:rPr>
                <w:rFonts w:hint="eastAsia"/>
                <w:color w:val="000000"/>
                <w:sz w:val="21"/>
              </w:rPr>
              <w:t>40.93</w:t>
            </w:r>
          </w:p>
        </w:tc>
        <w:tc>
          <w:tcPr>
            <w:tcW w:w="889" w:type="pct"/>
            <w:tcBorders>
              <w:top w:val="single" w:sz="4" w:space="0" w:color="010000"/>
            </w:tcBorders>
            <w:vAlign w:val="center"/>
          </w:tcPr>
          <w:p>
            <w:pPr>
              <w:jc w:val="right"/>
            </w:pPr>
            <w:r/>
            <w:r>
              <w:rPr>
                <w:rFonts w:hint="eastAsia"/>
                <w:color w:val="000000"/>
                <w:sz w:val="21"/>
              </w:rPr>
              <w:t>3.75</w:t>
            </w:r>
          </w:p>
        </w:tc>
      </w:tr>
      <w:tr>
        <w:trPr>
          <w:cantSplit/>
          <w:jc w:val="center"/>
        </w:trPr>
        <w:tc>
          <w:tcPr>
            <w:tcW w:w="1444" w:type="pct"/>
            <w:tcBorders>
              <w:top w:val="single" w:sz="4" w:space="0" w:color="010000"/>
            </w:tcBorders>
            <w:vAlign w:val="center"/>
          </w:tcPr>
          <w:p>
            <w:pPr>
              <w:jc w:val="left"/>
            </w:pPr>
            <w:r/>
            <w:r>
              <w:rPr>
                <w:rFonts w:hint="eastAsia"/>
                <w:color w:val="000000"/>
                <w:sz w:val="21"/>
              </w:rPr>
              <w:t>冷盘</w:t>
            </w:r>
          </w:p>
        </w:tc>
        <w:tc>
          <w:tcPr>
            <w:tcW w:w="889" w:type="pct"/>
            <w:tcBorders>
              <w:top w:val="single" w:sz="4" w:space="0" w:color="010000"/>
            </w:tcBorders>
            <w:vAlign w:val="center"/>
          </w:tcPr>
          <w:p>
            <w:pPr>
              <w:jc w:val="right"/>
            </w:pPr>
            <w:r/>
            <w:r>
              <w:rPr>
                <w:rFonts w:hint="eastAsia"/>
                <w:color w:val="000000"/>
                <w:sz w:val="21"/>
              </w:rPr>
              <w:t>70.89</w:t>
            </w:r>
          </w:p>
        </w:tc>
        <w:tc>
          <w:tcPr>
            <w:tcW w:w="889" w:type="pct"/>
            <w:tcBorders>
              <w:top w:val="single" w:sz="4" w:space="0" w:color="010000"/>
            </w:tcBorders>
            <w:vAlign w:val="center"/>
          </w:tcPr>
          <w:p>
            <w:pPr>
              <w:jc w:val="right"/>
            </w:pPr>
            <w:r/>
            <w:r>
              <w:rPr>
                <w:rFonts w:hint="eastAsia"/>
                <w:color w:val="000000"/>
                <w:sz w:val="21"/>
              </w:rPr>
              <w:t>2.41</w:t>
            </w:r>
          </w:p>
        </w:tc>
        <w:tc>
          <w:tcPr>
            <w:tcW w:w="889" w:type="pct"/>
            <w:tcBorders>
              <w:top w:val="single" w:sz="4" w:space="0" w:color="010000"/>
            </w:tcBorders>
            <w:vAlign w:val="center"/>
          </w:tcPr>
          <w:p>
            <w:pPr>
              <w:jc w:val="right"/>
            </w:pPr>
            <w:r/>
            <w:r>
              <w:rPr>
                <w:rFonts w:hint="eastAsia"/>
                <w:color w:val="000000"/>
                <w:sz w:val="21"/>
              </w:rPr>
              <w:t>33.95</w:t>
            </w:r>
          </w:p>
        </w:tc>
        <w:tc>
          <w:tcPr>
            <w:tcW w:w="889" w:type="pct"/>
            <w:tcBorders>
              <w:top w:val="single" w:sz="4" w:space="0" w:color="010000"/>
            </w:tcBorders>
            <w:vAlign w:val="center"/>
          </w:tcPr>
          <w:p>
            <w:pPr>
              <w:jc w:val="right"/>
            </w:pPr>
            <w:r/>
            <w:r>
              <w:rPr>
                <w:rFonts w:hint="eastAsia"/>
                <w:color w:val="000000"/>
                <w:sz w:val="21"/>
              </w:rPr>
              <w:t>0.50</w:t>
            </w:r>
          </w:p>
        </w:tc>
      </w:tr>
      <w:tr>
        <w:trPr>
          <w:cantSplit/>
          <w:jc w:val="center"/>
        </w:trPr>
        <w:tc>
          <w:tcPr>
            <w:tcW w:w="1444" w:type="pct"/>
            <w:tcBorders>
              <w:top w:val="single" w:sz="4" w:space="0" w:color="010000"/>
            </w:tcBorders>
            <w:vAlign w:val="center"/>
          </w:tcPr>
          <w:p>
            <w:pPr>
              <w:jc w:val="left"/>
            </w:pPr>
            <w:r/>
            <w:r>
              <w:rPr>
                <w:rFonts w:hint="eastAsia"/>
                <w:color w:val="000000"/>
                <w:sz w:val="21"/>
              </w:rPr>
              <w:t>匀气盘</w:t>
            </w:r>
          </w:p>
        </w:tc>
        <w:tc>
          <w:tcPr>
            <w:tcW w:w="889" w:type="pct"/>
            <w:tcBorders>
              <w:top w:val="single" w:sz="4" w:space="0" w:color="010000"/>
            </w:tcBorders>
            <w:vAlign w:val="center"/>
          </w:tcPr>
          <w:p>
            <w:pPr>
              <w:jc w:val="right"/>
            </w:pPr>
            <w:r/>
            <w:r>
              <w:rPr>
                <w:rFonts w:hint="eastAsia"/>
                <w:color w:val="000000"/>
                <w:sz w:val="21"/>
              </w:rPr>
              <w:t>27.44</w:t>
            </w:r>
          </w:p>
        </w:tc>
        <w:tc>
          <w:tcPr>
            <w:tcW w:w="889" w:type="pct"/>
            <w:tcBorders>
              <w:top w:val="single" w:sz="4" w:space="0" w:color="010000"/>
            </w:tcBorders>
            <w:vAlign w:val="center"/>
          </w:tcPr>
          <w:p>
            <w:pPr>
              <w:jc w:val="right"/>
            </w:pPr>
            <w:r/>
            <w:r>
              <w:rPr>
                <w:rFonts w:hint="eastAsia"/>
                <w:color w:val="000000"/>
                <w:sz w:val="21"/>
              </w:rPr>
              <w:t>4.29</w:t>
            </w:r>
          </w:p>
        </w:tc>
        <w:tc>
          <w:tcPr>
            <w:tcW w:w="889" w:type="pct"/>
            <w:tcBorders>
              <w:top w:val="single" w:sz="4" w:space="0" w:color="010000"/>
            </w:tcBorders>
            <w:vAlign w:val="center"/>
          </w:tcPr>
          <w:p>
            <w:pPr>
              <w:jc w:val="right"/>
            </w:pPr>
            <w:r/>
            <w:r>
              <w:rPr>
                <w:rFonts w:hint="eastAsia"/>
                <w:color w:val="000000"/>
                <w:sz w:val="21"/>
              </w:rPr>
              <w:t>26.72</w:t>
            </w:r>
          </w:p>
        </w:tc>
        <w:tc>
          <w:tcPr>
            <w:tcW w:w="889" w:type="pct"/>
            <w:tcBorders>
              <w:top w:val="single" w:sz="4" w:space="0" w:color="010000"/>
            </w:tcBorders>
            <w:vAlign w:val="center"/>
          </w:tcPr>
          <w:p>
            <w:pPr>
              <w:jc w:val="right"/>
            </w:pPr>
            <w:r/>
            <w:r>
              <w:rPr>
                <w:rFonts w:hint="eastAsia"/>
                <w:color w:val="000000"/>
                <w:sz w:val="21"/>
              </w:rPr>
              <w:t>4.87</w:t>
            </w:r>
          </w:p>
        </w:tc>
      </w:tr>
      <w:tr>
        <w:trPr>
          <w:cantSplit/>
          <w:jc w:val="center"/>
        </w:trPr>
        <w:tc>
          <w:tcPr>
            <w:tcW w:w="1444" w:type="pct"/>
            <w:tcBorders>
              <w:top w:val="single" w:sz="4" w:space="0" w:color="010000"/>
            </w:tcBorders>
            <w:vAlign w:val="center"/>
          </w:tcPr>
          <w:p>
            <w:pPr>
              <w:jc w:val="left"/>
            </w:pPr>
            <w:r/>
            <w:r>
              <w:rPr>
                <w:rFonts w:hint="eastAsia"/>
                <w:color w:val="000000"/>
                <w:sz w:val="21"/>
              </w:rPr>
              <w:t>多管式加热反射罩</w:t>
            </w:r>
          </w:p>
        </w:tc>
        <w:tc>
          <w:tcPr>
            <w:tcW w:w="889" w:type="pct"/>
            <w:tcBorders>
              <w:top w:val="single" w:sz="4" w:space="0" w:color="010000"/>
            </w:tcBorders>
            <w:vAlign w:val="center"/>
          </w:tcPr>
          <w:p>
            <w:pPr>
              <w:jc w:val="right"/>
            </w:pPr>
            <w:r/>
            <w:r>
              <w:rPr>
                <w:rFonts w:hint="eastAsia"/>
                <w:color w:val="000000"/>
                <w:sz w:val="21"/>
              </w:rPr>
              <w:t>33.83</w:t>
            </w:r>
          </w:p>
        </w:tc>
        <w:tc>
          <w:tcPr>
            <w:tcW w:w="889" w:type="pct"/>
            <w:tcBorders>
              <w:top w:val="single" w:sz="4" w:space="0" w:color="010000"/>
            </w:tcBorders>
            <w:vAlign w:val="center"/>
          </w:tcPr>
          <w:p>
            <w:pPr>
              <w:jc w:val="right"/>
            </w:pPr>
            <w:r/>
            <w:r>
              <w:rPr>
                <w:rFonts w:hint="eastAsia"/>
                <w:color w:val="000000"/>
                <w:sz w:val="21"/>
              </w:rPr>
              <w:t>0.94</w:t>
            </w:r>
          </w:p>
        </w:tc>
        <w:tc>
          <w:tcPr>
            <w:tcW w:w="889" w:type="pct"/>
            <w:tcBorders>
              <w:top w:val="single" w:sz="4" w:space="0" w:color="010000"/>
            </w:tcBorders>
            <w:vAlign w:val="center"/>
          </w:tcPr>
          <w:p>
            <w:pPr>
              <w:jc w:val="right"/>
            </w:pPr>
            <w:r/>
            <w:r>
              <w:rPr>
                <w:rFonts w:hint="eastAsia"/>
                <w:color w:val="000000"/>
                <w:sz w:val="21"/>
              </w:rPr>
              <w:t>55.36</w:t>
            </w:r>
          </w:p>
        </w:tc>
        <w:tc>
          <w:tcPr>
            <w:tcW w:w="889" w:type="pct"/>
            <w:tcBorders>
              <w:top w:val="single" w:sz="4" w:space="0" w:color="010000"/>
            </w:tcBorders>
            <w:vAlign w:val="center"/>
          </w:tcPr>
          <w:p>
            <w:pPr>
              <w:jc w:val="right"/>
            </w:pPr>
            <w:r/>
            <w:r>
              <w:rPr>
                <w:rFonts w:hint="eastAsia"/>
                <w:color w:val="000000"/>
                <w:sz w:val="21"/>
              </w:rPr>
              <w:t>1.06</w:t>
            </w:r>
          </w:p>
        </w:tc>
      </w:tr>
      <w:tr>
        <w:trPr>
          <w:cantSplit/>
          <w:jc w:val="center"/>
        </w:trPr>
        <w:tc>
          <w:tcPr>
            <w:tcW w:w="1444" w:type="pct"/>
            <w:tcBorders>
              <w:top w:val="single" w:sz="4" w:space="0" w:color="010000"/>
            </w:tcBorders>
            <w:vAlign w:val="center"/>
          </w:tcPr>
          <w:p>
            <w:pPr>
              <w:jc w:val="left"/>
            </w:pPr>
            <w:r/>
            <w:r>
              <w:rPr>
                <w:rFonts w:hint="eastAsia"/>
                <w:color w:val="000000"/>
                <w:sz w:val="21"/>
              </w:rPr>
              <w:t>加热器</w:t>
            </w:r>
          </w:p>
        </w:tc>
        <w:tc>
          <w:tcPr>
            <w:tcW w:w="889" w:type="pct"/>
            <w:tcBorders>
              <w:top w:val="single" w:sz="4" w:space="0" w:color="010000"/>
            </w:tcBorders>
            <w:vAlign w:val="center"/>
          </w:tcPr>
          <w:p>
            <w:pPr>
              <w:jc w:val="right"/>
            </w:pPr>
            <w:r/>
            <w:r>
              <w:rPr>
                <w:rFonts w:hint="eastAsia"/>
                <w:color w:val="000000"/>
                <w:sz w:val="21"/>
              </w:rPr>
              <w:t>14.39</w:t>
            </w:r>
          </w:p>
        </w:tc>
        <w:tc>
          <w:tcPr>
            <w:tcW w:w="889" w:type="pct"/>
            <w:tcBorders>
              <w:top w:val="single" w:sz="4" w:space="0" w:color="010000"/>
            </w:tcBorders>
            <w:vAlign w:val="center"/>
          </w:tcPr>
          <w:p>
            <w:pPr>
              <w:jc w:val="right"/>
            </w:pPr>
            <w:r/>
            <w:r>
              <w:rPr>
                <w:rFonts w:hint="eastAsia"/>
                <w:color w:val="000000"/>
                <w:sz w:val="21"/>
              </w:rPr>
              <w:t>1.18</w:t>
            </w:r>
          </w:p>
        </w:tc>
        <w:tc>
          <w:tcPr>
            <w:tcW w:w="889" w:type="pct"/>
            <w:tcBorders>
              <w:top w:val="single" w:sz="4" w:space="0" w:color="010000"/>
            </w:tcBorders>
            <w:vAlign w:val="center"/>
          </w:tcPr>
          <w:p>
            <w:pPr>
              <w:jc w:val="right"/>
            </w:pPr>
            <w:r/>
            <w:r>
              <w:rPr>
                <w:rFonts w:hint="eastAsia"/>
                <w:color w:val="000000"/>
                <w:sz w:val="21"/>
              </w:rPr>
              <w:t>-18.68</w:t>
            </w:r>
          </w:p>
        </w:tc>
        <w:tc>
          <w:tcPr>
            <w:tcW w:w="889" w:type="pct"/>
            <w:tcBorders>
              <w:top w:val="single" w:sz="4" w:space="0" w:color="010000"/>
            </w:tcBorders>
            <w:vAlign w:val="center"/>
          </w:tcPr>
          <w:p>
            <w:pPr>
              <w:jc w:val="right"/>
            </w:pPr>
            <w:r/>
            <w:r>
              <w:rPr>
                <w:rFonts w:hint="eastAsia"/>
                <w:color w:val="000000"/>
                <w:sz w:val="21"/>
              </w:rPr>
              <w:t>0.32</w:t>
            </w:r>
          </w:p>
        </w:tc>
      </w:tr>
      <w:tr>
        <w:trPr>
          <w:cantSplit/>
          <w:jc w:val="center"/>
        </w:trPr>
        <w:tc>
          <w:tcPr>
            <w:tcW w:w="1444" w:type="pct"/>
            <w:tcBorders>
              <w:top w:val="single" w:sz="4" w:space="0" w:color="010000"/>
            </w:tcBorders>
            <w:vAlign w:val="center"/>
          </w:tcPr>
          <w:p>
            <w:pPr>
              <w:jc w:val="left"/>
            </w:pPr>
            <w:r/>
            <w:r>
              <w:rPr>
                <w:rFonts w:hint="eastAsia"/>
                <w:color w:val="000000"/>
                <w:sz w:val="21"/>
              </w:rPr>
              <w:t>静电卡盘基体</w:t>
            </w:r>
          </w:p>
        </w:tc>
        <w:tc>
          <w:tcPr>
            <w:tcW w:w="889" w:type="pct"/>
            <w:tcBorders>
              <w:top w:val="single" w:sz="4" w:space="0" w:color="010000"/>
            </w:tcBorders>
            <w:vAlign w:val="center"/>
          </w:tcPr>
          <w:p>
            <w:pPr>
              <w:jc w:val="right"/>
            </w:pPr>
            <w:r/>
            <w:r>
              <w:rPr>
                <w:rFonts w:hint="eastAsia"/>
                <w:color w:val="000000"/>
                <w:sz w:val="21"/>
              </w:rPr>
              <w:t>30.77</w:t>
            </w:r>
          </w:p>
        </w:tc>
        <w:tc>
          <w:tcPr>
            <w:tcW w:w="889" w:type="pct"/>
            <w:tcBorders>
              <w:top w:val="single" w:sz="4" w:space="0" w:color="010000"/>
            </w:tcBorders>
            <w:vAlign w:val="center"/>
          </w:tcPr>
          <w:p>
            <w:pPr>
              <w:jc w:val="right"/>
            </w:pPr>
            <w:r/>
            <w:r>
              <w:rPr>
                <w:rFonts w:hint="eastAsia"/>
                <w:color w:val="000000"/>
                <w:sz w:val="21"/>
              </w:rPr>
              <w:t>0.38</w:t>
            </w:r>
          </w:p>
        </w:tc>
        <w:tc>
          <w:tcPr>
            <w:tcW w:w="889" w:type="pct"/>
            <w:tcBorders>
              <w:top w:val="single" w:sz="4" w:space="0" w:color="010000"/>
            </w:tcBorders>
            <w:vAlign w:val="center"/>
          </w:tcPr>
          <w:p>
            <w:pPr>
              <w:jc w:val="right"/>
            </w:pPr>
            <w:r/>
            <w:r>
              <w:rPr>
                <w:rFonts w:hint="eastAsia"/>
                <w:color w:val="000000"/>
                <w:sz w:val="21"/>
              </w:rPr>
              <w:t>31.99</w:t>
            </w:r>
          </w:p>
        </w:tc>
        <w:tc>
          <w:tcPr>
            <w:tcW w:w="889" w:type="pct"/>
            <w:tcBorders>
              <w:top w:val="single" w:sz="4" w:space="0" w:color="010000"/>
            </w:tcBorders>
            <w:vAlign w:val="center"/>
          </w:tcPr>
          <w:p>
            <w:pPr>
              <w:jc w:val="right"/>
            </w:pPr>
            <w:r/>
            <w:r>
              <w:rPr>
                <w:rFonts w:hint="eastAsia"/>
                <w:color w:val="000000"/>
                <w:sz w:val="21"/>
              </w:rPr>
              <w:t>0.07</w:t>
            </w:r>
          </w:p>
        </w:tc>
      </w:tr>
      <w:tr>
        <w:trPr>
          <w:cantSplit/>
          <w:jc w:val="center"/>
        </w:trPr>
        <w:tc>
          <w:tcPr>
            <w:tcW w:w="1444" w:type="pct"/>
            <w:tcBorders>
              <w:top w:val="single" w:sz="4" w:space="0" w:color="010000"/>
            </w:tcBorders>
            <w:vAlign w:val="center"/>
          </w:tcPr>
          <w:p>
            <w:pPr>
              <w:jc w:val="left"/>
            </w:pPr>
            <w:r/>
            <w:r>
              <w:rPr>
                <w:rFonts w:hint="eastAsia"/>
                <w:color w:val="000000"/>
                <w:sz w:val="21"/>
              </w:rPr>
              <w:t>半导体工艺零部件</w:t>
            </w:r>
          </w:p>
        </w:tc>
        <w:tc>
          <w:tcPr>
            <w:tcW w:w="889" w:type="pct"/>
            <w:tcBorders>
              <w:top w:val="single" w:sz="4" w:space="0" w:color="010000"/>
            </w:tcBorders>
            <w:vAlign w:val="center"/>
          </w:tcPr>
          <w:p>
            <w:pPr>
              <w:jc w:val="right"/>
            </w:pPr>
            <w:r/>
            <w:r>
              <w:rPr>
                <w:rFonts w:hint="eastAsia"/>
                <w:color w:val="000000"/>
                <w:sz w:val="21"/>
              </w:rPr>
              <w:t>14.43</w:t>
            </w:r>
          </w:p>
        </w:tc>
        <w:tc>
          <w:tcPr>
            <w:tcW w:w="889" w:type="pct"/>
            <w:tcBorders>
              <w:top w:val="single" w:sz="4" w:space="0" w:color="010000"/>
            </w:tcBorders>
            <w:vAlign w:val="center"/>
          </w:tcPr>
          <w:p>
            <w:pPr>
              <w:jc w:val="right"/>
            </w:pPr>
            <w:r/>
            <w:r>
              <w:rPr>
                <w:rFonts w:hint="eastAsia"/>
                <w:color w:val="000000"/>
                <w:sz w:val="21"/>
              </w:rPr>
              <w:t>14.92</w:t>
            </w:r>
          </w:p>
        </w:tc>
        <w:tc>
          <w:tcPr>
            <w:tcW w:w="889" w:type="pct"/>
            <w:tcBorders>
              <w:top w:val="single" w:sz="4" w:space="0" w:color="010000"/>
            </w:tcBorders>
            <w:vAlign w:val="center"/>
          </w:tcPr>
          <w:p>
            <w:pPr>
              <w:jc w:val="right"/>
            </w:pPr>
            <w:r/>
            <w:r>
              <w:rPr>
                <w:rFonts w:hint="eastAsia"/>
                <w:color w:val="000000"/>
                <w:sz w:val="21"/>
              </w:rPr>
              <w:t>27.98</w:t>
            </w:r>
          </w:p>
        </w:tc>
        <w:tc>
          <w:tcPr>
            <w:tcW w:w="889" w:type="pct"/>
            <w:tcBorders>
              <w:top w:val="single" w:sz="4" w:space="0" w:color="010000"/>
            </w:tcBorders>
            <w:vAlign w:val="center"/>
          </w:tcPr>
          <w:p>
            <w:pPr>
              <w:jc w:val="right"/>
            </w:pPr>
            <w:r/>
            <w:r>
              <w:rPr>
                <w:rFonts w:hint="eastAsia"/>
                <w:color w:val="000000"/>
                <w:sz w:val="21"/>
              </w:rPr>
              <w:t>17.36</w:t>
            </w:r>
          </w:p>
        </w:tc>
      </w:tr>
      <w:tr>
        <w:trPr>
          <w:cantSplit/>
          <w:jc w:val="center"/>
        </w:trPr>
        <w:tc>
          <w:tcPr>
            <w:tcW w:w="1444" w:type="pct"/>
            <w:tcBorders>
              <w:top w:val="single" w:sz="4" w:space="0" w:color="010000"/>
            </w:tcBorders>
            <w:vAlign w:val="center"/>
          </w:tcPr>
          <w:p>
            <w:pPr>
              <w:jc w:val="left"/>
            </w:pPr>
            <w:r/>
            <w:r>
              <w:rPr>
                <w:rFonts w:hint="eastAsia"/>
                <w:color w:val="000000"/>
                <w:sz w:val="21"/>
              </w:rPr>
              <w:t>半导体结构零部件</w:t>
            </w:r>
          </w:p>
        </w:tc>
        <w:tc>
          <w:tcPr>
            <w:tcW w:w="889" w:type="pct"/>
            <w:tcBorders>
              <w:top w:val="single" w:sz="4" w:space="0" w:color="010000"/>
            </w:tcBorders>
            <w:vAlign w:val="center"/>
          </w:tcPr>
          <w:p>
            <w:pPr>
              <w:jc w:val="right"/>
            </w:pPr>
            <w:r/>
            <w:r>
              <w:rPr>
                <w:rFonts w:hint="eastAsia"/>
                <w:color w:val="000000"/>
                <w:sz w:val="21"/>
              </w:rPr>
              <w:t>20.82</w:t>
            </w:r>
          </w:p>
        </w:tc>
        <w:tc>
          <w:tcPr>
            <w:tcW w:w="889" w:type="pct"/>
            <w:tcBorders>
              <w:top w:val="single" w:sz="4" w:space="0" w:color="010000"/>
            </w:tcBorders>
            <w:vAlign w:val="center"/>
          </w:tcPr>
          <w:p>
            <w:pPr>
              <w:jc w:val="right"/>
            </w:pPr>
            <w:r/>
            <w:r>
              <w:rPr>
                <w:rFonts w:hint="eastAsia"/>
                <w:color w:val="000000"/>
                <w:sz w:val="21"/>
              </w:rPr>
              <w:t>28.66</w:t>
            </w:r>
          </w:p>
        </w:tc>
        <w:tc>
          <w:tcPr>
            <w:tcW w:w="889" w:type="pct"/>
            <w:tcBorders>
              <w:top w:val="single" w:sz="4" w:space="0" w:color="010000"/>
            </w:tcBorders>
            <w:vAlign w:val="center"/>
          </w:tcPr>
          <w:p>
            <w:pPr>
              <w:jc w:val="right"/>
            </w:pPr>
            <w:r/>
            <w:r>
              <w:rPr>
                <w:rFonts w:hint="eastAsia"/>
                <w:color w:val="000000"/>
                <w:sz w:val="21"/>
              </w:rPr>
              <w:t>30.37</w:t>
            </w:r>
          </w:p>
        </w:tc>
        <w:tc>
          <w:tcPr>
            <w:tcW w:w="889" w:type="pct"/>
            <w:tcBorders>
              <w:top w:val="single" w:sz="4" w:space="0" w:color="010000"/>
            </w:tcBorders>
            <w:vAlign w:val="center"/>
          </w:tcPr>
          <w:p>
            <w:pPr>
              <w:jc w:val="right"/>
            </w:pPr>
            <w:r/>
            <w:r>
              <w:rPr>
                <w:rFonts w:hint="eastAsia"/>
                <w:color w:val="000000"/>
                <w:sz w:val="21"/>
              </w:rPr>
              <w:t>26.78</w:t>
            </w:r>
          </w:p>
        </w:tc>
      </w:tr>
    </w:tbl>
    <w:p>
      <w:pPr>
        <w:pStyle w:val="a6"/>
        <w:jc w:val="center"/>
      </w:pPr>
      <w:r>
        <w:rPr>
          <w:rFonts w:hint="eastAsia"/>
          <w:sz w:val="11"/>
          <w:szCs w:val="11"/>
        </w:rPr>
        <w:t>资料来源：托伦斯关于第二轮审核问询函的回复意见，本报告整理</w:t>
      </w:r>
    </w:p>
    <w:p>
      <w:pPr>
        <w:pStyle w:val="a0"/>
      </w:pPr>
      <w:r>
        <w:rPr>
          <w:rFonts w:hint="eastAsia"/>
        </w:rPr>
        <w:t>第二类是与同行业可比公司的对标。臻宝科技第二轮问询列示了其硅零部件报告期各期毛利率45.83%、50.05%、52.99%、48.28%，与可比公司神工股份、盾源聚芯硅零部件毛利率均值34.65%、34.49%、37.32%、43.74%的差异，并指出发行人硅零部件收入远低于盾源聚芯、且两家可比公司均自研自产硅材料；石英零部件毛利率58.10%、60.01%、60.26%、57.65%，与可比公司凯德石英同类产品54.95%、49.63%、47.58%、45.10%的差异，并指出发行人市场占有率低于凯德石英。</w:t>
      </w:r>
    </w:p>
    <w:p>
      <w:pPr>
        <w:pStyle w:val="a0"/>
      </w:pPr>
      <w:r>
        <w:rPr>
          <w:rFonts w:hint="eastAsia"/>
        </w:rPr>
        <w:t>第三类是成本核算的具体勾稽。臻宝科技第二轮问询指出，2024年及2025年1—6月公司硅零部件实际单位耗用量2.26千克／件、2.34千克／件，小于物料清单单位耗用量2.30千克／件、2.43千克／件；存货结存单价高于当期结转单位成本；工程塑料零部件2024年毛利率大幅上升至72.35%，平均成本同比下降51.31%；并指出该类原材料通过委托加工与成品采购取得，主要供应商为境外企业且多数规模较小，不存在市场价格或可比公司披露的同类采购价格可供比较。</w:t>
      </w:r>
    </w:p>
    <w:p>
      <w:pPr>
        <w:pStyle w:val="3"/>
        <w:numPr>
          <w:ilvl w:val="0"/>
          <w:numId w:val="0"/>
        </w:numPr>
        <w:spacing w:before="156" w:after="156"/>
      </w:pPr>
      <w:bookmarkStart w:id="1004" w:name="_Toc900004"/>
      <w:r>
        <w:rPr>
          <w:rFonts w:hint="eastAsia"/>
        </w:rPr>
        <w:t>6.4 共性关注点之二：技术先进性与核心技术</w:t>
      </w:r>
      <w:bookmarkEnd w:id="1004"/>
    </w:p>
    <w:p>
      <w:pPr>
        <w:pStyle w:val="a0"/>
      </w:pPr>
      <w:r>
        <w:rPr>
          <w:rFonts w:hint="eastAsia"/>
        </w:rPr>
        <w:t>四家企业均被问及核心技术。托伦斯首轮问“产品和技术”，第二轮升级为“技术先进性和市场空间”，要求说明高精度机械制造、焊接、表面处理三项核心工艺的技术水平；臻宝科技首轮设“核心技术”专项；珂玛科技第二轮问“核心技术”，落实函问“业务与技术”；中微公司首轮将“关于发行人核心技术”单列为六个大类之一。</w:t>
      </w:r>
    </w:p>
    <w:p>
      <w:pPr>
        <w:pStyle w:val="a0"/>
      </w:pPr>
      <w:r>
        <w:rPr>
          <w:rFonts w:hint="eastAsia"/>
        </w:rPr>
        <w:t>该类问题的回复要点在于，将“技术先进”落到可验证的载体上：具体工艺参数与行业水平的对比、专利与非专利技术的对应关系、核心技术在主要产品中的应用与对应收入、以及技术人员的稳定性安排。</w:t>
      </w:r>
    </w:p>
    <w:p>
      <w:pPr>
        <w:pStyle w:val="3"/>
        <w:numPr>
          <w:ilvl w:val="0"/>
          <w:numId w:val="0"/>
        </w:numPr>
        <w:spacing w:before="156" w:after="156"/>
      </w:pPr>
      <w:bookmarkStart w:id="1005" w:name="_Toc900005"/>
      <w:r>
        <w:rPr>
          <w:rFonts w:hint="eastAsia"/>
        </w:rPr>
        <w:t>6.5 共性关注点之三：收入与业绩可持续性</w:t>
      </w:r>
      <w:bookmarkEnd w:id="1005"/>
    </w:p>
    <w:p>
      <w:pPr>
        <w:pStyle w:val="a0"/>
      </w:pPr>
      <w:r>
        <w:rPr>
          <w:rFonts w:hint="eastAsia"/>
        </w:rPr>
        <w:t>该类问题在样本中同样贯穿全部轮次。托伦斯首轮问“业务成长性”与“收入变动和主要客户”，第二轮问“营业收入变动”，落实函问“业绩稳定性”；臻宝科技首轮问“收入”，第二轮问“经营业绩”与“收入”；珂玛科技第二轮问“收入增长可持续性”。</w:t>
      </w:r>
    </w:p>
    <w:p>
      <w:pPr>
        <w:pStyle w:val="a0"/>
      </w:pPr>
      <w:r>
        <w:rPr>
          <w:rFonts w:hint="eastAsia"/>
        </w:rPr>
        <w:t>托伦斯落实函的问法具有代表性。招股说明书披露其2025年营业收入71,984.64万元、同比增长18.00%，增速较前期下滑，扣除非经常性损益后归母净利润9,353.12万元、较2024年略有减少，原因为2025年扩产导致整体产能利用率下降、主营业务毛利率同比下滑。交易所据此要求披露三项内容：一是收入增速下滑的原因，以及与行业趋势、可比公司业绩变动的差异；二是增速放缓仍持续扩产的考虑，并结合募投项目新增产能说明是否存在产能消化风险；三是结合在手订单数量与价格、产能利用率预计变动、汇兑损益变化，分析毛利率及经营利润是否存在进一步下滑的风险，并完善风险提示。</w:t>
      </w:r>
    </w:p>
    <w:p>
      <w:pPr>
        <w:pStyle w:val="a0"/>
      </w:pPr>
      <w:r>
        <w:rPr>
          <w:rFonts w:hint="eastAsia"/>
        </w:rPr>
        <w:t>该问题的回复中引用了行业口径的增速数据：2024年，中微公司披露其刻蚀设备产量同比增长231.15%，先锋精科半导体设备零部件收入增速134.64%，珂玛科技半导体领域收入增速205.89%，富创精密半导体设备零部件收入增速55.59%，并说明富创精密2024年营业收入已突破30亿元、基数较高。</w:t>
      </w:r>
    </w:p>
    <w:p>
      <w:pPr>
        <w:pStyle w:val="3"/>
        <w:numPr>
          <w:ilvl w:val="0"/>
          <w:numId w:val="0"/>
        </w:numPr>
        <w:spacing w:before="156" w:after="156"/>
      </w:pPr>
      <w:bookmarkStart w:id="1006" w:name="_Toc900006"/>
      <w:r>
        <w:rPr>
          <w:rFonts w:hint="eastAsia"/>
        </w:rPr>
        <w:t>6.6 共性关注点之四：客户与供应商</w:t>
      </w:r>
      <w:bookmarkEnd w:id="1006"/>
    </w:p>
    <w:p>
      <w:pPr>
        <w:pStyle w:val="a0"/>
      </w:pPr>
      <w:r>
        <w:rPr>
          <w:rFonts w:hint="eastAsia"/>
        </w:rPr>
        <w:t>四家企业首轮均设有客户与供应商专项。托伦斯为“收入变动和主要客户”“采购和供应商”，臻宝科技为“收入”“采购与供应商”，珂玛科技为“收入与客户”“采购与供应商”。关注角度包括客户集中度及其成因、单一客户依赖、新增客户的开发过程与验证周期、向单一供应商采购的价格公允性，以及供应商成立时间与合作起始时间是否匹配。臻宝科技第二轮问询即指出，其石英主要供应商锦州士成成立当年即开展合作，同类材料采购价格明显低于其他供应商。</w:t>
      </w:r>
    </w:p>
    <w:p>
      <w:pPr>
        <w:pStyle w:val="3"/>
        <w:numPr>
          <w:ilvl w:val="0"/>
          <w:numId w:val="0"/>
        </w:numPr>
        <w:spacing w:before="156" w:after="156"/>
      </w:pPr>
      <w:bookmarkStart w:id="1007" w:name="_Toc900007"/>
      <w:r>
        <w:rPr>
          <w:rFonts w:hint="eastAsia"/>
        </w:rPr>
        <w:t>6.7 共性关注点之五：募投项目与产能消化</w:t>
      </w:r>
      <w:bookmarkEnd w:id="1007"/>
    </w:p>
    <w:p>
      <w:pPr>
        <w:pStyle w:val="a0"/>
      </w:pPr>
      <w:r>
        <w:rPr>
          <w:rFonts w:hint="eastAsia"/>
        </w:rPr>
        <w:t>托伦斯首轮设“募投项目”专项，落实函要求结合募投新增产能说明是否存在产能消化风险；臻宝科技首轮与第二轮均设“募投项目”专项；珂玛科技会计师专项回复中设“募集资金运用”。关注角度为新增产能的测算依据、与在手订单及客户需求的匹配、产能爬坡节奏，以及产能利用率下降对毛利率的影响。</w:t>
      </w:r>
    </w:p>
    <w:p>
      <w:pPr>
        <w:pStyle w:val="3"/>
        <w:numPr>
          <w:ilvl w:val="0"/>
          <w:numId w:val="0"/>
        </w:numPr>
        <w:spacing w:before="156" w:after="156"/>
      </w:pPr>
      <w:bookmarkStart w:id="1008" w:name="_Toc900008"/>
      <w:r>
        <w:rPr>
          <w:rFonts w:hint="eastAsia"/>
        </w:rPr>
        <w:t>6.8 共性关注点之六：股权、历史沿革与实际控制人</w:t>
      </w:r>
      <w:bookmarkEnd w:id="1008"/>
    </w:p>
    <w:p>
      <w:pPr>
        <w:pStyle w:val="a0"/>
      </w:pPr>
      <w:r>
        <w:rPr>
          <w:rFonts w:hint="eastAsia"/>
        </w:rPr>
        <w:t>托伦斯首轮设“历史沿革”“对赌协议”“高管及核心技术人员”三项；臻宝科技首轮设“历史沿革与股权结构”；珂玛科技第二轮设“股权清晰”；中微公司第二轮设“实际控制人认定及核心技术人员稳定”与“股份下翻及海外收购”。关注角度包括股权代持与还原、对赌协议的清理与恢复条款、实际控制人认定依据、核心技术人员的界定与稳定性，以及存在境外架构时的股份下翻过程。</w:t>
      </w:r>
    </w:p>
    <w:p>
      <w:pPr>
        <w:pStyle w:val="3"/>
        <w:numPr>
          <w:ilvl w:val="0"/>
          <w:numId w:val="0"/>
        </w:numPr>
        <w:spacing w:before="156" w:after="156"/>
      </w:pPr>
      <w:bookmarkStart w:id="1009" w:name="_Toc900009"/>
      <w:r>
        <w:rPr>
          <w:rFonts w:hint="eastAsia"/>
        </w:rPr>
        <w:t>6.9 单家特有的关注点</w:t>
      </w:r>
      <w:bookmarkEnd w:id="1009"/>
    </w:p>
    <w:p>
      <w:pPr>
        <w:pStyle w:val="a0"/>
      </w:pPr>
      <w:r>
        <w:rPr>
          <w:rFonts w:hint="eastAsia"/>
        </w:rPr>
        <w:t>除上述共性问题外，样本中出现了若干与企业自身情况相关的专项问题。托伦斯被问及上市标准适用与环保合规性；珂玛科技被问及关联方无锡塞姆、废料收入、理财产品、资金流水核查，并在落实函中被要求回应媒体质疑；中微公司的政府补助与开发支出资本化两项自第二轮起连续追问至第四轮，为该案例中追问轮次最多的事项。</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