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30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已上市或已进入发行阶段的企业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40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44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47</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为基本结构，高性能关节还可集成力矩传感器、制动器等部件，广泛用于颈部、肩、肘、腕、腰和髋等部位；线性执行器通常采用电机＋丝杠传动，其中行星滚柱丝杠是高负载人形机器人中的重要技术路线，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电机端编码器主要用于转子位置检测、FOC换相和速度反馈，输出端编码器用于关节输出位置闭环及减速器误差补偿；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一体化能力正在成为规模化量产中的重要竞争方向，缺乏系统集成能力的企业未来竞争压力可能进一步加大。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不同机构和典型机型的BOM测算口径差异较大，但整体均显示执行器、传动和灵巧手是整机价值量较集中的环节。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且不同机型的结构差异较大，本图用于观察价值量的相对集中度，不代表所有人形机器人适用同一比例，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已布局非金属谐波减速器，该路线在轻量化、低噪声和特定应用场景具有潜在价值，实际在机器人关节中的寿命、良率和成本优势仍需进一步验证。</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单机用量较大，是关节感知与闭环控制的重要成本组成部分。</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相比传统位置控制型工业机器人，人形机器人在非结构化环境中对全身力控、柔顺控制和接触感知提出了更高要求，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据行业机构预测，2026年全球头部整机企业合计规划产能突破10万台，实际交付有望达到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机构预测，到2030年全球市场可能形成5—8家头部企业占据80%以上份额的格局，缺乏核心技术和量产交付能力的中小厂商竞争压力将进一步加大。</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部分机构测算，在较高出货增长假设下，2025年人形机器人灵巧手市场规模可达到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第三方行业统计与公开报道，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第三方行业统计与公开报道口径），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2025年具身智能首次写入政府工作报告，2026年继续被列为重点培育的未来产业方向。2026年政府工作报告提出建立未来产业投入增长和风险分担机制，培育发展未来能源、量子科技、具身智能、脑机接口、6G等未来产业；“十五五”规划纲要草案亦提出前瞻布局未来产业，推动具身智能等成为新的经济增长点。</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是国内重要的人形机器人产业集聚区，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能力正在成为规模化量产中的重要竞争方向，缺乏系统集成能力的企业未来竞争压力可能进一步加大。据行业机构预测，到2030年全球关节模组市场可能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已布局的非金属谐波减速器，属于这一类差异化方向；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据行业机构预测，2026年全球头部整机企业合计规划产能突破10万台、实际交付有望达到4万—6万台，2027年后行业集中度可能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并已完成注册进入发行阶段。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据公开媒体报道，新加坡滨海湾金沙曾部署50台G1用于客房服务和多语种导览等服务场景。</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据公开报道及产业链信息，智元的供应链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市场存在绿的谐波进入Optimus供应链的相关报道。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已上市或已进入发行阶段的企业</w:t>
      </w:r>
      <w:bookmarkEnd w:id="1031"/>
    </w:p>
    <w:p>
      <w:pPr>
        <w:keepNext/>
        <w:jc w:val="center"/>
      </w:pPr>
      <w:r>
        <w:rPr>
          <w:rFonts w:hint="eastAsia"/>
          <w:b/>
          <w:sz w:val="21"/>
        </w:rPr>
        <w:t>表9  已上市或已进入发行阶段的人形机器人产业链企业（本轮资本化事件涉及）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港交所，2023年12月29日</w:t>
            </w:r>
          </w:p>
        </w:tc>
        <w:tc>
          <w:tcPr>
            <w:tcW w:w="887" w:type="pct"/>
            <w:tcBorders>
              <w:top w:val="single" w:sz="4" w:space="0" w:color="010000"/>
            </w:tcBorders>
            <w:vAlign w:val="center"/>
          </w:tcPr>
          <w:p>
            <w:pPr>
              <w:jc w:val="left"/>
            </w:pPr>
            <w:r/>
            <w:r>
              <w:rPr>
                <w:rFonts w:hint="eastAsia"/>
                <w:color w:val="000000"/>
                <w:sz w:val="21"/>
              </w:rPr>
              <w:t>国泰君安国际（独家保荐）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港交所，2024年12月23日</w:t>
            </w:r>
          </w:p>
        </w:tc>
        <w:tc>
          <w:tcPr>
            <w:tcW w:w="887" w:type="pct"/>
            <w:tcBorders>
              <w:top w:val="single" w:sz="4" w:space="0" w:color="010000"/>
            </w:tcBorders>
            <w:vAlign w:val="center"/>
          </w:tcPr>
          <w:p>
            <w:pPr>
              <w:jc w:val="left"/>
            </w:pPr>
            <w:r/>
            <w:r>
              <w:rPr>
                <w:rFonts w:hint="eastAsia"/>
                <w:color w:val="000000"/>
                <w:sz w:val="21"/>
              </w:rPr>
              <w:t>国泰君安国际、农银国际（联席保荐）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招银国际融资（独家保荐）</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上市首日涨3.16%，市值超91亿港元；引入橡树资本、明山资本、嘉实、鼎晖、易方达等10家基石投资者。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上交所科创板，2026年7月2日注册生效，截至本报告核验日已完成注册并进入发行阶段，尚未挂牌</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表覆盖2020年以来发生首发上市、境外上市或发行定价等资本化事件、且与人形机器人产业链直接相关的企业。其中宇树科技截至本报告核验日（2026年8月10日）已完成注册并进入发行阶段，尚未正式挂牌；产业链中更早上市、本轮无新增资本化事件的公司另见表10。存在多地上市的，已在代码与上市地栏中一并列示；港股项目的保荐人以港交所招股章程封面载明的Sponsor为准，独家保荐与联席保荐已分别注明。</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已过会）、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保荐或辅导机构无公开披露渠道。</w:t>
      </w:r>
    </w:p>
    <w:p>
      <w:pPr>
        <w:pStyle w:val="a0"/>
      </w:pPr>
      <w:r>
        <w:rPr>
          <w:rFonts w:hint="eastAsia"/>
        </w:rPr>
        <w:t>对第三类企业，可通过股东穿透识别其券商系投资方作为参考——券商私募子公司或其管理的基金进入股东名册，通常意味着该券商与企业已有业务接触，未来承接保荐业务的可能性相对更高。但需要明确：券商系股东身份不等于保荐关系，二者不能相互推定，下表中已分列两栏。</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92"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758" w:type="pct"/>
            <w:tcBorders>
              <w:top w:val="single" w:sz="12" w:space="0" w:color="010000"/>
              <w:bottom w:val="single" w:sz="4" w:space="0" w:color="010000"/>
            </w:tcBorders>
            <w:vAlign w:val="center"/>
          </w:tcPr>
          <w:p>
            <w:pPr>
              <w:keepNext/>
              <w:jc w:val="center"/>
            </w:pPr>
            <w:r/>
            <w:r>
              <w:rPr>
                <w:rFonts w:hint="eastAsia"/>
                <w:b/>
                <w:color w:val="000000"/>
                <w:sz w:val="21"/>
              </w:rPr>
              <w:t>保荐/辅导机构</w:t>
            </w:r>
          </w:p>
        </w:tc>
        <w:tc>
          <w:tcPr>
            <w:tcW w:w="1326" w:type="pct"/>
            <w:tcBorders>
              <w:top w:val="single" w:sz="12" w:space="0" w:color="010000"/>
              <w:bottom w:val="single" w:sz="4" w:space="0" w:color="010000"/>
            </w:tcBorders>
            <w:vAlign w:val="center"/>
          </w:tcPr>
          <w:p>
            <w:pPr>
              <w:keepNext/>
              <w:jc w:val="center"/>
            </w:pPr>
            <w:r/>
            <w:r>
              <w:rPr>
                <w:rFonts w:hint="eastAsia"/>
                <w:b/>
                <w:color w:val="000000"/>
                <w:sz w:val="21"/>
              </w:rPr>
              <w:t>券商系股东或投资方（供参考，非保荐关系）</w:t>
            </w:r>
          </w:p>
        </w:tc>
        <w:tc>
          <w:tcPr>
            <w:tcW w:w="1439"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492" w:type="pct"/>
            <w:tcBorders>
              <w:top w:val="single" w:sz="4" w:space="0" w:color="010000"/>
            </w:tcBorders>
            <w:vAlign w:val="center"/>
          </w:tcPr>
          <w:p>
            <w:pPr>
              <w:jc w:val="left"/>
            </w:pPr>
            <w:r/>
            <w:r>
              <w:rPr>
                <w:rFonts w:hint="eastAsia"/>
                <w:color w:val="000000"/>
                <w:sz w:val="21"/>
              </w:rPr>
              <w:t>纽氏达特</w:t>
            </w:r>
          </w:p>
        </w:tc>
        <w:tc>
          <w:tcPr>
            <w:tcW w:w="985" w:type="pct"/>
            <w:tcBorders>
              <w:top w:val="single" w:sz="4" w:space="0" w:color="010000"/>
            </w:tcBorders>
            <w:vAlign w:val="center"/>
          </w:tcPr>
          <w:p>
            <w:pPr>
              <w:jc w:val="left"/>
            </w:pPr>
            <w:r/>
            <w:r>
              <w:rPr>
                <w:rFonts w:hint="eastAsia"/>
                <w:color w:val="000000"/>
                <w:sz w:val="21"/>
              </w:rPr>
              <w:t>已完成辅导备案（2025年12月3日）</w:t>
            </w:r>
          </w:p>
        </w:tc>
        <w:tc>
          <w:tcPr>
            <w:tcW w:w="758" w:type="pct"/>
            <w:tcBorders>
              <w:top w:val="single" w:sz="4" w:space="0" w:color="010000"/>
            </w:tcBorders>
            <w:vAlign w:val="center"/>
          </w:tcPr>
          <w:p>
            <w:pPr>
              <w:jc w:val="left"/>
            </w:pPr>
            <w:r/>
            <w:r>
              <w:rPr>
                <w:rFonts w:hint="eastAsia"/>
                <w:color w:val="000000"/>
                <w:sz w:val="21"/>
              </w:rPr>
              <w:t>东方证券（辅导机构）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492" w:type="pct"/>
            <w:tcBorders>
              <w:top w:val="single" w:sz="4" w:space="0" w:color="010000"/>
            </w:tcBorders>
            <w:vAlign w:val="center"/>
          </w:tcPr>
          <w:p>
            <w:pPr>
              <w:jc w:val="left"/>
            </w:pPr>
            <w:r/>
            <w:r>
              <w:rPr>
                <w:rFonts w:hint="eastAsia"/>
                <w:color w:val="000000"/>
                <w:sz w:val="21"/>
              </w:rPr>
              <w:t>天链机器人</w:t>
            </w:r>
          </w:p>
        </w:tc>
        <w:tc>
          <w:tcPr>
            <w:tcW w:w="985" w:type="pct"/>
            <w:tcBorders>
              <w:top w:val="single" w:sz="4" w:space="0" w:color="010000"/>
            </w:tcBorders>
            <w:vAlign w:val="center"/>
          </w:tcPr>
          <w:p>
            <w:pPr>
              <w:jc w:val="left"/>
            </w:pPr>
            <w:r/>
            <w:r>
              <w:rPr>
                <w:rFonts w:hint="eastAsia"/>
                <w:color w:val="000000"/>
                <w:sz w:val="21"/>
              </w:rPr>
              <w:t>科创板辅导中（第四期）</w:t>
            </w:r>
          </w:p>
        </w:tc>
        <w:tc>
          <w:tcPr>
            <w:tcW w:w="758" w:type="pct"/>
            <w:tcBorders>
              <w:top w:val="single" w:sz="4" w:space="0" w:color="010000"/>
            </w:tcBorders>
            <w:vAlign w:val="center"/>
          </w:tcPr>
          <w:p>
            <w:pPr>
              <w:jc w:val="left"/>
            </w:pPr>
            <w:r/>
            <w:r>
              <w:rPr>
                <w:rFonts w:hint="eastAsia"/>
                <w:color w:val="000000"/>
                <w:sz w:val="21"/>
              </w:rPr>
              <w:t>华安证券（辅导机构）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492" w:type="pct"/>
            <w:tcBorders>
              <w:top w:val="single" w:sz="4" w:space="0" w:color="010000"/>
            </w:tcBorders>
            <w:vAlign w:val="center"/>
          </w:tcPr>
          <w:p>
            <w:pPr>
              <w:jc w:val="left"/>
            </w:pPr>
            <w:r/>
            <w:r>
              <w:rPr>
                <w:rFonts w:hint="eastAsia"/>
                <w:color w:val="000000"/>
                <w:sz w:val="21"/>
              </w:rPr>
              <w:t>众擎机器人</w:t>
            </w:r>
          </w:p>
        </w:tc>
        <w:tc>
          <w:tcPr>
            <w:tcW w:w="985"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758" w:type="pct"/>
            <w:tcBorders>
              <w:top w:val="single" w:sz="4" w:space="0" w:color="010000"/>
            </w:tcBorders>
            <w:vAlign w:val="center"/>
          </w:tcPr>
          <w:p>
            <w:pPr>
              <w:jc w:val="left"/>
            </w:pPr>
            <w:r/>
            <w:r>
              <w:rPr>
                <w:rFonts w:hint="eastAsia"/>
                <w:color w:val="000000"/>
                <w:sz w:val="21"/>
              </w:rPr>
              <w:t>中金公司、中信证券（保荐机构）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PM01等中小尺寸双足人形机器人，售价8.8万元。B轮融资2亿美元，由河南投资集团旗下汇融基金与立讯精密联合领投，估值突破100亿元；与多伦科技签署2,000台三年期框架协议。</w:t>
            </w:r>
          </w:p>
        </w:tc>
      </w:tr>
      <w:tr>
        <w:trPr>
          <w:cantSplit/>
          <w:jc w:val="center"/>
        </w:trPr>
        <w:tc>
          <w:tcPr>
            <w:tcW w:w="492" w:type="pct"/>
            <w:tcBorders>
              <w:top w:val="single" w:sz="4" w:space="0" w:color="010000"/>
            </w:tcBorders>
            <w:vAlign w:val="center"/>
          </w:tcPr>
          <w:p>
            <w:pPr>
              <w:jc w:val="left"/>
            </w:pPr>
            <w:r/>
            <w:r>
              <w:rPr>
                <w:rFonts w:hint="eastAsia"/>
                <w:color w:val="000000"/>
                <w:sz w:val="21"/>
              </w:rPr>
              <w:t>傅利叶智能</w:t>
            </w:r>
          </w:p>
        </w:tc>
        <w:tc>
          <w:tcPr>
            <w:tcW w:w="985" w:type="pct"/>
            <w:tcBorders>
              <w:top w:val="single" w:sz="4" w:space="0" w:color="010000"/>
            </w:tcBorders>
            <w:vAlign w:val="center"/>
          </w:tcPr>
          <w:p>
            <w:pPr>
              <w:jc w:val="left"/>
            </w:pPr>
            <w:r/>
            <w:r>
              <w:rPr>
                <w:rFonts w:hint="eastAsia"/>
                <w:color w:val="000000"/>
                <w:sz w:val="21"/>
              </w:rPr>
              <w:t>2025年7月完成股改，已启动科创板上市辅导准备与申报</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w:t>
            </w:r>
          </w:p>
        </w:tc>
        <w:tc>
          <w:tcPr>
            <w:tcW w:w="1439"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492" w:type="pct"/>
            <w:tcBorders>
              <w:top w:val="single" w:sz="4" w:space="0" w:color="010000"/>
            </w:tcBorders>
            <w:vAlign w:val="center"/>
          </w:tcPr>
          <w:p>
            <w:pPr>
              <w:jc w:val="left"/>
            </w:pPr>
            <w:r/>
            <w:r>
              <w:rPr>
                <w:rFonts w:hint="eastAsia"/>
                <w:color w:val="000000"/>
                <w:sz w:val="21"/>
              </w:rPr>
              <w:t>银河通用</w:t>
            </w:r>
          </w:p>
        </w:tc>
        <w:tc>
          <w:tcPr>
            <w:tcW w:w="985" w:type="pct"/>
            <w:tcBorders>
              <w:top w:val="single" w:sz="4" w:space="0" w:color="010000"/>
            </w:tcBorders>
            <w:vAlign w:val="center"/>
          </w:tcPr>
          <w:p>
            <w:pPr>
              <w:jc w:val="left"/>
            </w:pPr>
            <w:r/>
            <w:r>
              <w:rPr>
                <w:rFonts w:hint="eastAsia"/>
                <w:color w:val="000000"/>
                <w:sz w:val="21"/>
              </w:rPr>
              <w:t>已完成股改，2026年3月完成新一轮融资并被业内视为Pre-IPO轮，计划2026年下半年递交港股申请</w:t>
            </w:r>
          </w:p>
        </w:tc>
        <w:tc>
          <w:tcPr>
            <w:tcW w:w="758"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1326" w:type="pct"/>
            <w:tcBorders>
              <w:top w:val="single" w:sz="4" w:space="0" w:color="010000"/>
            </w:tcBorders>
            <w:vAlign w:val="center"/>
          </w:tcPr>
          <w:p>
            <w:pPr>
              <w:jc w:val="left"/>
            </w:pPr>
            <w:r/>
            <w:r>
              <w:rPr>
                <w:rFonts w:hint="eastAsia"/>
                <w:color w:val="000000"/>
                <w:sz w:val="21"/>
              </w:rPr>
              <w:t>恒旭资本第四期旗舰基金（海通开元为该基金LP）间接持有</w:t>
            </w:r>
          </w:p>
        </w:tc>
        <w:tc>
          <w:tcPr>
            <w:tcW w:w="1439" w:type="pct"/>
            <w:tcBorders>
              <w:top w:val="single" w:sz="4" w:space="0" w:color="010000"/>
            </w:tcBorders>
            <w:vAlign w:val="center"/>
          </w:tcPr>
          <w:p>
            <w:pPr>
              <w:jc w:val="left"/>
            </w:pPr>
            <w:r/>
            <w:r>
              <w:rPr>
                <w:rFonts w:hint="eastAsia"/>
                <w:color w:val="000000"/>
                <w:sz w:val="21"/>
              </w:rPr>
              <w:t>轮式双臂人形机器人及具身智能大模型。2026年3月融资25亿元（国家大基金参与），累计融资额居国内具身智能领域首位，投后估值超200亿元。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星海图</w:t>
            </w:r>
          </w:p>
        </w:tc>
        <w:tc>
          <w:tcPr>
            <w:tcW w:w="985"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B+轮投资方含中金资本旗下基金；另有华登科技、蓝思科技、金融街资本、金浦投资、北京科创等</w:t>
            </w:r>
          </w:p>
        </w:tc>
        <w:tc>
          <w:tcPr>
            <w:tcW w:w="1439" w:type="pct"/>
            <w:tcBorders>
              <w:top w:val="single" w:sz="4" w:space="0" w:color="010000"/>
            </w:tcBorders>
            <w:vAlign w:val="center"/>
          </w:tcPr>
          <w:p>
            <w:pPr>
              <w:jc w:val="left"/>
            </w:pPr>
            <w:r/>
            <w:r>
              <w:rPr>
                <w:rFonts w:hint="eastAsia"/>
                <w:color w:val="000000"/>
                <w:sz w:val="21"/>
              </w:rPr>
              <w:t>具身智能整机及模型，成立于2023年9月；A轮由蚂蚁集团独家领投，高瓴创投、IDG资本、百度风投等参与；估值突破200亿元。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星动纪元</w:t>
            </w:r>
          </w:p>
        </w:tc>
        <w:tc>
          <w:tcPr>
            <w:tcW w:w="985" w:type="pct"/>
            <w:tcBorders>
              <w:top w:val="single" w:sz="4" w:space="0" w:color="010000"/>
            </w:tcBorders>
            <w:vAlign w:val="center"/>
          </w:tcPr>
          <w:p>
            <w:pPr>
              <w:jc w:val="left"/>
            </w:pPr>
            <w:r/>
            <w:r>
              <w:rPr>
                <w:rFonts w:hint="eastAsia"/>
                <w:color w:val="000000"/>
                <w:sz w:val="21"/>
              </w:rPr>
              <w:t>Pre-IPO轮融资25亿元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未见券商系股东的公开披露；主要投资方为联想创投、清流资本、源码资本、阿里巴巴、金鼎资本等</w:t>
            </w:r>
          </w:p>
        </w:tc>
        <w:tc>
          <w:tcPr>
            <w:tcW w:w="1439"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松延动力</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投资方含中金战新创业投资（鹤山）合伙企业、北京机器人产业发展投资基金</w:t>
            </w:r>
          </w:p>
        </w:tc>
        <w:tc>
          <w:tcPr>
            <w:tcW w:w="1439"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智平方</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投资方含中金资本、中信建投、国泰海通，以及招商局资本、洪泰资本、金沙江联合资本、博华资本、航信资本等</w:t>
            </w:r>
          </w:p>
        </w:tc>
        <w:tc>
          <w:tcPr>
            <w:tcW w:w="1439" w:type="pct"/>
            <w:tcBorders>
              <w:top w:val="single" w:sz="4" w:space="0" w:color="010000"/>
            </w:tcBorders>
            <w:vAlign w:val="center"/>
          </w:tcPr>
          <w:p>
            <w:pPr>
              <w:jc w:val="left"/>
            </w:pPr>
            <w:r/>
            <w:r>
              <w:rPr>
                <w:rFonts w:hint="eastAsia"/>
                <w:color w:val="000000"/>
                <w:sz w:val="21"/>
              </w:rPr>
              <w:t>AGI原生通用智能机器人。2026年2月完成超10亿元B轮，估值超100亿元；6月完成新一轮融资，估值超200亿元，为大湾区最大具身智能独角兽。</w:t>
            </w:r>
          </w:p>
        </w:tc>
      </w:tr>
      <w:tr>
        <w:trPr>
          <w:cantSplit/>
          <w:jc w:val="center"/>
        </w:trPr>
        <w:tc>
          <w:tcPr>
            <w:tcW w:w="492" w:type="pct"/>
            <w:tcBorders>
              <w:top w:val="single" w:sz="4" w:space="0" w:color="010000"/>
            </w:tcBorders>
            <w:vAlign w:val="center"/>
          </w:tcPr>
          <w:p>
            <w:pPr>
              <w:jc w:val="left"/>
            </w:pPr>
            <w:r/>
            <w:r>
              <w:rPr>
                <w:rFonts w:hint="eastAsia"/>
                <w:color w:val="000000"/>
                <w:sz w:val="21"/>
              </w:rPr>
              <w:t>首形科技</w:t>
            </w:r>
          </w:p>
        </w:tc>
        <w:tc>
          <w:tcPr>
            <w:tcW w:w="985"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A2轮跟投方含中信证券国际资本、国泰君安创新投；由中信金石与吉利资本联合领投</w:t>
            </w:r>
          </w:p>
        </w:tc>
        <w:tc>
          <w:tcPr>
            <w:tcW w:w="1439" w:type="pct"/>
            <w:tcBorders>
              <w:top w:val="single" w:sz="4" w:space="0" w:color="010000"/>
            </w:tcBorders>
            <w:vAlign w:val="center"/>
          </w:tcPr>
          <w:p>
            <w:pPr>
              <w:jc w:val="left"/>
            </w:pPr>
            <w:r/>
            <w:r>
              <w:rPr>
                <w:rFonts w:hint="eastAsia"/>
                <w:color w:val="000000"/>
                <w:sz w:val="21"/>
              </w:rPr>
              <w:t>超仿生类人机器人与仿生情感交互（以高仿真“脸”为核心）。</w:t>
            </w:r>
          </w:p>
        </w:tc>
      </w:tr>
      <w:tr>
        <w:trPr>
          <w:cantSplit/>
          <w:jc w:val="center"/>
        </w:trPr>
        <w:tc>
          <w:tcPr>
            <w:tcW w:w="492" w:type="pct"/>
            <w:tcBorders>
              <w:top w:val="single" w:sz="4" w:space="0" w:color="010000"/>
            </w:tcBorders>
            <w:vAlign w:val="center"/>
          </w:tcPr>
          <w:p>
            <w:pPr>
              <w:jc w:val="left"/>
            </w:pPr>
            <w:r/>
            <w:r>
              <w:rPr>
                <w:rFonts w:hint="eastAsia"/>
                <w:color w:val="000000"/>
                <w:sz w:val="21"/>
              </w:rPr>
              <w:t>魔法原子</w:t>
            </w:r>
          </w:p>
        </w:tc>
        <w:tc>
          <w:tcPr>
            <w:tcW w:w="985" w:type="pct"/>
            <w:tcBorders>
              <w:top w:val="single" w:sz="4" w:space="0" w:color="010000"/>
            </w:tcBorders>
            <w:vAlign w:val="center"/>
          </w:tcPr>
          <w:p>
            <w:pPr>
              <w:jc w:val="left"/>
            </w:pPr>
            <w:r/>
            <w:r>
              <w:rPr>
                <w:rFonts w:hint="eastAsia"/>
                <w:color w:val="000000"/>
                <w:sz w:val="21"/>
              </w:rPr>
              <w:t>推进上市进程</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未见券商系股东的公开披露；由魔法工场（无锡）科技有限公司全资持股</w:t>
            </w:r>
          </w:p>
        </w:tc>
        <w:tc>
          <w:tcPr>
            <w:tcW w:w="1439"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港交所披露文件；公开融资报道及企业工商信息。“券商系股东或投资方”一栏系通过股东穿透与融资报道整理，仅反映券商与企业已有股权层面的接触，不代表已建立保荐或辅导关系，两者不可相互推定；标注“尚未公开披露”的企业均为仅完成股份制改造、尚未在证监局办理辅导备案且未向交易所递表，法定程序尚未启动。</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按发行价对应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港交所，2023年12月29日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港交所，2024年12月23日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国泰君安国际（与农银国际）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r>
        <w:trPr>
          <w:cantSplit/>
          <w:jc w:val="center"/>
        </w:trPr>
        <w:tc>
          <w:tcPr>
            <w:tcW w:w="870" w:type="pct"/>
            <w:tcBorders>
              <w:top w:val="single" w:sz="4" w:space="0" w:color="010000"/>
            </w:tcBorders>
            <w:vAlign w:val="center"/>
          </w:tcPr>
          <w:p>
            <w:pPr>
              <w:jc w:val="left"/>
            </w:pPr>
            <w:r/>
            <w:r>
              <w:rPr>
                <w:rFonts w:hint="eastAsia"/>
                <w:color w:val="000000"/>
                <w:sz w:val="21"/>
              </w:rPr>
              <w:t>卧安机器人</w:t>
            </w:r>
          </w:p>
        </w:tc>
        <w:tc>
          <w:tcPr>
            <w:tcW w:w="761" w:type="pct"/>
            <w:tcBorders>
              <w:top w:val="single" w:sz="4" w:space="0" w:color="010000"/>
            </w:tcBorders>
            <w:vAlign w:val="center"/>
          </w:tcPr>
          <w:p>
            <w:pPr>
              <w:jc w:val="left"/>
            </w:pPr>
            <w:r/>
            <w:r>
              <w:rPr>
                <w:rFonts w:hint="eastAsia"/>
                <w:color w:val="000000"/>
                <w:sz w:val="21"/>
              </w:rPr>
              <w:t>—</w:t>
            </w:r>
          </w:p>
        </w:tc>
        <w:tc>
          <w:tcPr>
            <w:tcW w:w="1196" w:type="pct"/>
            <w:tcBorders>
              <w:top w:val="single" w:sz="4" w:space="0" w:color="010000"/>
            </w:tcBorders>
            <w:vAlign w:val="center"/>
          </w:tcPr>
          <w:p>
            <w:pPr>
              <w:jc w:val="left"/>
            </w:pPr>
            <w:r/>
            <w:r>
              <w:rPr>
                <w:rFonts w:hint="eastAsia"/>
                <w:color w:val="000000"/>
                <w:sz w:val="21"/>
              </w:rPr>
              <w:t>港交所主板，2026年上市，集资规模约16.4亿港元</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70" w:type="pct"/>
            <w:tcBorders>
              <w:top w:val="single" w:sz="4" w:space="0" w:color="010000"/>
            </w:tcBorders>
            <w:vAlign w:val="center"/>
          </w:tcPr>
          <w:p>
            <w:pPr>
              <w:jc w:val="left"/>
            </w:pPr>
            <w:r/>
            <w:r>
              <w:rPr>
                <w:rFonts w:hint="eastAsia"/>
                <w:color w:val="000000"/>
                <w:sz w:val="21"/>
              </w:rPr>
              <w:t>国茂股份</w:t>
            </w:r>
          </w:p>
        </w:tc>
        <w:tc>
          <w:tcPr>
            <w:tcW w:w="761" w:type="pct"/>
            <w:tcBorders>
              <w:top w:val="single" w:sz="4" w:space="0" w:color="010000"/>
            </w:tcBorders>
            <w:vAlign w:val="center"/>
          </w:tcPr>
          <w:p>
            <w:pPr>
              <w:jc w:val="left"/>
            </w:pPr>
            <w:r/>
            <w:r>
              <w:rPr>
                <w:rFonts w:hint="eastAsia"/>
                <w:color w:val="000000"/>
                <w:sz w:val="21"/>
              </w:rPr>
              <w:t>603915.SH</w:t>
            </w:r>
          </w:p>
        </w:tc>
        <w:tc>
          <w:tcPr>
            <w:tcW w:w="1196" w:type="pct"/>
            <w:tcBorders>
              <w:top w:val="single" w:sz="4" w:space="0" w:color="010000"/>
            </w:tcBorders>
            <w:vAlign w:val="center"/>
          </w:tcPr>
          <w:p>
            <w:pPr>
              <w:jc w:val="left"/>
            </w:pPr>
            <w:r/>
            <w:r>
              <w:rPr>
                <w:rFonts w:hint="eastAsia"/>
                <w:color w:val="000000"/>
                <w:sz w:val="21"/>
              </w:rPr>
              <w:t>上交所主板，2019年6月14日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伟创电气</w:t>
            </w:r>
          </w:p>
        </w:tc>
        <w:tc>
          <w:tcPr>
            <w:tcW w:w="761" w:type="pct"/>
            <w:tcBorders>
              <w:top w:val="single" w:sz="4" w:space="0" w:color="010000"/>
            </w:tcBorders>
            <w:vAlign w:val="center"/>
          </w:tcPr>
          <w:p>
            <w:pPr>
              <w:jc w:val="left"/>
            </w:pPr>
            <w:r/>
            <w:r>
              <w:rPr>
                <w:rFonts w:hint="eastAsia"/>
                <w:color w:val="000000"/>
                <w:sz w:val="21"/>
              </w:rPr>
              <w:t>688698.SH</w:t>
            </w:r>
          </w:p>
        </w:tc>
        <w:tc>
          <w:tcPr>
            <w:tcW w:w="1196" w:type="pct"/>
            <w:tcBorders>
              <w:top w:val="single" w:sz="4" w:space="0" w:color="010000"/>
            </w:tcBorders>
            <w:vAlign w:val="center"/>
          </w:tcPr>
          <w:p>
            <w:pPr>
              <w:jc w:val="left"/>
            </w:pPr>
            <w:r/>
            <w:r>
              <w:rPr>
                <w:rFonts w:hint="eastAsia"/>
                <w:color w:val="000000"/>
                <w:sz w:val="21"/>
              </w:rPr>
              <w:t>科创板，2020年12月29日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丰立智能</w:t>
            </w:r>
          </w:p>
        </w:tc>
        <w:tc>
          <w:tcPr>
            <w:tcW w:w="761" w:type="pct"/>
            <w:tcBorders>
              <w:top w:val="single" w:sz="4" w:space="0" w:color="010000"/>
            </w:tcBorders>
            <w:vAlign w:val="center"/>
          </w:tcPr>
          <w:p>
            <w:pPr>
              <w:jc w:val="left"/>
            </w:pPr>
            <w:r/>
            <w:r>
              <w:rPr>
                <w:rFonts w:hint="eastAsia"/>
                <w:color w:val="000000"/>
                <w:sz w:val="21"/>
              </w:rPr>
              <w:t>301368.SZ</w:t>
            </w:r>
          </w:p>
        </w:tc>
        <w:tc>
          <w:tcPr>
            <w:tcW w:w="1196" w:type="pct"/>
            <w:tcBorders>
              <w:top w:val="single" w:sz="4" w:space="0" w:color="010000"/>
            </w:tcBorders>
            <w:vAlign w:val="center"/>
          </w:tcPr>
          <w:p>
            <w:pPr>
              <w:jc w:val="left"/>
            </w:pPr>
            <w:r/>
            <w:r>
              <w:rPr>
                <w:rFonts w:hint="eastAsia"/>
                <w:color w:val="000000"/>
                <w:sz w:val="21"/>
              </w:rPr>
              <w:t>创业板，2022年12月15日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国泰君安（现国泰海通，其2025年度定增亦由国泰海通保荐）</w:t>
            </w:r>
          </w:p>
        </w:tc>
      </w:tr>
      <w:tr>
        <w:trPr>
          <w:cantSplit/>
          <w:jc w:val="center"/>
        </w:trPr>
        <w:tc>
          <w:tcPr>
            <w:tcW w:w="870" w:type="pct"/>
            <w:tcBorders>
              <w:top w:val="single" w:sz="4" w:space="0" w:color="010000"/>
            </w:tcBorders>
            <w:vAlign w:val="center"/>
          </w:tcPr>
          <w:p>
            <w:pPr>
              <w:jc w:val="left"/>
            </w:pPr>
            <w:r/>
            <w:r>
              <w:rPr>
                <w:rFonts w:hint="eastAsia"/>
                <w:color w:val="000000"/>
                <w:sz w:val="21"/>
              </w:rPr>
              <w:t>永贵电器</w:t>
            </w:r>
          </w:p>
        </w:tc>
        <w:tc>
          <w:tcPr>
            <w:tcW w:w="761" w:type="pct"/>
            <w:tcBorders>
              <w:top w:val="single" w:sz="4" w:space="0" w:color="010000"/>
            </w:tcBorders>
            <w:vAlign w:val="center"/>
          </w:tcPr>
          <w:p>
            <w:pPr>
              <w:jc w:val="left"/>
            </w:pPr>
            <w:r/>
            <w:r>
              <w:rPr>
                <w:rFonts w:hint="eastAsia"/>
                <w:color w:val="000000"/>
                <w:sz w:val="21"/>
              </w:rPr>
              <w:t>300351.SZ</w:t>
            </w:r>
          </w:p>
        </w:tc>
        <w:tc>
          <w:tcPr>
            <w:tcW w:w="1196" w:type="pct"/>
            <w:tcBorders>
              <w:top w:val="single" w:sz="4" w:space="0" w:color="010000"/>
            </w:tcBorders>
            <w:vAlign w:val="center"/>
          </w:tcPr>
          <w:p>
            <w:pPr>
              <w:jc w:val="left"/>
            </w:pPr>
            <w:r/>
            <w:r>
              <w:rPr>
                <w:rFonts w:hint="eastAsia"/>
                <w:color w:val="000000"/>
                <w:sz w:val="21"/>
              </w:rPr>
              <w:t>创业板，2012年9月20日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bl>
    <w:p>
      <w:pPr>
        <w:pStyle w:val="a6"/>
        <w:jc w:val="center"/>
      </w:pPr>
      <w:r>
        <w:rPr>
          <w:rFonts w:hint="eastAsia"/>
          <w:sz w:val="11"/>
          <w:szCs w:val="11"/>
        </w:rPr>
        <w:t>数据来源：委托方提供的Wind整理成果；上交所、深交所、北交所、港交所公开披露文件。本轮补充国茂股份、伟创电气、丰立智能、永贵电器四家合并前项目及已完成上市的卧安机器人，此前已补三瑞智能。其中永贵电器的保荐机构以委托方提供口径列示，未从公开渠道核到发行时的保荐主体名称，建议以招股说明书封面复核。</w:t>
      </w:r>
    </w:p>
    <w:p>
      <w:pPr>
        <w:pStyle w:val="3"/>
        <w:numPr>
          <w:ilvl w:val="0"/>
          <w:numId w:val="0"/>
        </w:numPr>
        <w:spacing w:before="156" w:after="156"/>
      </w:pPr>
      <w:bookmarkStart w:id="1040" w:name="_Toc900040"/>
      <w:r>
        <w:rPr>
          <w:rFonts w:hint="eastAsia"/>
        </w:rPr>
        <w:t>7.2 正在保荐、在审或辅导中的公司</w:t>
      </w:r>
      <w:bookmarkEnd w:id="1040"/>
    </w:p>
    <w:p>
      <w:pPr>
        <w:pStyle w:val="a0"/>
      </w:pPr>
      <w:r>
        <w:rPr>
          <w:rFonts w:hint="eastAsia"/>
        </w:rPr>
        <w:t>该组项目需区分两类：越疆科技（A股）、卡诺普机器人、斯坦德机器人属于首发上市项目，智谱、镭神技术属于上市辅导，二者构成IPO储备；金道科技的可转换公司债券发行与晋拓股份的向特定对象发行股票（定增）属于上市公司再融资项目，不计入IPO储备。下表已在“事项”一栏分别注明。</w:t>
      </w:r>
    </w:p>
    <w:p>
      <w:pPr>
        <w:keepNext/>
        <w:jc w:val="center"/>
      </w:pPr>
      <w:r>
        <w:rPr>
          <w:rFonts w:hint="eastAsia"/>
          <w:b/>
          <w:sz w:val="21"/>
        </w:rPr>
        <w:t>表14  国泰海通系正在保荐、在审或辅导的相关公司（含IPO与再融资两类）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创业板IPO（H股回A，首发上市）</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港交所18C上市（首发上市）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斯坦德机器人</w:t>
            </w:r>
          </w:p>
        </w:tc>
        <w:tc>
          <w:tcPr>
            <w:tcW w:w="1122" w:type="pct"/>
            <w:tcBorders>
              <w:top w:val="single" w:sz="4" w:space="0" w:color="010000"/>
            </w:tcBorders>
            <w:vAlign w:val="center"/>
          </w:tcPr>
          <w:p>
            <w:pPr>
              <w:jc w:val="left"/>
            </w:pPr>
            <w:r/>
            <w:r>
              <w:rPr>
                <w:rFonts w:hint="eastAsia"/>
                <w:color w:val="000000"/>
                <w:sz w:val="21"/>
              </w:rPr>
              <w:t>港交所上市（首发上市）</w:t>
            </w:r>
          </w:p>
        </w:tc>
        <w:tc>
          <w:tcPr>
            <w:tcW w:w="1327" w:type="pct"/>
            <w:tcBorders>
              <w:top w:val="single" w:sz="4" w:space="0" w:color="010000"/>
            </w:tcBorders>
            <w:vAlign w:val="center"/>
          </w:tcPr>
          <w:p>
            <w:pPr>
              <w:jc w:val="left"/>
            </w:pPr>
            <w:r/>
            <w:r>
              <w:rPr>
                <w:rFonts w:hint="eastAsia"/>
                <w:color w:val="000000"/>
                <w:sz w:val="21"/>
              </w:rPr>
              <w:t>2026年6月23日首次递表，2026年7月27日重新递表</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国泰海通（与中信证券）</w:t>
            </w:r>
          </w:p>
        </w:tc>
      </w:tr>
      <w:tr>
        <w:trPr>
          <w:cantSplit/>
          <w:jc w:val="center"/>
        </w:trPr>
        <w:tc>
          <w:tcPr>
            <w:tcW w:w="816" w:type="pct"/>
            <w:tcBorders>
              <w:top w:val="single" w:sz="4" w:space="0" w:color="010000"/>
            </w:tcBorders>
            <w:vAlign w:val="center"/>
          </w:tcPr>
          <w:p>
            <w:pPr>
              <w:jc w:val="left"/>
            </w:pPr>
            <w:r/>
            <w:r>
              <w:rPr>
                <w:rFonts w:hint="eastAsia"/>
                <w:color w:val="000000"/>
                <w:sz w:val="21"/>
              </w:rPr>
              <w:t>金道科技</w:t>
            </w:r>
          </w:p>
        </w:tc>
        <w:tc>
          <w:tcPr>
            <w:tcW w:w="1122" w:type="pct"/>
            <w:tcBorders>
              <w:top w:val="single" w:sz="4" w:space="0" w:color="010000"/>
            </w:tcBorders>
            <w:vAlign w:val="center"/>
          </w:tcPr>
          <w:p>
            <w:pPr>
              <w:jc w:val="left"/>
            </w:pPr>
            <w:r/>
            <w:r>
              <w:rPr>
                <w:rFonts w:hint="eastAsia"/>
                <w:color w:val="000000"/>
                <w:sz w:val="21"/>
              </w:rPr>
              <w:t>可转换公司债券发行（再融资）</w:t>
            </w:r>
          </w:p>
        </w:tc>
        <w:tc>
          <w:tcPr>
            <w:tcW w:w="1327" w:type="pct"/>
            <w:tcBorders>
              <w:top w:val="single" w:sz="4" w:space="0" w:color="010000"/>
            </w:tcBorders>
            <w:vAlign w:val="center"/>
          </w:tcPr>
          <w:p>
            <w:pPr>
              <w:jc w:val="left"/>
            </w:pPr>
            <w:r/>
            <w:r>
              <w:rPr>
                <w:rFonts w:hint="eastAsia"/>
                <w:color w:val="000000"/>
                <w:sz w:val="21"/>
              </w:rPr>
              <w:t>在审</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向特定对象发行股票（定增，再融资）</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A股IPO辅导（IPO储备）</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镭神技术（弱相关，上游设备）</w:t>
            </w:r>
          </w:p>
        </w:tc>
        <w:tc>
          <w:tcPr>
            <w:tcW w:w="1122" w:type="pct"/>
            <w:tcBorders>
              <w:top w:val="single" w:sz="4" w:space="0" w:color="010000"/>
            </w:tcBorders>
            <w:vAlign w:val="center"/>
          </w:tcPr>
          <w:p>
            <w:pPr>
              <w:jc w:val="left"/>
            </w:pPr>
            <w:r/>
            <w:r>
              <w:rPr>
                <w:rFonts w:hint="eastAsia"/>
                <w:color w:val="000000"/>
                <w:sz w:val="21"/>
              </w:rPr>
              <w:t>A股IPO辅导（IPO储备）</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金道科技主营齿轮传动部件，与关节模组的传动环节相关；晋拓股份为铝合金精密压铸件企业，已服务UR、云迹、节卡等协作机器人厂商并布局人形机器人零部件；智谱为人工智能大模型企业，与具身智能“大脑”层相关；镭神技术主营光通信与半导体精密装备，属上游设备、与机器人产业链弱相关，列出以反映国泰海通在精密制造领域的辅导布局。</w:t>
      </w:r>
    </w:p>
    <w:p>
      <w:pPr>
        <w:pStyle w:val="3"/>
        <w:numPr>
          <w:ilvl w:val="0"/>
          <w:numId w:val="0"/>
        </w:numPr>
        <w:spacing w:before="156" w:after="156"/>
      </w:pPr>
      <w:bookmarkStart w:id="1041" w:name="_Toc900041"/>
      <w:r>
        <w:rPr>
          <w:rFonts w:hint="eastAsia"/>
        </w:rPr>
        <w:t>7.3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7.4 股权投资与产业基金</w:t>
      </w:r>
      <w:bookmarkEnd w:id="1042"/>
    </w:p>
    <w:p>
      <w:pPr>
        <w:pStyle w:val="a0"/>
      </w:pPr>
      <w:r>
        <w:rPr>
          <w:rFonts w:hint="eastAsia"/>
        </w:rPr>
        <w:t>需先说明投资主体的沿革：2026年6月30日，海通创新证券投资有限公司吸收合并国泰君安证裕投资有限公司并更名为国泰海通证裕投资有限公司；海通开元投资有限公司与国泰君安创新投资有限公司的整合亦已启动。下表中的投资主体按交易发生时的名称列示，不作追溯调整。</w:t>
      </w:r>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IPO跟投（待核实）</w:t>
            </w:r>
          </w:p>
        </w:tc>
        <w:tc>
          <w:tcPr>
            <w:tcW w:w="2034" w:type="pct"/>
            <w:tcBorders>
              <w:top w:val="single" w:sz="4" w:space="0" w:color="010000"/>
            </w:tcBorders>
            <w:vAlign w:val="center"/>
          </w:tcPr>
          <w:p>
            <w:pPr>
              <w:jc w:val="left"/>
            </w:pPr>
            <w:r/>
            <w:r>
              <w:rPr>
                <w:rFonts w:hint="eastAsia"/>
                <w:color w:val="000000"/>
                <w:sz w:val="21"/>
              </w:rPr>
              <w:t>该项跟投未从交易所发行公告或公司公告中核到，暂列为待核实事项，正式使用前需以发行结果公告的战略配售名单复核。</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恒旭资本（直接投资）；海通开元、国泰君安证裕通过恒旭基金LP份额形成间接敞口</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间接敞口</w:t>
            </w:r>
          </w:p>
        </w:tc>
        <w:tc>
          <w:tcPr>
            <w:tcW w:w="2034" w:type="pct"/>
            <w:tcBorders>
              <w:top w:val="single" w:sz="4" w:space="0" w:color="010000"/>
            </w:tcBorders>
            <w:vAlign w:val="center"/>
          </w:tcPr>
          <w:p>
            <w:pPr>
              <w:jc w:val="left"/>
            </w:pPr>
            <w:r/>
            <w:r>
              <w:rPr>
                <w:rFonts w:hint="eastAsia"/>
                <w:color w:val="000000"/>
                <w:sz w:val="21"/>
              </w:rPr>
              <w:t>穿透比例未披露。轮式双臂人形机器人及具身智能大模型，投后估值超200亿元。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灵猴机器人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2026年</w:t>
            </w:r>
          </w:p>
        </w:tc>
        <w:tc>
          <w:tcPr>
            <w:tcW w:w="678" w:type="pct"/>
            <w:tcBorders>
              <w:top w:val="single" w:sz="4" w:space="0" w:color="010000"/>
            </w:tcBorders>
            <w:vAlign w:val="center"/>
          </w:tcPr>
          <w:p>
            <w:pPr>
              <w:jc w:val="left"/>
            </w:pPr>
            <w:r/>
            <w:r>
              <w:rPr>
                <w:rFonts w:hint="eastAsia"/>
                <w:color w:val="000000"/>
                <w:sz w:val="21"/>
              </w:rPr>
              <w:t>B轮及B+轮</w:t>
            </w:r>
          </w:p>
        </w:tc>
        <w:tc>
          <w:tcPr>
            <w:tcW w:w="2034" w:type="pct"/>
            <w:tcBorders>
              <w:top w:val="single" w:sz="4" w:space="0" w:color="010000"/>
            </w:tcBorders>
            <w:vAlign w:val="center"/>
          </w:tcPr>
          <w:p>
            <w:pPr>
              <w:jc w:val="left"/>
            </w:pPr>
            <w:r/>
            <w:r>
              <w:rPr>
                <w:rFonts w:hint="eastAsia"/>
                <w:color w:val="000000"/>
                <w:sz w:val="21"/>
              </w:rPr>
              <w:t>具身智能核心零部件。</w:t>
            </w:r>
          </w:p>
        </w:tc>
      </w:tr>
      <w:tr>
        <w:trPr>
          <w:cantSplit/>
          <w:jc w:val="center"/>
        </w:trPr>
        <w:tc>
          <w:tcPr>
            <w:tcW w:w="763" w:type="pct"/>
            <w:tcBorders>
              <w:top w:val="single" w:sz="4" w:space="0" w:color="010000"/>
            </w:tcBorders>
            <w:vAlign w:val="center"/>
          </w:tcPr>
          <w:p>
            <w:pPr>
              <w:jc w:val="left"/>
            </w:pPr>
            <w:r/>
            <w:r>
              <w:rPr>
                <w:rFonts w:hint="eastAsia"/>
                <w:color w:val="000000"/>
                <w:sz w:val="21"/>
              </w:rPr>
              <w:t>赛那德</w:t>
            </w:r>
          </w:p>
        </w:tc>
        <w:tc>
          <w:tcPr>
            <w:tcW w:w="1017" w:type="pct"/>
            <w:tcBorders>
              <w:top w:val="single" w:sz="4" w:space="0" w:color="010000"/>
            </w:tcBorders>
            <w:vAlign w:val="center"/>
          </w:tcPr>
          <w:p>
            <w:pPr>
              <w:jc w:val="left"/>
            </w:pPr>
            <w:r/>
            <w:r>
              <w:rPr>
                <w:rFonts w:hint="eastAsia"/>
                <w:color w:val="000000"/>
                <w:sz w:val="21"/>
              </w:rPr>
              <w:t>海通开元</w:t>
            </w:r>
          </w:p>
        </w:tc>
        <w:tc>
          <w:tcPr>
            <w:tcW w:w="508" w:type="pct"/>
            <w:tcBorders>
              <w:top w:val="single" w:sz="4" w:space="0" w:color="010000"/>
            </w:tcBorders>
            <w:vAlign w:val="center"/>
          </w:tcPr>
          <w:p>
            <w:pPr>
              <w:jc w:val="left"/>
            </w:pPr>
            <w:r/>
            <w:r>
              <w:rPr>
                <w:rFonts w:hint="eastAsia"/>
                <w:color w:val="000000"/>
                <w:sz w:val="21"/>
              </w:rPr>
              <w:t>2026年6月</w:t>
            </w:r>
          </w:p>
        </w:tc>
        <w:tc>
          <w:tcPr>
            <w:tcW w:w="678" w:type="pct"/>
            <w:tcBorders>
              <w:top w:val="single" w:sz="4" w:space="0" w:color="010000"/>
            </w:tcBorders>
            <w:vAlign w:val="center"/>
          </w:tcPr>
          <w:p>
            <w:pPr>
              <w:jc w:val="left"/>
            </w:pPr>
            <w:r/>
            <w:r>
              <w:rPr>
                <w:rFonts w:hint="eastAsia"/>
                <w:color w:val="000000"/>
                <w:sz w:val="21"/>
              </w:rPr>
              <w:t>C轮</w:t>
            </w:r>
          </w:p>
        </w:tc>
        <w:tc>
          <w:tcPr>
            <w:tcW w:w="2034" w:type="pct"/>
            <w:tcBorders>
              <w:top w:val="single" w:sz="4" w:space="0" w:color="010000"/>
            </w:tcBorders>
            <w:vAlign w:val="center"/>
          </w:tcPr>
          <w:p>
            <w:pPr>
              <w:jc w:val="left"/>
            </w:pPr>
            <w:r/>
            <w:r>
              <w:rPr>
                <w:rFonts w:hint="eastAsia"/>
                <w:color w:val="000000"/>
                <w:sz w:val="21"/>
              </w:rPr>
              <w:t>物流具身智能机器人。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轮补充灵猴机器人、赛那德两家，并对宇树科技的IPO跟投改列为待核实、对银河通用的持有方式按直接投资与LP间接敞口作了区分。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上海国投先导；国泰君安证裕出资2.5亿元、海通创新证券投资出资2.5亿元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两点：一是上述基金多为综合性股权投资基金，机器人仅为其投资方向之一，各只基金的规模不宜简单加总视为对机器人产业链的投入金额；二是基金的管理人与出资主体按设立或备案时的名称列示，其中国泰君安证裕投资已于2026年6月30日被海通创新证券投资吸收合并并更名为国泰海通证裕投资。</w:t>
      </w:r>
    </w:p>
    <w:p>
      <w:pPr>
        <w:pStyle w:val="3"/>
        <w:numPr>
          <w:ilvl w:val="0"/>
          <w:numId w:val="0"/>
        </w:numPr>
        <w:spacing w:before="156" w:after="156"/>
      </w:pPr>
      <w:bookmarkStart w:id="1043" w:name="_Toc900043"/>
      <w:r>
        <w:rPr>
          <w:rFonts w:hint="eastAsia"/>
        </w:rPr>
        <w:t>7.5 关联全景与小结</w:t>
      </w:r>
      <w:bookmarkEnd w:id="1043"/>
    </w:p>
    <w:p>
      <w:pPr>
        <w:pStyle w:val="a0"/>
      </w:pPr>
      <w:r>
        <w:rPr>
          <w:rFonts w:hint="eastAsia"/>
        </w:rPr>
        <w:t>国泰海通系在本产业链已保荐上市13家，在审或辅导中的项目7个（其中首发上市与上市辅导5个、上市公司再融资2个），曾保荐但终止1家，股权投资参股9家，并通过7只产业基金形成覆盖。保荐项目覆盖上游核心零部件（绿的谐波、步科股份、新睿电子、三瑞智能、晋拓股份、国茂股份、伟创电气、丰立智能、永贵电器、金道科技）与中游本体及感知（优必选、越疆科技、乐动机器人、珞石机器人、卡诺普、卧安机器人、斯坦德机器人），其中优必选与卡诺普为独家保荐，投资侧集中于整机、核心零部件与具身智能（智元、智平方、首形科技、灵猴机器人、赛那德、飒智智能、银河通用等）。</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12,000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表示已打破国外品牌在机器人谐波减速器领域的长期垄断，并已布局非金属谐波减速器。</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相比传统位置控制型工业机器人，人形机器人在非结构化环境中对全身力控、柔顺控制和接触感知提出了更高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需要说明的是，全栈自研本身并不等同于竞争优势，其价值最终取决于能否转化为更低成本、更轻重量、更高扭矩密度、更高可靠性或更快的客户开发效率；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的数据来源分五类：一是交易所与监管机构的公开披露文件，包括上交所、深交所、北交所、港交所的招股说明书、发行保荐书、受理与问询公告，以及中国证监会和各地证监局的辅导备案公示；二是上市公司的定期报告与公告；三是第三方专业机构的行业统计，主要为新战略咨询与人形机器人场景应用联盟、高工机器人（GGII）、北京赛迪出版传媒与中国电子报、觅途咨询、MIR DATABANK，以及中商产业研究院、摩根士丹利、高盛的预测；四是政府部门与官方媒体发布的政策与产业信息；五是企业官网、展会资料与行业媒体报道。第六、七章的资本化进度与券商关联内容，以委托方提供的、基于Wind金融数据库整理的成果为基础框架，经上述公开文件逐条复核后补充完善。</w:t>
      </w:r>
    </w:p>
    <w:p>
      <w:pPr>
        <w:pStyle w:val="a0"/>
      </w:pPr>
      <w:r>
        <w:rPr>
          <w:rFonts w:hint="eastAsia"/>
        </w:rPr>
        <w:t>关于口径需提示三点。第一，人形机器人出货量尚无统一统计标准，本报告并列使用三套口径并逐项标注来源：新战略咨询与人形机器人场景应用联盟口径为2025年中国出货约2万台，GGII口径为约1.8万台，赛迪口径为全球约1.7万台、中国企业约1.44万台；三者统计边界不同，不可直接比较。谐波减速器的份额数据统一采用GGII《全球谐波减速器市场“沉浮录”》口径。第二，未上市企业的经营数据与估值均来自公开报道，未经审计核验；估值为融资后估值或发行公告口径，不代表实际交易定价。第三，图表中的轧差与倒算数据（如2024年出货量、工业物流场景占比）已在对应图注中标明计算过程。</w:t>
      </w:r>
    </w:p>
    <w:p>
      <w:pPr>
        <w:pStyle w:val="a0"/>
      </w:pPr>
      <w:r>
        <w:rPr>
          <w:rFonts w:hint="eastAsia"/>
        </w:rPr>
        <w:t>本报告产业与市场数据核验至2026年8月7日，资本化进度与券商关联内容核验至2026年8月10日。逐条数据来源、口径对照与复核修正记录另见配套文件《中国人形机器人产业链研究_数据来源清单.xlsx》与《中国人形机器人产业链研究_图表数据底稿.xlsx》。</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