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产品与技术的可核验信息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7"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_Toc900007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1"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_Toc900011 \h </w:instrText>
            </w:r>
            <w:r>
              <w:rPr>
                <w:webHidden/>
                <w:noProof/>
                <w:sz w:val="24"/>
                <w:szCs w:val="24"/>
              </w:rPr>
              <w:fldChar w:fldCharType="separate"/>
            </w:r>
            <w:r>
              <w:rPr>
                <w:webHidden/>
                <w:noProof/>
                <w:sz w:val="24"/>
                <w:szCs w:val="24"/>
              </w:rPr>
              <w:t>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5"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_Toc900015 \h </w:instrText>
            </w:r>
            <w:r>
              <w:rPr>
                <w:webHidden/>
                <w:noProof/>
                <w:sz w:val="24"/>
                <w:szCs w:val="24"/>
              </w:rPr>
              <w:fldChar w:fldCharType="separate"/>
            </w:r>
            <w:r>
              <w:rPr>
                <w:webHidden/>
                <w:noProof/>
                <w:sz w:val="24"/>
                <w:szCs w:val="24"/>
              </w:rPr>
              <w:t>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9"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_Toc900029 \h </w:instrText>
            </w:r>
            <w:r>
              <w:rPr>
                <w:webHidden/>
                <w:noProof/>
                <w:sz w:val="24"/>
                <w:szCs w:val="24"/>
              </w:rPr>
              <w:fldChar w:fldCharType="separate"/>
            </w:r>
            <w:r>
              <w:rPr>
                <w:webHidden/>
                <w:noProof/>
                <w:sz w:val="24"/>
                <w:szCs w:val="24"/>
              </w:rPr>
              <w:t>18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3"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_Toc900033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资金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公司未公开披露各产品的材料牌号与工艺路线，下表右两列为同类产品在公开披露中的通行材料与工艺，系本报告依据托伦斯与臻宝科技招股说明书对同类部件的描述归纳，公司实际采用的材料与工艺需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keepNext/>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3"/>
        <w:numPr>
          <w:ilvl w:val="0"/>
          <w:numId w:val="0"/>
        </w:numPr>
        <w:spacing w:before="156" w:after="156"/>
      </w:pPr>
      <w:bookmarkStart w:id="1003" w:name="_Toc900003"/>
      <w:r>
        <w:rPr>
          <w:rFonts w:hint="eastAsia"/>
        </w:rPr>
        <w:t>1.3 产品与技术的可核验信息</w:t>
      </w:r>
      <w:bookmarkEnd w:id="1003"/>
    </w:p>
    <w:p>
      <w:pPr>
        <w:pStyle w:val="a0"/>
      </w:pPr>
      <w:r>
        <w:rPr>
          <w:rFonts w:hint="eastAsia"/>
        </w:rPr>
        <w:t>第一，产品型号按适配机型命名。官网精密气体喷头栏目列示的三个型号，均以设备厂商名称、平台名称与300mm制程标注，而非按公司自定的规格编号，即产品需与特定机型的既有部件在尺寸与接口上对应。</w:t>
      </w:r>
    </w:p>
    <w:p>
      <w:pPr>
        <w:pStyle w:val="a0"/>
      </w:pPr>
      <w:r>
        <w:rPr>
          <w:rFonts w:hint="eastAsia"/>
        </w:rPr>
        <w:t>第二，密封件以自有品牌按牌号成体系列示。O型圈标注自有品牌CeaLution，列示六个牌号，产品外观颜色不同。公开信息中未见各牌号对应的胶料材质、耐温与耐等离子体指标及适用工况。</w:t>
      </w:r>
    </w:p>
    <w:p>
      <w:pPr>
        <w:pStyle w:val="a0"/>
      </w:pPr>
      <w:r>
        <w:rPr>
          <w:rFonts w:hint="eastAsia"/>
        </w:rPr>
        <w:t>第三，经营范围覆盖四条产品线对应的各类制造活动。密封件制造对应O型圈与密封件门板，特种陶瓷制品制造与电子专用材料研发制造对应加热盘的陶瓷路线，金属制品研发与制造对应气体喷头的金属路线，半导体器件专用设备制造与销售覆盖上述部件的整体交付。四条产品线在经营范围上同时覆盖金属与非金属两条材料路线，而这两条路线的毛利率差着约20个百分点。</w:t>
      </w:r>
    </w:p>
    <w:p>
      <w:pPr>
        <w:pStyle w:val="2"/>
        <w:spacing w:before="156" w:after="156"/>
      </w:pPr>
      <w:bookmarkStart w:id="1004" w:name="_Toc900004"/>
      <w:r>
        <w:rPr>
          <w:rFonts w:hint="eastAsia"/>
          <w:b/>
        </w:rPr>
        <w:t>所处环节与耗材属性</w:t>
      </w:r>
      <w:bookmarkEnd w:id="1004"/>
    </w:p>
    <w:p>
      <w:pPr>
        <w:pStyle w:val="3"/>
        <w:numPr>
          <w:ilvl w:val="0"/>
          <w:numId w:val="0"/>
        </w:numPr>
        <w:spacing w:before="156" w:after="156"/>
      </w:pPr>
      <w:bookmarkStart w:id="1005" w:name="_Toc900005"/>
      <w:r>
        <w:rPr>
          <w:rFonts w:hint="eastAsia"/>
        </w:rPr>
        <w:t>2.1 环节定位与零部件分类</w:t>
      </w:r>
      <w:bookmarkEnd w:id="1005"/>
    </w:p>
    <w:p>
      <w:pPr>
        <w:pStyle w:val="a0"/>
      </w:pPr>
      <w:r>
        <w:rPr>
          <w:rFonts w:hint="eastAsia"/>
        </w:rPr>
        <w:t>半导体设备零部件位于设备制造与晶圆制造之间。设备厂商采购零部件用于整机装配，晶圆厂在设备运行过程中采购零部件用于替换损耗件，两条采购路径并存。按托伦斯招股说明书，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700" w:type="pct"/>
            <w:tcBorders>
              <w:top w:val="single" w:sz="4" w:space="0" w:color="010000"/>
            </w:tcBorders>
            <w:vAlign w:val="center"/>
          </w:tcPr>
          <w:p>
            <w:pPr>
              <w:jc w:val="center"/>
            </w:pPr>
            <w:r/>
            <w:r>
              <w:rPr>
                <w:rFonts w:hint="eastAsia"/>
                <w:color w:val="000000"/>
                <w:sz w:val="21"/>
              </w:rPr>
              <w:t>金属工艺件</w:t>
            </w:r>
          </w:p>
        </w:tc>
        <w:tc>
          <w:tcPr>
            <w:tcW w:w="2200" w:type="pct"/>
            <w:tcBorders>
              <w:top w:val="single" w:sz="4" w:space="0" w:color="010000"/>
            </w:tcBorders>
            <w:vAlign w:val="center"/>
          </w:tcPr>
          <w:p>
            <w:pPr>
              <w:jc w:val="left"/>
            </w:pPr>
            <w:r/>
            <w:r>
              <w:rPr>
                <w:rFonts w:hint="eastAsia"/>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700" w:type="pct"/>
            <w:tcBorders>
              <w:top w:val="single" w:sz="4" w:space="0" w:color="010000"/>
            </w:tcBorders>
            <w:vAlign w:val="center"/>
          </w:tcPr>
          <w:p>
            <w:pPr>
              <w:jc w:val="center"/>
            </w:pPr>
            <w:r/>
            <w:r>
              <w:rPr>
                <w:rFonts w:hint="eastAsia"/>
                <w:color w:val="000000"/>
                <w:sz w:val="21"/>
              </w:rPr>
              <w:t>金属结构件</w:t>
            </w:r>
          </w:p>
        </w:tc>
        <w:tc>
          <w:tcPr>
            <w:tcW w:w="2200" w:type="pct"/>
            <w:tcBorders>
              <w:top w:val="single" w:sz="4" w:space="0" w:color="010000"/>
            </w:tcBorders>
            <w:vAlign w:val="center"/>
          </w:tcPr>
          <w:p>
            <w:pPr>
              <w:jc w:val="left"/>
            </w:pPr>
            <w:r/>
            <w:r>
              <w:rPr>
                <w:rFonts w:hint="eastAsia"/>
                <w:color w:val="000000"/>
                <w:sz w:val="21"/>
              </w:rPr>
              <w:t>托盘、底座、冷却板等</w:t>
            </w:r>
          </w:p>
        </w:tc>
        <w:tc>
          <w:tcPr>
            <w:tcW w:w="1300" w:type="pct"/>
            <w:tcBorders>
              <w:top w:val="single" w:sz="4" w:space="0" w:color="010000"/>
            </w:tcBorders>
            <w:vAlign w:val="center"/>
          </w:tcPr>
          <w:p>
            <w:pPr>
              <w:jc w:val="center"/>
            </w:pPr>
            <w:r/>
            <w:r>
              <w:rPr>
                <w:rFonts w:hint="eastAsia"/>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700" w:type="pct"/>
            <w:tcBorders>
              <w:top w:val="single" w:sz="4" w:space="0" w:color="010000"/>
            </w:tcBorders>
            <w:vAlign w:val="center"/>
          </w:tcPr>
          <w:p>
            <w:pPr>
              <w:jc w:val="center"/>
            </w:pPr>
            <w:r/>
            <w:r>
              <w:rPr>
                <w:rFonts w:hint="eastAsia"/>
                <w:color w:val="000000"/>
                <w:sz w:val="21"/>
              </w:rPr>
              <w:t>非金属机械件</w:t>
            </w:r>
          </w:p>
        </w:tc>
        <w:tc>
          <w:tcPr>
            <w:tcW w:w="2200" w:type="pct"/>
            <w:tcBorders>
              <w:top w:val="single" w:sz="4" w:space="0" w:color="010000"/>
            </w:tcBorders>
            <w:vAlign w:val="center"/>
          </w:tcPr>
          <w:p>
            <w:pPr>
              <w:jc w:val="left"/>
            </w:pPr>
            <w:r/>
            <w:r>
              <w:rPr>
                <w:rFonts w:hint="eastAsia"/>
                <w:color w:val="000000"/>
                <w:sz w:val="21"/>
              </w:rPr>
              <w:t>石英零部件、硅零部件、陶瓷零部件等</w:t>
            </w:r>
          </w:p>
        </w:tc>
        <w:tc>
          <w:tcPr>
            <w:tcW w:w="1300" w:type="pct"/>
            <w:tcBorders>
              <w:top w:val="single" w:sz="4" w:space="0" w:color="010000"/>
            </w:tcBorders>
            <w:vAlign w:val="center"/>
          </w:tcPr>
          <w:p>
            <w:pPr>
              <w:jc w:val="center"/>
            </w:pPr>
            <w:r/>
            <w:r>
              <w:rPr>
                <w:rFonts w:hint="eastAsia"/>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其他</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各类耗材等</w:t>
            </w:r>
          </w:p>
        </w:tc>
        <w:tc>
          <w:tcPr>
            <w:tcW w:w="1300" w:type="pct"/>
            <w:tcBorders>
              <w:top w:val="single" w:sz="4" w:space="0" w:color="010000"/>
            </w:tcBorders>
            <w:vAlign w:val="center"/>
          </w:tcPr>
          <w:p>
            <w:pPr>
              <w:jc w:val="center"/>
            </w:pPr>
            <w:r/>
            <w:r>
              <w:rPr>
                <w:rFonts w:hint="eastAsia"/>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别归入金属工艺件与非金属机械件，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6" w:name="_Toc900006"/>
      <w:r>
        <w:rPr>
          <w:rFonts w:hint="eastAsia"/>
        </w:rPr>
        <w:t>2.2 耗材属性与更换周期</w:t>
      </w:r>
      <w:bookmarkEnd w:id="1006"/>
    </w:p>
    <w:p>
      <w:pPr>
        <w:pStyle w:val="a0"/>
      </w:pPr>
      <w:r>
        <w:rPr>
          <w:rFonts w:hint="eastAsia"/>
        </w:rPr>
        <w:t>是否需要定期更换，决定该零部件属于耗材还是长周期件，进而决定其收入是一次性装机收入还是重复性替换收入。</w:t>
      </w:r>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color w:val="000000"/>
                <w:sz w:val="21"/>
              </w:rPr>
              <w:t>金属工艺零部件</w:t>
            </w:r>
          </w:p>
        </w:tc>
        <w:tc>
          <w:tcPr>
            <w:tcW w:w="1471" w:type="pct"/>
            <w:tcBorders>
              <w:top w:val="single" w:sz="4" w:space="0" w:color="010000"/>
            </w:tcBorders>
            <w:vAlign w:val="center"/>
          </w:tcPr>
          <w:p>
            <w:pPr>
              <w:jc w:val="left"/>
            </w:pPr>
            <w:r/>
            <w:r>
              <w:rPr>
                <w:rFonts w:hint="eastAsia"/>
                <w:color w:val="000000"/>
                <w:sz w:val="21"/>
              </w:rPr>
              <w:t>内衬、匀气盘、气体分布盘等</w:t>
            </w:r>
          </w:p>
        </w:tc>
        <w:tc>
          <w:tcPr>
            <w:tcW w:w="1373" w:type="pct"/>
            <w:tcBorders>
              <w:top w:val="single" w:sz="4" w:space="0" w:color="010000"/>
            </w:tcBorders>
            <w:vAlign w:val="center"/>
          </w:tcPr>
          <w:p>
            <w:pPr>
              <w:jc w:val="left"/>
            </w:pPr>
            <w:r/>
            <w:r>
              <w:rPr>
                <w:rFonts w:hint="eastAsia"/>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color w:val="000000"/>
                <w:sz w:val="21"/>
              </w:rPr>
              <w:t>金属结构零部件</w:t>
            </w:r>
          </w:p>
        </w:tc>
        <w:tc>
          <w:tcPr>
            <w:tcW w:w="1471" w:type="pct"/>
            <w:tcBorders>
              <w:top w:val="single" w:sz="4" w:space="0" w:color="010000"/>
            </w:tcBorders>
            <w:vAlign w:val="center"/>
          </w:tcPr>
          <w:p>
            <w:pPr>
              <w:jc w:val="left"/>
            </w:pPr>
            <w:r/>
            <w:r>
              <w:rPr>
                <w:rFonts w:hint="eastAsia"/>
                <w:color w:val="000000"/>
                <w:sz w:val="21"/>
              </w:rPr>
              <w:t>托盘、底座、冷却板、腔体、法兰等</w:t>
            </w:r>
          </w:p>
        </w:tc>
        <w:tc>
          <w:tcPr>
            <w:tcW w:w="1373" w:type="pct"/>
            <w:tcBorders>
              <w:top w:val="single" w:sz="4" w:space="0" w:color="010000"/>
            </w:tcBorders>
            <w:vAlign w:val="center"/>
          </w:tcPr>
          <w:p>
            <w:pPr>
              <w:jc w:val="left"/>
            </w:pPr>
            <w:r/>
            <w:r>
              <w:rPr>
                <w:rFonts w:hint="eastAsia"/>
                <w:color w:val="000000"/>
                <w:sz w:val="21"/>
              </w:rPr>
              <w:t>否，伴随设备生命周期</w:t>
            </w:r>
          </w:p>
        </w:tc>
        <w:tc>
          <w:tcPr>
            <w:tcW w:w="1275" w:type="pct"/>
            <w:tcBorders>
              <w:top w:val="single" w:sz="4" w:space="0" w:color="010000"/>
            </w:tcBorders>
            <w:vAlign w:val="center"/>
          </w:tcPr>
          <w:p>
            <w:pPr>
              <w:jc w:val="center"/>
            </w:pPr>
            <w:r/>
            <w:r>
              <w:rPr>
                <w:rFonts w:hint="eastAsia"/>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color w:val="000000"/>
                <w:sz w:val="21"/>
              </w:rPr>
              <w:t>硅、石英、碳化硅零部件</w:t>
            </w:r>
          </w:p>
        </w:tc>
        <w:tc>
          <w:tcPr>
            <w:tcW w:w="1471" w:type="pct"/>
            <w:tcBorders>
              <w:top w:val="single" w:sz="4" w:space="0" w:color="010000"/>
            </w:tcBorders>
            <w:vAlign w:val="center"/>
          </w:tcPr>
          <w:p>
            <w:pPr>
              <w:jc w:val="left"/>
            </w:pPr>
            <w:r/>
            <w:r>
              <w:rPr>
                <w:rFonts w:hint="eastAsia"/>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color w:val="000000"/>
                <w:sz w:val="21"/>
              </w:rPr>
              <w:t>陶瓷零部件</w:t>
            </w:r>
          </w:p>
        </w:tc>
        <w:tc>
          <w:tcPr>
            <w:tcW w:w="1471" w:type="pct"/>
            <w:tcBorders>
              <w:top w:val="single" w:sz="4" w:space="0" w:color="010000"/>
            </w:tcBorders>
            <w:vAlign w:val="center"/>
          </w:tcPr>
          <w:p>
            <w:pPr>
              <w:jc w:val="left"/>
            </w:pPr>
            <w:r/>
            <w:r>
              <w:rPr>
                <w:rFonts w:hint="eastAsia"/>
                <w:color w:val="000000"/>
                <w:sz w:val="21"/>
              </w:rPr>
              <w:t>陶瓷加热器、陶瓷筒、陶瓷板等</w:t>
            </w:r>
          </w:p>
        </w:tc>
        <w:tc>
          <w:tcPr>
            <w:tcW w:w="1373" w:type="pct"/>
            <w:tcBorders>
              <w:top w:val="single" w:sz="4" w:space="0" w:color="010000"/>
            </w:tcBorders>
            <w:vAlign w:val="center"/>
          </w:tcPr>
          <w:p>
            <w:pPr>
              <w:jc w:val="left"/>
            </w:pPr>
            <w:r/>
            <w:r>
              <w:rPr>
                <w:rFonts w:hint="eastAsia"/>
                <w:color w:val="000000"/>
                <w:sz w:val="21"/>
              </w:rPr>
              <w:t>需要，约1至3年更换一次</w:t>
            </w:r>
          </w:p>
        </w:tc>
        <w:tc>
          <w:tcPr>
            <w:tcW w:w="1275" w:type="pct"/>
            <w:tcBorders>
              <w:top w:val="single" w:sz="4" w:space="0" w:color="010000"/>
            </w:tcBorders>
            <w:vAlign w:val="center"/>
          </w:tcPr>
          <w:p>
            <w:pPr>
              <w:jc w:val="center"/>
            </w:pPr>
            <w:r/>
            <w:r>
              <w:rPr>
                <w:rFonts w:hint="eastAsia"/>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color w:val="000000"/>
                <w:sz w:val="21"/>
              </w:rPr>
              <w:t>密封件</w:t>
            </w:r>
          </w:p>
        </w:tc>
        <w:tc>
          <w:tcPr>
            <w:tcW w:w="1471" w:type="pct"/>
            <w:tcBorders>
              <w:top w:val="single" w:sz="4" w:space="0" w:color="010000"/>
            </w:tcBorders>
            <w:vAlign w:val="center"/>
          </w:tcPr>
          <w:p>
            <w:pPr>
              <w:jc w:val="left"/>
            </w:pPr>
            <w:r/>
            <w:r>
              <w:rPr>
                <w:rFonts w:hint="eastAsia"/>
                <w:color w:val="000000"/>
                <w:sz w:val="21"/>
              </w:rPr>
              <w:t>O型圈、密封垫等</w:t>
            </w:r>
          </w:p>
        </w:tc>
        <w:tc>
          <w:tcPr>
            <w:tcW w:w="1373" w:type="pct"/>
            <w:tcBorders>
              <w:top w:val="single" w:sz="4" w:space="0" w:color="010000"/>
            </w:tcBorders>
            <w:vAlign w:val="center"/>
          </w:tcPr>
          <w:p>
            <w:pPr>
              <w:jc w:val="left"/>
            </w:pPr>
            <w:r/>
            <w:r>
              <w:rPr>
                <w:rFonts w:hint="eastAsia"/>
                <w:color w:val="000000"/>
                <w:sz w:val="21"/>
              </w:rPr>
              <w:t>需要，随腔体开合与工艺环境损耗</w:t>
            </w:r>
          </w:p>
        </w:tc>
        <w:tc>
          <w:tcPr>
            <w:tcW w:w="1275" w:type="pct"/>
            <w:tcBorders>
              <w:top w:val="single" w:sz="4" w:space="0" w:color="010000"/>
            </w:tcBorders>
            <w:vAlign w:val="center"/>
          </w:tcPr>
          <w:p>
            <w:pPr>
              <w:jc w:val="center"/>
            </w:pPr>
            <w:r/>
            <w:r>
              <w:rPr>
                <w:rFonts w:hint="eastAsia"/>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密封件门板由金属门板本体与其上的密封件组成，本体属结构件、密封件属耗材，两者更换属性不同，公司的实际供货形态为整体供货还是仅供密封件未见公开披露，相关问题列入本报告表16。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2"/>
        <w:spacing w:before="156" w:after="156"/>
      </w:pPr>
      <w:bookmarkStart w:id="1007" w:name="_Toc900007"/>
      <w:r>
        <w:rPr>
          <w:rFonts w:hint="eastAsia"/>
          <w:b/>
        </w:rPr>
        <w:t>上游材料与中游制造</w:t>
      </w:r>
      <w:bookmarkEnd w:id="1007"/>
    </w:p>
    <w:p>
      <w:pPr>
        <w:pStyle w:val="3"/>
        <w:numPr>
          <w:ilvl w:val="0"/>
          <w:numId w:val="0"/>
        </w:numPr>
        <w:spacing w:before="156" w:after="156"/>
      </w:pPr>
      <w:bookmarkStart w:id="1008" w:name="_Toc900008"/>
      <w:r>
        <w:rPr>
          <w:rFonts w:hint="eastAsia"/>
        </w:rPr>
        <w:t>3.1 上游：材料与技术难点</w:t>
      </w:r>
      <w:bookmarkEnd w:id="1008"/>
    </w:p>
    <w:p>
      <w:pPr>
        <w:pStyle w:val="a0"/>
      </w:pPr>
      <w:r>
        <w:rPr>
          <w:rFonts w:hint="eastAsia"/>
        </w:rPr>
        <w:t>材料决定零部件的耐受性能与加工工艺路线。硅与碳化硅零部件用于刻蚀设备，用量大、更换周期短；石英零部件用于刻蚀与炉管设备；氧化铝与氮化铝陶瓷用于加热与绝缘部件；全氟醚橡胶等高分子材料用于真空密封件。</w:t>
      </w:r>
    </w:p>
    <w:p>
      <w:pPr>
        <w:keepNext/>
        <w:jc w:val="center"/>
      </w:pPr>
      <w:r>
        <w:rPr>
          <w:rFonts w:hint="eastAsia"/>
          <w:b/>
          <w:sz w:val="21"/>
        </w:rPr>
        <w:t>表4  机械类零部件按材质划分的技术难点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keepNext/>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keepNext/>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color w:val="000000"/>
                <w:sz w:val="21"/>
              </w:rPr>
              <w:t>金属件</w:t>
            </w:r>
          </w:p>
        </w:tc>
        <w:tc>
          <w:tcPr>
            <w:tcW w:w="2889" w:type="pct"/>
            <w:tcBorders>
              <w:top w:val="single" w:sz="4" w:space="0" w:color="010000"/>
            </w:tcBorders>
            <w:vAlign w:val="center"/>
          </w:tcPr>
          <w:p>
            <w:pPr>
              <w:jc w:val="left"/>
            </w:pPr>
            <w:r/>
            <w:r>
              <w:rPr>
                <w:rFonts w:hint="eastAsia"/>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color w:val="000000"/>
                <w:sz w:val="21"/>
              </w:rPr>
              <w:t>硅／碳化硅件</w:t>
            </w:r>
          </w:p>
        </w:tc>
        <w:tc>
          <w:tcPr>
            <w:tcW w:w="2889" w:type="pct"/>
            <w:tcBorders>
              <w:top w:val="single" w:sz="4" w:space="0" w:color="010000"/>
            </w:tcBorders>
            <w:vAlign w:val="center"/>
          </w:tcPr>
          <w:p>
            <w:pPr>
              <w:jc w:val="left"/>
            </w:pPr>
            <w:r/>
            <w:r>
              <w:rPr>
                <w:rFonts w:hint="eastAsia"/>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color w:val="000000"/>
                <w:sz w:val="21"/>
              </w:rPr>
              <w:t>陶瓷件</w:t>
            </w:r>
          </w:p>
        </w:tc>
        <w:tc>
          <w:tcPr>
            <w:tcW w:w="2889" w:type="pct"/>
            <w:tcBorders>
              <w:top w:val="single" w:sz="4" w:space="0" w:color="010000"/>
            </w:tcBorders>
            <w:vAlign w:val="center"/>
          </w:tcPr>
          <w:p>
            <w:pPr>
              <w:jc w:val="left"/>
            </w:pPr>
            <w:r/>
            <w:r>
              <w:rPr>
                <w:rFonts w:hint="eastAsia"/>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color w:val="000000"/>
                <w:sz w:val="21"/>
              </w:rPr>
              <w:t>加热盘（陶瓷路线）</w:t>
            </w:r>
          </w:p>
        </w:tc>
      </w:tr>
    </w:tbl>
    <w:p>
      <w:pPr>
        <w:pStyle w:val="a6"/>
        <w:jc w:val="center"/>
      </w:pPr>
      <w:r>
        <w:rPr>
          <w:rFonts w:hint="eastAsia"/>
          <w:sz w:val="11"/>
          <w:szCs w:val="11"/>
        </w:rPr>
        <w:t>资料来源：托伦斯招股说明书（注册稿），本报告整理。注：末列系本报告按材料属性对应，公司实际采用的材料以当面确认为准。</w:t>
      </w:r>
    </w:p>
    <w:p>
      <w:pPr>
        <w:pStyle w:val="a0"/>
      </w:pPr>
      <w:r>
        <w:rPr>
          <w:rFonts w:hint="eastAsia"/>
        </w:rPr>
        <w:t>原材料的可获得性与价格公允性是该环节被反复问及的事项。臻宝科技第二轮审核问询函指出，其部分非金属零部件的原材料通过委托加工定制与成品采购取得，主要供应商为境外企业且多数规模较小，不存在市场价格或可比公司披露的同类采购价格可供比较。</w:t>
      </w:r>
    </w:p>
    <w:p>
      <w:pPr>
        <w:pStyle w:val="3"/>
        <w:numPr>
          <w:ilvl w:val="0"/>
          <w:numId w:val="0"/>
        </w:numPr>
        <w:spacing w:before="156" w:after="156"/>
      </w:pPr>
      <w:bookmarkStart w:id="1009" w:name="_Toc900009"/>
      <w:r>
        <w:rPr>
          <w:rFonts w:hint="eastAsia"/>
        </w:rPr>
        <w:t>3.2 中游：零部件制造与表面处理</w:t>
      </w:r>
      <w:bookmarkEnd w:id="1009"/>
    </w:p>
    <w:p>
      <w:pPr>
        <w:pStyle w:val="a0"/>
      </w:pPr>
      <w:r>
        <w:rPr>
          <w:rFonts w:hint="eastAsia"/>
        </w:rPr>
        <w:t>零部件制造包含精密机械加工、焊接、表面处理三类核心工艺。按托伦斯招股说明书，半导体零部件具备精度高、批量小、多品种、尺寸特殊、工艺复杂等特征，生产需兼顾强度、应变、抗腐蚀、电子特性、电磁特性、材料纯度等复合功能要求，其研发设计、制造与应用涉及材料、机械、物理、电子、精密仪器等多学科交叉。</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3"/>
        <w:numPr>
          <w:ilvl w:val="0"/>
          <w:numId w:val="0"/>
        </w:numPr>
        <w:spacing w:before="156" w:after="156"/>
      </w:pPr>
      <w:bookmarkStart w:id="1010" w:name="_Toc900010"/>
      <w:r>
        <w:rPr>
          <w:rFonts w:hint="eastAsia"/>
        </w:rPr>
        <w:t>3.3 下游客户结构</w:t>
      </w:r>
      <w:bookmarkEnd w:id="1010"/>
    </w:p>
    <w:p>
      <w:pPr>
        <w:pStyle w:val="a0"/>
      </w:pPr>
      <w:r>
        <w:rPr>
          <w:rFonts w:hint="eastAsia"/>
        </w:rPr>
        <w:t>下游环节相对是较为稳定的需求。零部件厂商的客户分两类：一类以设备厂商为主，富创精密、先锋精科、珂玛科技、托伦斯的客户以北方华创、中微公司、拓荆科技等设备厂商为主；一类以晶圆厂为主，臻宝科技的客户为集成电路制造厂商与显示面板厂商。两类的订单节奏不同，前者跟随设备厂的出货与资本开支，后者跟随晶圆厂的产能利用率与工艺运行时长。尚不能判定无锡金源的下游客户属于设备厂或晶圆厂哪一类。</w:t>
      </w:r>
    </w:p>
    <w:p>
      <w:pPr>
        <w:pStyle w:val="2"/>
        <w:spacing w:before="156" w:after="156"/>
      </w:pPr>
      <w:bookmarkStart w:id="1011" w:name="_Toc900011"/>
      <w:r>
        <w:rPr>
          <w:rFonts w:hint="eastAsia"/>
          <w:b/>
        </w:rPr>
        <w:t>市场规模与国产化进度</w:t>
      </w:r>
      <w:bookmarkEnd w:id="1011"/>
    </w:p>
    <w:p>
      <w:pPr>
        <w:pStyle w:val="3"/>
        <w:numPr>
          <w:ilvl w:val="0"/>
          <w:numId w:val="0"/>
        </w:numPr>
        <w:spacing w:before="156" w:after="156"/>
      </w:pPr>
      <w:bookmarkStart w:id="1012" w:name="_Toc900012"/>
      <w:r>
        <w:rPr>
          <w:rFonts w:hint="eastAsia"/>
        </w:rPr>
        <w:t>4.1 零部件环节的规模与结构</w:t>
      </w:r>
      <w:bookmarkEnd w:id="1012"/>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keepNext/>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3" w:name="_Toc900013"/>
      <w:r>
        <w:rPr>
          <w:rFonts w:hint="eastAsia"/>
        </w:rPr>
        <w:t>4.2 与无锡金源产品对应的细分品类</w:t>
      </w:r>
      <w:bookmarkEnd w:id="1013"/>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667"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471"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667"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471"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667" w:type="pct"/>
            <w:tcBorders>
              <w:top w:val="single" w:sz="4" w:space="0" w:color="010000"/>
            </w:tcBorders>
            <w:vAlign w:val="center"/>
          </w:tcPr>
          <w:p>
            <w:pPr>
              <w:jc w:val="left"/>
            </w:pPr>
            <w:r/>
            <w:r>
              <w:rPr>
                <w:rFonts w:hint="eastAsia"/>
                <w:color w:val="000000"/>
                <w:sz w:val="21"/>
              </w:rPr>
              <w:t>主要由日本NGK／NTK、Sumitomo Electric等企业主导；国内产业化程度较低，国产化率不足10%，具备稳定量产能力的企业较少</w:t>
            </w:r>
          </w:p>
        </w:tc>
      </w:tr>
    </w:tbl>
    <w:p>
      <w:pPr>
        <w:pStyle w:val="a6"/>
        <w:jc w:val="center"/>
      </w:pPr>
      <w:r>
        <w:rPr>
          <w:rFonts w:hint="eastAsia"/>
          <w:sz w:val="11"/>
          <w:szCs w:val="11"/>
        </w:rPr>
        <w:t>资料来源：臻宝科技招股说明书（注册稿），本报告整理。注：两个品类的数据发布机构均为QY Research（QYR）。半导体用密封件品类目前无独立的公开市场规模统计，本报告不列示该品类的规模数据。</w:t>
      </w:r>
    </w:p>
    <w:p>
      <w:pPr>
        <w:pStyle w:val="a0"/>
      </w:pPr>
      <w:r>
        <w:rPr>
          <w:rFonts w:hint="eastAsia"/>
        </w:rPr>
        <w:t>按臻宝科技招股说明书的表述，碳化硅气体分配盘导热性好，抗等离子体腐蚀能力比硅和石英强，使用寿命是硅气体分配盘的2至4倍，提高了等离子体刻蚀设备的工作在线率。</w:t>
      </w:r>
    </w:p>
    <w:p>
      <w:pPr>
        <w:pStyle w:val="3"/>
        <w:numPr>
          <w:ilvl w:val="0"/>
          <w:numId w:val="0"/>
        </w:numPr>
        <w:spacing w:before="156" w:after="156"/>
      </w:pPr>
      <w:bookmarkStart w:id="1014" w:name="_Toc900014"/>
      <w:r>
        <w:rPr>
          <w:rFonts w:hint="eastAsia"/>
        </w:rPr>
        <w:t>4.3 国产化现状、难点与增长空间</w:t>
      </w:r>
      <w:bookmarkEnd w:id="1014"/>
    </w:p>
    <w:p>
      <w:pPr>
        <w:pStyle w:val="a0"/>
      </w:pPr>
      <w:r>
        <w:rPr>
          <w:rFonts w:hint="eastAsia"/>
        </w:rPr>
        <w:t>按托伦斯招股说明书，零部件是国内半导体设备企业面临的关键制约环节之一。按IC World于2020年公开的20类半导体核心零部件产品的44家主要供应商数据，美国供应商20家、约占45%，日本供应商16家、约占36%，德国、瑞士、韩国各2家，英国1家，全部为境外供应商。</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keepNext/>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资料来源：托伦斯招股说明书（注册稿），本报告整理。注：分类口径同本报告表2，两表分别取自托伦斯与臻宝科技招股说明书，顶层类别一致。</w:t>
      </w:r>
    </w:p>
    <w:p>
      <w:pPr>
        <w:pStyle w:val="a0"/>
      </w:pPr>
      <w:r>
        <w:rPr>
          <w:rFonts w:hint="eastAsia"/>
        </w:rPr>
        <w:t>卡点分三处。一是原材料。硅、碳化硅与陶瓷件受制于原材料纯度与脆性，石英件还要看杂质含量与原材料匹配性，这一层不解决，后面的加工精度无从谈起。二是生产工艺。金属件的难点在加工精度、焊接与表面处理，非金属件则是在脆性材料上做复杂结构，两者的技术积累路径不同。三是供应商导入，也是最容易被低估的一环。按托伦斯审核问询函回复，客户端的导入要走三步：先是合格供应商认证，客户对加工能力、产能、工艺稳定性逐项评估，复杂工艺还要单独考察机加工、焊接与表面处理，通过全部认证才能进合格供应商名录；再是产品认证，按具体新品试制交付客户验证；最后才是批量生产。前两步不产生收入，却决定了能不能拿到订单。</w:t>
      </w:r>
    </w:p>
    <w:p>
      <w:pPr>
        <w:pStyle w:val="a0"/>
      </w:pPr>
      <w:r>
        <w:rPr>
          <w:rFonts w:hint="eastAsia"/>
        </w:rPr>
        <w:t>从各品类的国产化程度看，越靠近工艺反应、对材料与精度要求越高的部件，国产化率越低。机械类中的简单结构件国产化率较高、国内企业已进入国际市场，而高端产品仍未突破；仪器仪表类与光学类的高端产品则基本未国产化。</w:t>
      </w:r>
    </w:p>
    <w:p>
      <w:pPr>
        <w:pStyle w:val="a0"/>
      </w:pPr>
      <w:r>
        <w:rPr>
          <w:rFonts w:hint="eastAsia"/>
        </w:rPr>
        <w:t>无锡金源两条核心产品线正处在这条曲线的低位。刻蚀设备用气体分配盘国内尚无稳定量产企业，半导体陶瓷加热器国产化率不足10%、具备稳定量产能力的企业较少。按QY Research的预测，气体分配盘全球市场2023年至2030年的年复合增长率为7.0%，陶瓷加热器2024年至2030年为6.2%，两者的行业增速本身并不高。增长空间主要来自替代而非扩容：2024年国内晶圆厂零部件采购中向零部件厂商直接采购的比例为71.4%，弗若斯特沙利文预计2029年升至80.3%，非金属零部件由70.8%升至80.7%，这部分增量对应的是境外供应商让出的份额。国产化率最低的品类，也是替代空间最大的品类。</w:t>
      </w:r>
    </w:p>
    <w:p>
      <w:pPr>
        <w:pStyle w:val="2"/>
        <w:spacing w:before="156" w:after="156"/>
      </w:pPr>
      <w:bookmarkStart w:id="1015" w:name="_Toc900015"/>
      <w:r>
        <w:rPr>
          <w:rFonts w:hint="eastAsia"/>
          <w:b/>
        </w:rPr>
        <w:t>可比公司</w:t>
      </w:r>
      <w:bookmarkEnd w:id="1015"/>
    </w:p>
    <w:p>
      <w:pPr>
        <w:pStyle w:val="3"/>
        <w:numPr>
          <w:ilvl w:val="0"/>
          <w:numId w:val="0"/>
        </w:numPr>
        <w:spacing w:before="156" w:after="156"/>
      </w:pPr>
      <w:bookmarkStart w:id="1016" w:name="_Toc900016"/>
      <w:r>
        <w:rPr>
          <w:rFonts w:hint="eastAsia"/>
        </w:rPr>
        <w:t>5.1 可比公司范围</w:t>
      </w:r>
      <w:bookmarkEnd w:id="1016"/>
    </w:p>
    <w:p>
      <w:pPr>
        <w:pStyle w:val="a0"/>
      </w:pPr>
      <w:r>
        <w:rPr>
          <w:rFonts w:hint="eastAsia"/>
        </w:rPr>
        <w:t>本报告选取五家境内上市或在审公司作为可比对象，选取标准为主营产品与无锡金源的气体喷头、加热盘两类核心部件重合，且已有公开披露的经营与毛利率数据。其中托伦斯的匀气盘、气体分布盘与加热器同时覆盖两条核心产品线，产品重合度最高。</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keepNext/>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1.90</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7" w:name="_Toc900017"/>
      <w:r>
        <w:rPr>
          <w:rFonts w:hint="eastAsia"/>
        </w:rPr>
        <w:t>5.2 不同材料路线的毛利率差异</w:t>
      </w:r>
      <w:bookmarkEnd w:id="1017"/>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资料来源：托伦斯招股说明书（注册稿），本报告整理。注：2025年由于部分公司尚未披露年报，除先锋精科、臻宝科技外采用前三季度毛利率；材料属性一列为本报告依据各公司主营产品描述归纳。</w:t>
      </w:r>
    </w:p>
    <w:p>
      <w:pPr>
        <w:keepNext/>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明显分成两档。走非金属路线的珂玛科技、臻宝科技在50%上下，走金属路线的先锋精科、托伦斯、富创精密均不到30%，分别为29.02%、27.14%与24.94%，两档最窄处也差着约20个百分点。差异来自加工附加值与原材料成本的比例：陶瓷、硅、石英件的加工附加值高于原材料本身，金属件则更接近材料加工，模组类产品还要计入外购件成本。无锡金源的产品跨这两条路线，综合毛利率取决于各产品线的材质与收入结构。</w:t>
      </w:r>
    </w:p>
    <w:p>
      <w:pPr>
        <w:pStyle w:val="3"/>
        <w:numPr>
          <w:ilvl w:val="0"/>
          <w:numId w:val="0"/>
        </w:numPr>
        <w:spacing w:before="156" w:after="156"/>
      </w:pPr>
      <w:bookmarkStart w:id="1018" w:name="_Toc900018"/>
      <w:r>
        <w:rPr>
          <w:rFonts w:hint="eastAsia"/>
        </w:rPr>
        <w:t>5.3 单一产品的毛利率水平</w:t>
      </w:r>
      <w:bookmarkEnd w:id="1018"/>
    </w:p>
    <w:p>
      <w:pPr>
        <w:pStyle w:val="a0"/>
      </w:pPr>
      <w:r>
        <w:rPr>
          <w:rFonts w:hint="eastAsia"/>
        </w:rPr>
        <w:t>单一产品的毛利率波动幅度大于公司整体。在上述可比公司中，托伦斯是唯一按单品披露毛利率的企业；富创精密与先锋精科未按单品披露，其中先锋精科2024年已将关键工艺零部件与工艺零部件合并披露，无法取得同口径的单品数据。按托伦斯第二轮审核问询函回复，与无锡金源产品直接对应的三个品类中，加热器毛利率由2023年的14.39%升至2024年的52.79%，匀气盘由27.44%升至31.86%，气体分布盘由20.05%升至25.88%。</w:t>
      </w:r>
    </w:p>
    <w:p>
      <w:pPr>
        <w:keepNext/>
        <w:jc w:val="center"/>
      </w:pPr>
      <w:r>
        <w:rPr>
          <w:rFonts w:hint="eastAsia"/>
          <w:b/>
          <w:sz w:val="21"/>
        </w:rPr>
        <w:t>表10  托伦斯分产品毛利率与收入占比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1000"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2024年毛利率（%）</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2024年收入占比（%）</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r>
      <w:tr>
        <w:trPr>
          <w:cantSplit/>
          <w:jc w:val="center"/>
        </w:trPr>
        <w:tc>
          <w:tcPr>
            <w:tcW w:w="1000" w:type="pct"/>
            <w:tcBorders>
              <w:top w:val="single" w:sz="4" w:space="0" w:color="010000"/>
            </w:tcBorders>
            <w:vAlign w:val="center"/>
          </w:tcPr>
          <w:p>
            <w:pPr>
              <w:jc w:val="left"/>
            </w:pPr>
            <w:r/>
            <w:r>
              <w:rPr>
                <w:rFonts w:hint="eastAsia"/>
                <w:color w:val="000000"/>
                <w:sz w:val="21"/>
              </w:rPr>
              <w:t>冷盘</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74.50</w:t>
            </w:r>
          </w:p>
        </w:tc>
        <w:tc>
          <w:tcPr>
            <w:tcW w:w="800" w:type="pct"/>
            <w:tcBorders>
              <w:top w:val="single" w:sz="4" w:space="0" w:color="010000"/>
            </w:tcBorders>
            <w:vAlign w:val="center"/>
          </w:tcPr>
          <w:p>
            <w:pPr>
              <w:jc w:val="right"/>
            </w:pPr>
            <w:r/>
            <w:r>
              <w:rPr>
                <w:rFonts w:hint="eastAsia"/>
                <w:color w:val="000000"/>
                <w:sz w:val="21"/>
              </w:rPr>
              <w:t>4.04</w:t>
            </w:r>
          </w:p>
        </w:tc>
        <w:tc>
          <w:tcPr>
            <w:tcW w:w="800" w:type="pct"/>
            <w:tcBorders>
              <w:top w:val="single" w:sz="4" w:space="0" w:color="010000"/>
            </w:tcBorders>
            <w:vAlign w:val="center"/>
          </w:tcPr>
          <w:p>
            <w:pPr>
              <w:jc w:val="right"/>
            </w:pPr>
            <w:r/>
            <w:r>
              <w:rPr>
                <w:rFonts w:hint="eastAsia"/>
                <w:color w:val="000000"/>
                <w:sz w:val="21"/>
              </w:rPr>
              <w:t>70.89</w:t>
            </w:r>
          </w:p>
        </w:tc>
        <w:tc>
          <w:tcPr>
            <w:tcW w:w="800" w:type="pct"/>
            <w:tcBorders>
              <w:top w:val="single" w:sz="4" w:space="0" w:color="010000"/>
            </w:tcBorders>
            <w:vAlign w:val="center"/>
          </w:tcPr>
          <w:p>
            <w:pPr>
              <w:jc w:val="right"/>
            </w:pPr>
            <w:r/>
            <w:r>
              <w:rPr>
                <w:rFonts w:hint="eastAsia"/>
                <w:color w:val="000000"/>
                <w:sz w:val="21"/>
              </w:rPr>
              <w:t>2.41</w:t>
            </w:r>
          </w:p>
        </w:tc>
      </w:tr>
      <w:tr>
        <w:trPr>
          <w:cantSplit/>
          <w:jc w:val="center"/>
        </w:trPr>
        <w:tc>
          <w:tcPr>
            <w:tcW w:w="1000" w:type="pct"/>
            <w:tcBorders>
              <w:top w:val="single" w:sz="4" w:space="0" w:color="010000"/>
            </w:tcBorders>
            <w:vAlign w:val="center"/>
          </w:tcPr>
          <w:p>
            <w:pPr>
              <w:jc w:val="left"/>
            </w:pPr>
            <w:r/>
            <w:r>
              <w:rPr>
                <w:rFonts w:hint="eastAsia"/>
                <w:color w:val="000000"/>
                <w:sz w:val="21"/>
              </w:rPr>
              <w:t>多管式加热反射罩</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63.02</w:t>
            </w:r>
          </w:p>
        </w:tc>
        <w:tc>
          <w:tcPr>
            <w:tcW w:w="800" w:type="pct"/>
            <w:tcBorders>
              <w:top w:val="single" w:sz="4" w:space="0" w:color="010000"/>
            </w:tcBorders>
            <w:vAlign w:val="center"/>
          </w:tcPr>
          <w:p>
            <w:pPr>
              <w:jc w:val="right"/>
            </w:pPr>
            <w:r/>
            <w:r>
              <w:rPr>
                <w:rFonts w:hint="eastAsia"/>
                <w:color w:val="000000"/>
                <w:sz w:val="21"/>
              </w:rPr>
              <w:t>3.32</w:t>
            </w:r>
          </w:p>
        </w:tc>
        <w:tc>
          <w:tcPr>
            <w:tcW w:w="800" w:type="pct"/>
            <w:tcBorders>
              <w:top w:val="single" w:sz="4" w:space="0" w:color="010000"/>
            </w:tcBorders>
            <w:vAlign w:val="center"/>
          </w:tcPr>
          <w:p>
            <w:pPr>
              <w:jc w:val="right"/>
            </w:pPr>
            <w:r/>
            <w:r>
              <w:rPr>
                <w:rFonts w:hint="eastAsia"/>
                <w:color w:val="000000"/>
                <w:sz w:val="21"/>
              </w:rPr>
              <w:t>33.83</w:t>
            </w:r>
          </w:p>
        </w:tc>
        <w:tc>
          <w:tcPr>
            <w:tcW w:w="800" w:type="pct"/>
            <w:tcBorders>
              <w:top w:val="single" w:sz="4" w:space="0" w:color="010000"/>
            </w:tcBorders>
            <w:vAlign w:val="center"/>
          </w:tcPr>
          <w:p>
            <w:pPr>
              <w:jc w:val="right"/>
            </w:pPr>
            <w:r/>
            <w:r>
              <w:rPr>
                <w:rFonts w:hint="eastAsia"/>
                <w:color w:val="000000"/>
                <w:sz w:val="21"/>
              </w:rPr>
              <w:t>0.94</w:t>
            </w:r>
          </w:p>
        </w:tc>
      </w:tr>
      <w:tr>
        <w:trPr>
          <w:cantSplit/>
          <w:jc w:val="center"/>
        </w:trPr>
        <w:tc>
          <w:tcPr>
            <w:tcW w:w="1000" w:type="pct"/>
            <w:tcBorders>
              <w:top w:val="single" w:sz="4" w:space="0" w:color="010000"/>
            </w:tcBorders>
            <w:vAlign w:val="center"/>
          </w:tcPr>
          <w:p>
            <w:pPr>
              <w:jc w:val="left"/>
            </w:pPr>
            <w:r/>
            <w:r>
              <w:rPr>
                <w:rFonts w:hint="eastAsia"/>
                <w:color w:val="000000"/>
                <w:sz w:val="21"/>
              </w:rPr>
              <w:t>静电卡盘基体</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55.71</w:t>
            </w:r>
          </w:p>
        </w:tc>
        <w:tc>
          <w:tcPr>
            <w:tcW w:w="800" w:type="pct"/>
            <w:tcBorders>
              <w:top w:val="single" w:sz="4" w:space="0" w:color="010000"/>
            </w:tcBorders>
            <w:vAlign w:val="center"/>
          </w:tcPr>
          <w:p>
            <w:pPr>
              <w:jc w:val="right"/>
            </w:pPr>
            <w:r/>
            <w:r>
              <w:rPr>
                <w:rFonts w:hint="eastAsia"/>
                <w:color w:val="000000"/>
                <w:sz w:val="21"/>
              </w:rPr>
              <w:t>1.27</w:t>
            </w:r>
          </w:p>
        </w:tc>
        <w:tc>
          <w:tcPr>
            <w:tcW w:w="800" w:type="pct"/>
            <w:tcBorders>
              <w:top w:val="single" w:sz="4" w:space="0" w:color="010000"/>
            </w:tcBorders>
            <w:vAlign w:val="center"/>
          </w:tcPr>
          <w:p>
            <w:pPr>
              <w:jc w:val="right"/>
            </w:pPr>
            <w:r/>
            <w:r>
              <w:rPr>
                <w:rFonts w:hint="eastAsia"/>
                <w:color w:val="000000"/>
                <w:sz w:val="21"/>
              </w:rPr>
              <w:t>30.77</w:t>
            </w:r>
          </w:p>
        </w:tc>
        <w:tc>
          <w:tcPr>
            <w:tcW w:w="800" w:type="pct"/>
            <w:tcBorders>
              <w:top w:val="single" w:sz="4" w:space="0" w:color="010000"/>
            </w:tcBorders>
            <w:vAlign w:val="center"/>
          </w:tcPr>
          <w:p>
            <w:pPr>
              <w:jc w:val="right"/>
            </w:pPr>
            <w:r/>
            <w:r>
              <w:rPr>
                <w:rFonts w:hint="eastAsia"/>
                <w:color w:val="000000"/>
                <w:sz w:val="21"/>
              </w:rPr>
              <w:t>0.38</w:t>
            </w:r>
          </w:p>
        </w:tc>
      </w:tr>
      <w:tr>
        <w:trPr>
          <w:cantSplit/>
          <w:jc w:val="center"/>
        </w:trPr>
        <w:tc>
          <w:tcPr>
            <w:tcW w:w="1000" w:type="pct"/>
            <w:tcBorders>
              <w:top w:val="single" w:sz="4" w:space="0" w:color="010000"/>
            </w:tcBorders>
            <w:vAlign w:val="center"/>
          </w:tcPr>
          <w:p>
            <w:pPr>
              <w:jc w:val="left"/>
            </w:pPr>
            <w:r/>
            <w:r>
              <w:rPr>
                <w:rFonts w:hint="eastAsia"/>
                <w:color w:val="000000"/>
                <w:sz w:val="21"/>
              </w:rPr>
              <w:t>加热器</w:t>
            </w:r>
          </w:p>
        </w:tc>
        <w:tc>
          <w:tcPr>
            <w:tcW w:w="800" w:type="pct"/>
            <w:tcBorders>
              <w:top w:val="single" w:sz="4" w:space="0" w:color="010000"/>
            </w:tcBorders>
            <w:vAlign w:val="center"/>
          </w:tcPr>
          <w:p>
            <w:pPr>
              <w:jc w:val="center"/>
            </w:pPr>
            <w:r/>
            <w:r>
              <w:rPr>
                <w:rFonts w:hint="eastAsia"/>
                <w:color w:val="000000"/>
                <w:sz w:val="21"/>
              </w:rPr>
              <w:t>加热盘</w:t>
            </w:r>
          </w:p>
        </w:tc>
        <w:tc>
          <w:tcPr>
            <w:tcW w:w="800" w:type="pct"/>
            <w:tcBorders>
              <w:top w:val="single" w:sz="4" w:space="0" w:color="010000"/>
            </w:tcBorders>
            <w:vAlign w:val="center"/>
          </w:tcPr>
          <w:p>
            <w:pPr>
              <w:jc w:val="right"/>
            </w:pPr>
            <w:r/>
            <w:r>
              <w:rPr>
                <w:rFonts w:hint="eastAsia"/>
                <w:color w:val="000000"/>
                <w:sz w:val="21"/>
              </w:rPr>
              <w:t>52.79</w:t>
            </w:r>
          </w:p>
        </w:tc>
        <w:tc>
          <w:tcPr>
            <w:tcW w:w="800" w:type="pct"/>
            <w:tcBorders>
              <w:top w:val="single" w:sz="4" w:space="0" w:color="010000"/>
            </w:tcBorders>
            <w:vAlign w:val="center"/>
          </w:tcPr>
          <w:p>
            <w:pPr>
              <w:jc w:val="right"/>
            </w:pPr>
            <w:r/>
            <w:r>
              <w:rPr>
                <w:rFonts w:hint="eastAsia"/>
                <w:color w:val="000000"/>
                <w:sz w:val="21"/>
              </w:rPr>
              <w:t>1.64</w:t>
            </w:r>
          </w:p>
        </w:tc>
        <w:tc>
          <w:tcPr>
            <w:tcW w:w="800" w:type="pct"/>
            <w:tcBorders>
              <w:top w:val="single" w:sz="4" w:space="0" w:color="010000"/>
            </w:tcBorders>
            <w:vAlign w:val="center"/>
          </w:tcPr>
          <w:p>
            <w:pPr>
              <w:jc w:val="right"/>
            </w:pPr>
            <w:r/>
            <w:r>
              <w:rPr>
                <w:rFonts w:hint="eastAsia"/>
                <w:color w:val="000000"/>
                <w:sz w:val="21"/>
              </w:rPr>
              <w:t>14.39</w:t>
            </w:r>
          </w:p>
        </w:tc>
        <w:tc>
          <w:tcPr>
            <w:tcW w:w="800" w:type="pct"/>
            <w:tcBorders>
              <w:top w:val="single" w:sz="4" w:space="0" w:color="010000"/>
            </w:tcBorders>
            <w:vAlign w:val="center"/>
          </w:tcPr>
          <w:p>
            <w:pPr>
              <w:jc w:val="right"/>
            </w:pPr>
            <w:r/>
            <w:r>
              <w:rPr>
                <w:rFonts w:hint="eastAsia"/>
                <w:color w:val="000000"/>
                <w:sz w:val="21"/>
              </w:rPr>
              <w:t>1.18</w:t>
            </w:r>
          </w:p>
        </w:tc>
      </w:tr>
      <w:tr>
        <w:trPr>
          <w:cantSplit/>
          <w:jc w:val="center"/>
        </w:trPr>
        <w:tc>
          <w:tcPr>
            <w:tcW w:w="1000" w:type="pct"/>
            <w:tcBorders>
              <w:top w:val="single" w:sz="4" w:space="0" w:color="010000"/>
            </w:tcBorders>
            <w:vAlign w:val="center"/>
          </w:tcPr>
          <w:p>
            <w:pPr>
              <w:jc w:val="left"/>
            </w:pPr>
            <w:r/>
            <w:r>
              <w:rPr>
                <w:rFonts w:hint="eastAsia"/>
                <w:color w:val="000000"/>
                <w:sz w:val="21"/>
              </w:rPr>
              <w:t>内衬</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39.78</w:t>
            </w:r>
          </w:p>
        </w:tc>
        <w:tc>
          <w:tcPr>
            <w:tcW w:w="800" w:type="pct"/>
            <w:tcBorders>
              <w:top w:val="single" w:sz="4" w:space="0" w:color="010000"/>
            </w:tcBorders>
            <w:vAlign w:val="center"/>
          </w:tcPr>
          <w:p>
            <w:pPr>
              <w:jc w:val="right"/>
            </w:pPr>
            <w:r/>
            <w:r>
              <w:rPr>
                <w:rFonts w:hint="eastAsia"/>
                <w:color w:val="000000"/>
                <w:sz w:val="21"/>
              </w:rPr>
              <w:t>12.52</w:t>
            </w:r>
          </w:p>
        </w:tc>
        <w:tc>
          <w:tcPr>
            <w:tcW w:w="800" w:type="pct"/>
            <w:tcBorders>
              <w:top w:val="single" w:sz="4" w:space="0" w:color="010000"/>
            </w:tcBorders>
            <w:vAlign w:val="center"/>
          </w:tcPr>
          <w:p>
            <w:pPr>
              <w:jc w:val="right"/>
            </w:pPr>
            <w:r/>
            <w:r>
              <w:rPr>
                <w:rFonts w:hint="eastAsia"/>
                <w:color w:val="000000"/>
                <w:sz w:val="21"/>
              </w:rPr>
              <w:t>44.96</w:t>
            </w:r>
          </w:p>
        </w:tc>
        <w:tc>
          <w:tcPr>
            <w:tcW w:w="800" w:type="pct"/>
            <w:tcBorders>
              <w:top w:val="single" w:sz="4" w:space="0" w:color="010000"/>
            </w:tcBorders>
            <w:vAlign w:val="center"/>
          </w:tcPr>
          <w:p>
            <w:pPr>
              <w:jc w:val="right"/>
            </w:pPr>
            <w:r/>
            <w:r>
              <w:rPr>
                <w:rFonts w:hint="eastAsia"/>
                <w:color w:val="000000"/>
                <w:sz w:val="21"/>
              </w:rPr>
              <w:t>11.63</w:t>
            </w:r>
          </w:p>
        </w:tc>
      </w:tr>
      <w:tr>
        <w:trPr>
          <w:cantSplit/>
          <w:jc w:val="center"/>
        </w:trPr>
        <w:tc>
          <w:tcPr>
            <w:tcW w:w="1000" w:type="pct"/>
            <w:tcBorders>
              <w:top w:val="single" w:sz="4" w:space="0" w:color="010000"/>
            </w:tcBorders>
            <w:vAlign w:val="center"/>
          </w:tcPr>
          <w:p>
            <w:pPr>
              <w:jc w:val="left"/>
            </w:pPr>
            <w:r/>
            <w:r>
              <w:rPr>
                <w:rFonts w:hint="eastAsia"/>
                <w:color w:val="000000"/>
                <w:sz w:val="21"/>
              </w:rPr>
              <w:t>匀气盘</w:t>
            </w:r>
          </w:p>
        </w:tc>
        <w:tc>
          <w:tcPr>
            <w:tcW w:w="800" w:type="pct"/>
            <w:tcBorders>
              <w:top w:val="single" w:sz="4" w:space="0" w:color="010000"/>
            </w:tcBorders>
            <w:vAlign w:val="center"/>
          </w:tcPr>
          <w:p>
            <w:pPr>
              <w:jc w:val="center"/>
            </w:pPr>
            <w:r/>
            <w:r>
              <w:rPr>
                <w:rFonts w:hint="eastAsia"/>
                <w:color w:val="000000"/>
                <w:sz w:val="21"/>
              </w:rPr>
              <w:t>精密气体喷头</w:t>
            </w:r>
          </w:p>
        </w:tc>
        <w:tc>
          <w:tcPr>
            <w:tcW w:w="800" w:type="pct"/>
            <w:tcBorders>
              <w:top w:val="single" w:sz="4" w:space="0" w:color="010000"/>
            </w:tcBorders>
            <w:vAlign w:val="center"/>
          </w:tcPr>
          <w:p>
            <w:pPr>
              <w:jc w:val="right"/>
            </w:pPr>
            <w:r/>
            <w:r>
              <w:rPr>
                <w:rFonts w:hint="eastAsia"/>
                <w:color w:val="000000"/>
                <w:sz w:val="21"/>
              </w:rPr>
              <w:t>31.86</w:t>
            </w:r>
          </w:p>
        </w:tc>
        <w:tc>
          <w:tcPr>
            <w:tcW w:w="800" w:type="pct"/>
            <w:tcBorders>
              <w:top w:val="single" w:sz="4" w:space="0" w:color="010000"/>
            </w:tcBorders>
            <w:vAlign w:val="center"/>
          </w:tcPr>
          <w:p>
            <w:pPr>
              <w:jc w:val="right"/>
            </w:pPr>
            <w:r/>
            <w:r>
              <w:rPr>
                <w:rFonts w:hint="eastAsia"/>
                <w:color w:val="000000"/>
                <w:sz w:val="21"/>
              </w:rPr>
              <w:t>3.58</w:t>
            </w:r>
          </w:p>
        </w:tc>
        <w:tc>
          <w:tcPr>
            <w:tcW w:w="800" w:type="pct"/>
            <w:tcBorders>
              <w:top w:val="single" w:sz="4" w:space="0" w:color="010000"/>
            </w:tcBorders>
            <w:vAlign w:val="center"/>
          </w:tcPr>
          <w:p>
            <w:pPr>
              <w:jc w:val="right"/>
            </w:pPr>
            <w:r/>
            <w:r>
              <w:rPr>
                <w:rFonts w:hint="eastAsia"/>
                <w:color w:val="000000"/>
                <w:sz w:val="21"/>
              </w:rPr>
              <w:t>27.44</w:t>
            </w:r>
          </w:p>
        </w:tc>
        <w:tc>
          <w:tcPr>
            <w:tcW w:w="800" w:type="pct"/>
            <w:tcBorders>
              <w:top w:val="single" w:sz="4" w:space="0" w:color="010000"/>
            </w:tcBorders>
            <w:vAlign w:val="center"/>
          </w:tcPr>
          <w:p>
            <w:pPr>
              <w:jc w:val="right"/>
            </w:pPr>
            <w:r/>
            <w:r>
              <w:rPr>
                <w:rFonts w:hint="eastAsia"/>
                <w:color w:val="000000"/>
                <w:sz w:val="21"/>
              </w:rPr>
              <w:t>4.29</w:t>
            </w:r>
          </w:p>
        </w:tc>
      </w:tr>
      <w:tr>
        <w:trPr>
          <w:cantSplit/>
          <w:jc w:val="center"/>
        </w:trPr>
        <w:tc>
          <w:tcPr>
            <w:tcW w:w="1000" w:type="pct"/>
            <w:tcBorders>
              <w:top w:val="single" w:sz="4" w:space="0" w:color="010000"/>
            </w:tcBorders>
            <w:vAlign w:val="center"/>
          </w:tcPr>
          <w:p>
            <w:pPr>
              <w:jc w:val="left"/>
            </w:pPr>
            <w:r/>
            <w:r>
              <w:rPr>
                <w:rFonts w:hint="eastAsia"/>
                <w:color w:val="000000"/>
                <w:sz w:val="21"/>
              </w:rPr>
              <w:t>腔体</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26.10</w:t>
            </w:r>
          </w:p>
        </w:tc>
        <w:tc>
          <w:tcPr>
            <w:tcW w:w="800" w:type="pct"/>
            <w:tcBorders>
              <w:top w:val="single" w:sz="4" w:space="0" w:color="010000"/>
            </w:tcBorders>
            <w:vAlign w:val="center"/>
          </w:tcPr>
          <w:p>
            <w:pPr>
              <w:jc w:val="right"/>
            </w:pPr>
            <w:r/>
            <w:r>
              <w:rPr>
                <w:rFonts w:hint="eastAsia"/>
                <w:color w:val="000000"/>
                <w:sz w:val="21"/>
              </w:rPr>
              <w:t>7.97</w:t>
            </w:r>
          </w:p>
        </w:tc>
        <w:tc>
          <w:tcPr>
            <w:tcW w:w="800" w:type="pct"/>
            <w:tcBorders>
              <w:top w:val="single" w:sz="4" w:space="0" w:color="010000"/>
            </w:tcBorders>
            <w:vAlign w:val="center"/>
          </w:tcPr>
          <w:p>
            <w:pPr>
              <w:jc w:val="right"/>
            </w:pPr>
            <w:r/>
            <w:r>
              <w:rPr>
                <w:rFonts w:hint="eastAsia"/>
                <w:color w:val="000000"/>
                <w:sz w:val="21"/>
              </w:rPr>
              <w:t>21.35</w:t>
            </w:r>
          </w:p>
        </w:tc>
        <w:tc>
          <w:tcPr>
            <w:tcW w:w="800" w:type="pct"/>
            <w:tcBorders>
              <w:top w:val="single" w:sz="4" w:space="0" w:color="010000"/>
            </w:tcBorders>
            <w:vAlign w:val="center"/>
          </w:tcPr>
          <w:p>
            <w:pPr>
              <w:jc w:val="right"/>
            </w:pPr>
            <w:r/>
            <w:r>
              <w:rPr>
                <w:rFonts w:hint="eastAsia"/>
                <w:color w:val="000000"/>
                <w:sz w:val="21"/>
              </w:rPr>
              <w:t>9.70</w:t>
            </w:r>
          </w:p>
        </w:tc>
      </w:tr>
      <w:tr>
        <w:trPr>
          <w:cantSplit/>
          <w:jc w:val="center"/>
        </w:trPr>
        <w:tc>
          <w:tcPr>
            <w:tcW w:w="1000" w:type="pct"/>
            <w:tcBorders>
              <w:top w:val="single" w:sz="4" w:space="0" w:color="010000"/>
            </w:tcBorders>
            <w:vAlign w:val="center"/>
          </w:tcPr>
          <w:p>
            <w:pPr>
              <w:jc w:val="left"/>
            </w:pPr>
            <w:r/>
            <w:r>
              <w:rPr>
                <w:rFonts w:hint="eastAsia"/>
                <w:color w:val="000000"/>
                <w:sz w:val="21"/>
              </w:rPr>
              <w:t>气体分布盘</w:t>
            </w:r>
          </w:p>
        </w:tc>
        <w:tc>
          <w:tcPr>
            <w:tcW w:w="800" w:type="pct"/>
            <w:tcBorders>
              <w:top w:val="single" w:sz="4" w:space="0" w:color="010000"/>
            </w:tcBorders>
            <w:vAlign w:val="center"/>
          </w:tcPr>
          <w:p>
            <w:pPr>
              <w:jc w:val="center"/>
            </w:pPr>
            <w:r/>
            <w:r>
              <w:rPr>
                <w:rFonts w:hint="eastAsia"/>
                <w:color w:val="000000"/>
                <w:sz w:val="21"/>
              </w:rPr>
              <w:t>精密气体喷头</w:t>
            </w:r>
          </w:p>
        </w:tc>
        <w:tc>
          <w:tcPr>
            <w:tcW w:w="800" w:type="pct"/>
            <w:tcBorders>
              <w:top w:val="single" w:sz="4" w:space="0" w:color="010000"/>
            </w:tcBorders>
            <w:vAlign w:val="center"/>
          </w:tcPr>
          <w:p>
            <w:pPr>
              <w:jc w:val="right"/>
            </w:pPr>
            <w:r/>
            <w:r>
              <w:rPr>
                <w:rFonts w:hint="eastAsia"/>
                <w:color w:val="000000"/>
                <w:sz w:val="21"/>
              </w:rPr>
              <w:t>25.88</w:t>
            </w:r>
          </w:p>
        </w:tc>
        <w:tc>
          <w:tcPr>
            <w:tcW w:w="800" w:type="pct"/>
            <w:tcBorders>
              <w:top w:val="single" w:sz="4" w:space="0" w:color="010000"/>
            </w:tcBorders>
            <w:vAlign w:val="center"/>
          </w:tcPr>
          <w:p>
            <w:pPr>
              <w:jc w:val="right"/>
            </w:pPr>
            <w:r/>
            <w:r>
              <w:rPr>
                <w:rFonts w:hint="eastAsia"/>
                <w:color w:val="000000"/>
                <w:sz w:val="21"/>
              </w:rPr>
              <w:t>5.56</w:t>
            </w:r>
          </w:p>
        </w:tc>
        <w:tc>
          <w:tcPr>
            <w:tcW w:w="800" w:type="pct"/>
            <w:tcBorders>
              <w:top w:val="single" w:sz="4" w:space="0" w:color="010000"/>
            </w:tcBorders>
            <w:vAlign w:val="center"/>
          </w:tcPr>
          <w:p>
            <w:pPr>
              <w:jc w:val="right"/>
            </w:pPr>
            <w:r/>
            <w:r>
              <w:rPr>
                <w:rFonts w:hint="eastAsia"/>
                <w:color w:val="000000"/>
                <w:sz w:val="21"/>
              </w:rPr>
              <w:t>20.05</w:t>
            </w:r>
          </w:p>
        </w:tc>
        <w:tc>
          <w:tcPr>
            <w:tcW w:w="800" w:type="pct"/>
            <w:tcBorders>
              <w:top w:val="single" w:sz="4" w:space="0" w:color="010000"/>
            </w:tcBorders>
            <w:vAlign w:val="center"/>
          </w:tcPr>
          <w:p>
            <w:pPr>
              <w:jc w:val="right"/>
            </w:pPr>
            <w:r/>
            <w:r>
              <w:rPr>
                <w:rFonts w:hint="eastAsia"/>
                <w:color w:val="000000"/>
                <w:sz w:val="21"/>
              </w:rPr>
              <w:t>4.78</w:t>
            </w:r>
          </w:p>
        </w:tc>
      </w:tr>
      <w:tr>
        <w:trPr>
          <w:cantSplit/>
          <w:jc w:val="center"/>
        </w:trPr>
        <w:tc>
          <w:tcPr>
            <w:tcW w:w="1000" w:type="pct"/>
            <w:tcBorders>
              <w:top w:val="single" w:sz="4" w:space="0" w:color="010000"/>
            </w:tcBorders>
            <w:vAlign w:val="center"/>
          </w:tcPr>
          <w:p>
            <w:pPr>
              <w:jc w:val="left"/>
            </w:pPr>
            <w:r/>
            <w:r>
              <w:rPr>
                <w:rFonts w:hint="eastAsia"/>
                <w:color w:val="000000"/>
                <w:sz w:val="21"/>
              </w:rPr>
              <w:t>匀气环</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24.48</w:t>
            </w:r>
          </w:p>
        </w:tc>
        <w:tc>
          <w:tcPr>
            <w:tcW w:w="800" w:type="pct"/>
            <w:tcBorders>
              <w:top w:val="single" w:sz="4" w:space="0" w:color="010000"/>
            </w:tcBorders>
            <w:vAlign w:val="center"/>
          </w:tcPr>
          <w:p>
            <w:pPr>
              <w:jc w:val="right"/>
            </w:pPr>
            <w:r/>
            <w:r>
              <w:rPr>
                <w:rFonts w:hint="eastAsia"/>
                <w:color w:val="000000"/>
                <w:sz w:val="21"/>
              </w:rPr>
              <w:t>10.34</w:t>
            </w:r>
          </w:p>
        </w:tc>
        <w:tc>
          <w:tcPr>
            <w:tcW w:w="800" w:type="pct"/>
            <w:tcBorders>
              <w:top w:val="single" w:sz="4" w:space="0" w:color="010000"/>
            </w:tcBorders>
            <w:vAlign w:val="center"/>
          </w:tcPr>
          <w:p>
            <w:pPr>
              <w:jc w:val="right"/>
            </w:pPr>
            <w:r/>
            <w:r>
              <w:rPr>
                <w:rFonts w:hint="eastAsia"/>
                <w:color w:val="000000"/>
                <w:sz w:val="21"/>
              </w:rPr>
              <w:t>21.08</w:t>
            </w:r>
          </w:p>
        </w:tc>
        <w:tc>
          <w:tcPr>
            <w:tcW w:w="800" w:type="pct"/>
            <w:tcBorders>
              <w:top w:val="single" w:sz="4" w:space="0" w:color="010000"/>
            </w:tcBorders>
            <w:vAlign w:val="center"/>
          </w:tcPr>
          <w:p>
            <w:pPr>
              <w:jc w:val="right"/>
            </w:pPr>
            <w:r/>
            <w:r>
              <w:rPr>
                <w:rFonts w:hint="eastAsia"/>
                <w:color w:val="000000"/>
                <w:sz w:val="21"/>
              </w:rPr>
              <w:t>6.01</w:t>
            </w:r>
          </w:p>
        </w:tc>
      </w:tr>
      <w:tr>
        <w:trPr>
          <w:cantSplit/>
          <w:jc w:val="center"/>
        </w:trPr>
        <w:tc>
          <w:tcPr>
            <w:tcW w:w="1000" w:type="pct"/>
            <w:tcBorders>
              <w:top w:val="single" w:sz="4" w:space="0" w:color="010000"/>
            </w:tcBorders>
            <w:vAlign w:val="center"/>
          </w:tcPr>
          <w:p>
            <w:pPr>
              <w:jc w:val="left"/>
            </w:pPr>
            <w:r/>
            <w:r>
              <w:rPr>
                <w:rFonts w:hint="eastAsia"/>
                <w:color w:val="000000"/>
                <w:sz w:val="21"/>
              </w:rPr>
              <w:t>关键工艺零部件合计</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37.52</w:t>
            </w:r>
          </w:p>
        </w:tc>
        <w:tc>
          <w:tcPr>
            <w:tcW w:w="800" w:type="pct"/>
            <w:tcBorders>
              <w:top w:val="single" w:sz="4" w:space="0" w:color="010000"/>
            </w:tcBorders>
            <w:vAlign w:val="center"/>
          </w:tcPr>
          <w:p>
            <w:pPr>
              <w:jc w:val="right"/>
            </w:pPr>
            <w:r/>
            <w:r>
              <w:rPr>
                <w:rFonts w:hint="eastAsia"/>
                <w:color w:val="000000"/>
                <w:sz w:val="21"/>
              </w:rPr>
              <w:t>50.24</w:t>
            </w:r>
          </w:p>
        </w:tc>
        <w:tc>
          <w:tcPr>
            <w:tcW w:w="800" w:type="pct"/>
            <w:tcBorders>
              <w:top w:val="single" w:sz="4" w:space="0" w:color="010000"/>
            </w:tcBorders>
            <w:vAlign w:val="center"/>
          </w:tcPr>
          <w:p>
            <w:pPr>
              <w:jc w:val="right"/>
            </w:pPr>
            <w:r/>
            <w:r>
              <w:rPr>
                <w:rFonts w:hint="eastAsia"/>
                <w:color w:val="000000"/>
                <w:sz w:val="21"/>
              </w:rPr>
              <w:t>31.50</w:t>
            </w:r>
          </w:p>
        </w:tc>
        <w:tc>
          <w:tcPr>
            <w:tcW w:w="800" w:type="pct"/>
            <w:tcBorders>
              <w:top w:val="single" w:sz="4" w:space="0" w:color="010000"/>
            </w:tcBorders>
            <w:vAlign w:val="center"/>
          </w:tcPr>
          <w:p>
            <w:pPr>
              <w:jc w:val="right"/>
            </w:pPr>
            <w:r/>
            <w:r>
              <w:rPr>
                <w:rFonts w:hint="eastAsia"/>
                <w:color w:val="000000"/>
                <w:sz w:val="21"/>
              </w:rPr>
              <w:t>41.33</w:t>
            </w:r>
          </w:p>
        </w:tc>
      </w:tr>
    </w:tbl>
    <w:p>
      <w:pPr>
        <w:pStyle w:val="a6"/>
        <w:jc w:val="center"/>
      </w:pPr>
      <w:r>
        <w:rPr>
          <w:rFonts w:hint="eastAsia"/>
          <w:sz w:val="11"/>
          <w:szCs w:val="11"/>
        </w:rPr>
        <w:t>资料来源：托伦斯关于第二轮审核问询函的回复意见，本报告整理。注：按2024年毛利率降序排列；本表为半导体关键工艺零部件的构成，不含该公司的工艺零部件、结构零部件与激光设备零部件，故各行收入占比之和不为100%。</w:t>
      </w:r>
    </w:p>
    <w:p>
      <w:pPr>
        <w:keepNext/>
        <w:jc w:val="center"/>
      </w:pPr>
      <w:r>
        <w:drawing>
          <wp:inline xmlns:a="http://schemas.openxmlformats.org/drawingml/2006/main" xmlns:pic="http://schemas.openxmlformats.org/drawingml/2006/picture">
            <wp:extent cx="5074920" cy="2470684"/>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470684"/>
                    </a:xfrm>
                    <a:prstGeom prst="rect"/>
                  </pic:spPr>
                </pic:pic>
              </a:graphicData>
            </a:graphic>
          </wp:inline>
        </w:drawing>
      </w:r>
    </w:p>
    <w:p>
      <w:pPr>
        <w:jc w:val="center"/>
      </w:pPr>
      <w:r>
        <w:rPr>
          <w:rFonts w:hint="eastAsia"/>
          <w:b/>
          <w:sz w:val="21"/>
        </w:rPr>
        <w:t>图3  托伦斯与无锡金源对应产品的毛利率变动</w:t>
      </w:r>
    </w:p>
    <w:p>
      <w:pPr>
        <w:pStyle w:val="a6"/>
        <w:jc w:val="center"/>
      </w:pPr>
      <w:r>
        <w:rPr>
          <w:rFonts w:hint="eastAsia"/>
          <w:sz w:val="11"/>
          <w:szCs w:val="11"/>
        </w:rPr>
        <w:t>资料来源：托伦斯关于第二轮审核问询函的回复意见，本报告整理</w:t>
      </w:r>
    </w:p>
    <w:p>
      <w:pPr>
        <w:pStyle w:val="3"/>
        <w:numPr>
          <w:ilvl w:val="0"/>
          <w:numId w:val="0"/>
        </w:numPr>
        <w:spacing w:before="156" w:after="156"/>
      </w:pPr>
      <w:bookmarkStart w:id="1019" w:name="_Toc900019"/>
      <w:r>
        <w:rPr>
          <w:rFonts w:hint="eastAsia"/>
        </w:rPr>
        <w:t>5.4 研发投入水平</w:t>
      </w:r>
      <w:bookmarkEnd w:id="1019"/>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资料来源：托伦斯招股说明书（注册稿），本报告整理。注：数据来源于可比公司定期报告；富创精密及珂玛科技尚未披露2025年年度数据，列示2025年1—9月数据。</w:t>
      </w:r>
    </w:p>
    <w:p>
      <w:pPr>
        <w:pStyle w:val="2"/>
        <w:spacing w:before="156" w:after="156"/>
      </w:pPr>
      <w:bookmarkStart w:id="1020" w:name="_Toc900020"/>
      <w:r>
        <w:rPr>
          <w:rFonts w:hint="eastAsia"/>
          <w:b/>
        </w:rPr>
        <w:t>首次公开发行审核关注要点</w:t>
      </w:r>
      <w:bookmarkEnd w:id="1020"/>
    </w:p>
    <w:p>
      <w:pPr>
        <w:pStyle w:val="3"/>
        <w:numPr>
          <w:ilvl w:val="0"/>
          <w:numId w:val="0"/>
        </w:numPr>
        <w:spacing w:before="156" w:after="156"/>
      </w:pPr>
      <w:bookmarkStart w:id="1021" w:name="_Toc900021"/>
      <w:r>
        <w:rPr>
          <w:rFonts w:hint="eastAsia"/>
        </w:rPr>
        <w:t>6.1 样本与甄别方法</w:t>
      </w:r>
      <w:bookmarkEnd w:id="1021"/>
    </w:p>
    <w:p>
      <w:pPr>
        <w:pStyle w:val="a0"/>
      </w:pPr>
      <w:r>
        <w:rPr>
          <w:rFonts w:hint="eastAsia"/>
        </w:rPr>
        <w:t>本章选取四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keepNext/>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刻蚀用硅电极即硅气体分配盘，与精密气体喷头功能相同、材料路线不同；四轮问询下的产销勾稽与能耗核查颗粒度为四家样本中最细</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的可比性依据为臻宝科技招股说明书的表述——“刻蚀用硅电极（本材料中硅电极即为硅气体分配盘）”；该公司同时经营单晶硅材料，业务范围宽于纯零部件加工，本章仅援引其对制造型企业具有共性的问题；注三：本章不含下游设备整机企业的案例。</w:t>
      </w:r>
    </w:p>
    <w:p>
      <w:pPr>
        <w:pStyle w:val="a0"/>
      </w:pPr>
      <w:r>
        <w:rPr>
          <w:rFonts w:hint="eastAsia"/>
        </w:rPr>
        <w:t>四家企业的问题数量均逐轮收敛。托伦斯由首轮15个收敛至第二轮3个、落实函1个；臻宝科技由首轮13个收敛至第二轮5个；珂玛科技首轮问题编号至19、收敛至第二轮5个、落实函3个；神工股份由首轮49个依次收敛至20个、8个、8个，落实函2个。收敛后仍保留的问题，即为审核实际关注的核心。</w:t>
      </w:r>
    </w:p>
    <w:p>
      <w:pPr>
        <w:keepNext/>
        <w:jc w:val="center"/>
      </w:pPr>
      <w:r>
        <w:drawing>
          <wp:inline xmlns:a="http://schemas.openxmlformats.org/drawingml/2006/main" xmlns:pic="http://schemas.openxmlformats.org/drawingml/2006/picture">
            <wp:extent cx="5074920" cy="2277207"/>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77207"/>
                    </a:xfrm>
                    <a:prstGeom prst="rect"/>
                  </pic:spPr>
                </pic:pic>
              </a:graphicData>
            </a:graphic>
          </wp:inline>
        </w:drawing>
      </w:r>
    </w:p>
    <w:p>
      <w:pPr>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以下各节先列交易所问了什么、中介机构调了哪些材料去答，内容取自交易所网站已公开披露的问询回复文件，发行人与中介机构自己下的结论性意见不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2" w:name="_Toc900022"/>
      <w:r>
        <w:rPr>
          <w:rFonts w:hint="eastAsia"/>
        </w:rPr>
        <w:t>6.2 关注点之一：毛利率与成本核算</w:t>
      </w:r>
      <w:bookmarkEnd w:id="1022"/>
    </w:p>
    <w:p>
      <w:pPr>
        <w:pStyle w:val="a0"/>
      </w:pPr>
      <w:r>
        <w:rPr>
          <w:rFonts w:hint="eastAsia"/>
        </w:rPr>
        <w:t>毛利率是四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神工股份第二轮单列毛利率，第四轮转为产品单价和单位成本。</w:t>
      </w:r>
    </w:p>
    <w:p>
      <w:pPr>
        <w:pStyle w:val="a0"/>
      </w:pPr>
      <w:r>
        <w:rPr>
          <w:rFonts w:hint="eastAsia"/>
        </w:rPr>
        <w:t>审核关注毛利率的角度有三类。第一类是产品结构层面的拆分，要求按单一产品逐项列示毛利率、收入占比及其变动影响，托伦斯的分产品毛利率即由此披露。第二类是与同行业可比公司的对标，臻宝科技第二轮问询列示其硅零部件各期毛利率45.83%、50.05%、52.99%、48.28%，与可比公司神工股份、盾源聚芯硅零部件毛利率均值34.65%、34.49%、37.32%、43.74%的差异，并指出发行人硅零部件收入远低于盾源聚芯、且两家可比公司均自研自产硅材料。第三类是成本核算的具体勾稽，臻宝科技第二轮问询指出，2024年及2025年1—6月公司硅零部件实际单位耗用量2.26千克／件、2.34千克／件，小于物料清单单位耗用量2.30千克／件、2.43千克／件。</w:t>
      </w:r>
    </w:p>
    <w:p>
      <w:pPr>
        <w:pStyle w:val="a0"/>
      </w:pPr>
      <w:r>
        <w:rPr>
          <w:rFonts w:hint="eastAsia"/>
        </w:rPr>
        <w:t>毛利率逐年上升同样构成触发点。神工股份报告期各期综合毛利率43.73%、55.10%、63.77%、67.25%四期连续上升，交易所并未接受笼统的技术领先解释，而是要求先按产品规格逐档拆开产量、销量与价格，在拆分数据的基础上再回答毛利率为何高、为何持续上升。</w:t>
      </w:r>
    </w:p>
    <w:p>
      <w:pPr>
        <w:pStyle w:val="a0"/>
      </w:pPr>
      <w:r>
        <w:rPr>
          <w:rFonts w:hint="eastAsia"/>
        </w:rPr>
        <w:t>该类问题在回复中的处理方式以调取台账和量化测算为主。臻宝科技第二轮回复中，中介机构列明的核查程序共九项，包括查阅仓库管理和成本核算制度，获取废料台账与产成品明细并测算利用边角料生产的产品数量与材料成本，获取报废产品明细和材料更换涉及的产品清单并对良率变动作量化分析，获取物料清单并与实际投入产出关系对比，以及查阅收入成本明细表按产品类型分析单位成本与毛利率变动。珂玛科技在审核中心意见落实函中的做法是获取产品规格数据，测算主要产品的单位体积价格与单位体积成本，再量化各因素对毛利率变动的影响。归纳而言，毛利率的解释被要求建立在产品级、纯度级、尺寸级的数据拆分之上，而非直接归因于技术水平。</w:t>
      </w:r>
    </w:p>
    <w:p>
      <w:pPr>
        <w:pStyle w:val="3"/>
        <w:numPr>
          <w:ilvl w:val="0"/>
          <w:numId w:val="0"/>
        </w:numPr>
        <w:spacing w:before="156" w:after="156"/>
      </w:pPr>
      <w:bookmarkStart w:id="1023" w:name="_Toc900023"/>
      <w:r>
        <w:rPr>
          <w:rFonts w:hint="eastAsia"/>
        </w:rPr>
        <w:t>6.3 关注点之二：技术先进性与核心技术</w:t>
      </w:r>
      <w:bookmarkEnd w:id="1023"/>
    </w:p>
    <w:p>
      <w:pPr>
        <w:pStyle w:val="a0"/>
      </w:pPr>
      <w:r>
        <w:rPr>
          <w:rFonts w:hint="eastAsia"/>
        </w:rPr>
        <w:t>四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神工股份第二轮设公司行业及核心技术专项，第三轮设发行人产品专项。</w:t>
      </w:r>
    </w:p>
    <w:p>
      <w:pPr>
        <w:pStyle w:val="a0"/>
      </w:pPr>
      <w:r>
        <w:rPr>
          <w:rFonts w:hint="eastAsia"/>
        </w:rPr>
        <w:t>神工股份第三轮问询提供了核心技术与生产设备边界的问法。交易所要求结合各期采购的单晶炉型号及其差异，说明能够生产大尺寸单晶硅材料是否主要因为采购了相应型号的设备，投入产出率提升和能耗降低是否由于外购更为先进的设备或者对外购设备进行了改造改进，并说明具体改进措施及其在研发投入和研发费用中的体现。</w:t>
      </w:r>
    </w:p>
    <w:p>
      <w:pPr>
        <w:pStyle w:val="a0"/>
      </w:pPr>
      <w:r>
        <w:rPr>
          <w:rFonts w:hint="eastAsia"/>
        </w:rPr>
        <w:t>托伦斯第二轮回复对该问题的核查程序共七项，其中四项落在外部印证上：查阅可比公司公开披露的技术指标、专利信息及招股说明书，与发行人技术参数逐项对比；访谈核心客户的采购负责人，确认产品技术性能指标、供应份额排名及与竞争对手的对比情况；访谈客户确认外协厂商是否为其指定或认证的供应商；以及查阅可比公司年度报告统计模组业务收入占比与客户结构。技术先进性的证明因此落在可比对象的公开参数与客户方的确认上。</w:t>
      </w:r>
    </w:p>
    <w:p>
      <w:pPr>
        <w:pStyle w:val="3"/>
        <w:numPr>
          <w:ilvl w:val="0"/>
          <w:numId w:val="0"/>
        </w:numPr>
        <w:spacing w:before="156" w:after="156"/>
      </w:pPr>
      <w:bookmarkStart w:id="1024" w:name="_Toc900024"/>
      <w:r>
        <w:rPr>
          <w:rFonts w:hint="eastAsia"/>
        </w:rPr>
        <w:t>6.4 关注点之三：收入与业绩可持续性</w:t>
      </w:r>
      <w:bookmarkEnd w:id="1024"/>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其核查程序共六项，包括查阅SEMI、QY Research等机构发布的市场规模与国产化率数据以复核测算逻辑，获取募投项目可行性研究报告与经济效益测算表，查阅下游行业研究报告与主要厂商资本开支计划，查阅可比公司及下游主要客户的定期报告，以及获取在手订单分析价格变动与产能增长。业绩变动最终被要求归因到可外部验证的行业数据与可比公司、下游客户的定期报告上。</w:t>
      </w:r>
    </w:p>
    <w:p>
      <w:pPr>
        <w:pStyle w:val="3"/>
        <w:numPr>
          <w:ilvl w:val="0"/>
          <w:numId w:val="0"/>
        </w:numPr>
        <w:spacing w:before="156" w:after="156"/>
      </w:pPr>
      <w:bookmarkStart w:id="1025" w:name="_Toc900025"/>
      <w:r>
        <w:rPr>
          <w:rFonts w:hint="eastAsia"/>
        </w:rPr>
        <w:t>6.5 关注点之四：客户与供应商</w:t>
      </w:r>
      <w:bookmarkEnd w:id="1025"/>
    </w:p>
    <w:p>
      <w:pPr>
        <w:pStyle w:val="a0"/>
      </w:pPr>
      <w:r>
        <w:rPr>
          <w:rFonts w:hint="eastAsia"/>
        </w:rPr>
        <w:t>四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方式，是查阅采购明细表并访谈主要供应商取得其说明，再结合市场价格、可比公司采购价格、向不同供应商的采购价格与供应商向其他客户的销售价格作四方对照。神工股份第四轮问询则给出了境外销售的核查颗粒度，要求列表说明各期确认收入的重要销售订单的客户名称、订单金额、合同签订时间、报关出口时间、运输方式、运费金额、客户签收日期与回款时间，并按合同顺序提供对应的销售合同、出口报关单、客户签收凭据与客户付款凭证。在缺少市场公开报价的品类上，价格公允性依靠多个可比维度的交叉对照建立；主要产品出口的企业，收入真实性核查则落到单笔订单的单证闭环上。</w:t>
      </w:r>
    </w:p>
    <w:p>
      <w:pPr>
        <w:pStyle w:val="3"/>
        <w:numPr>
          <w:ilvl w:val="0"/>
          <w:numId w:val="0"/>
        </w:numPr>
        <w:spacing w:before="156" w:after="156"/>
      </w:pPr>
      <w:bookmarkStart w:id="1026" w:name="_Toc900026"/>
      <w:r>
        <w:rPr>
          <w:rFonts w:hint="eastAsia"/>
        </w:rPr>
        <w:t>6.6 关注点之五：产销勾稽与投入产出</w:t>
      </w:r>
      <w:bookmarkEnd w:id="1026"/>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第四轮问询的问法可以说明核查深度。交易所列出报告期各期按重量计算与按长度计算的两套产销比，2016年至2019年1—6月按重量口径分别为103.05%、96.58%、90.56%、54.12%，按长度口径分别为99.37%、90.41%、94.66%、59.71%，要求从定性和定量两方面说明两套口径的差异原因及合理性。同一轮次还列出各期单位设备用水量12,885.71、9,254.55、5,814.29和1,063.33吨／台，单位设备用电量87.33、88.86、95.69和45.23万千瓦时／台（末期为2019年1—6月半年数），要求列表说明各月度用水量、用电量与当月产量、在产设备数量的配比关系及差异原因，同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并访谈管理层了解两套口径之间的勾稽关系。这一类问题的实质是以物理量交叉验证财务数据：原材料投入量、能耗、设备台数、产量、销量、出口报关量之间需要形成可复算的对应关系，任一环节的口径切换都要给出量化解释。</w:t>
      </w:r>
    </w:p>
    <w:p>
      <w:pPr>
        <w:pStyle w:val="3"/>
        <w:numPr>
          <w:ilvl w:val="0"/>
          <w:numId w:val="0"/>
        </w:numPr>
        <w:spacing w:before="156" w:after="156"/>
      </w:pPr>
      <w:bookmarkStart w:id="1027" w:name="_Toc900027"/>
      <w:r>
        <w:rPr>
          <w:rFonts w:hint="eastAsia"/>
        </w:rPr>
        <w:t>6.7 关注点之六：募投项目与产能消化</w:t>
      </w:r>
      <w:bookmarkEnd w:id="1027"/>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关注角度为新增产能的测算依据、与在手订单及客户需求的匹配、产能爬坡节奏，以及产能利用率下降对毛利率的影响。募投项目的实施场地安排本身也构成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8" w:name="_Toc900028"/>
      <w:r>
        <w:rPr>
          <w:rFonts w:hint="eastAsia"/>
        </w:rPr>
        <w:t>6.8 各关注点对应的核查材料</w:t>
      </w:r>
      <w:bookmarkEnd w:id="1028"/>
    </w:p>
    <w:p>
      <w:pPr>
        <w:pStyle w:val="a0"/>
      </w:pPr>
      <w:r>
        <w:rPr>
          <w:rFonts w:hint="eastAsia"/>
        </w:rPr>
        <w:t>将四家企业公开问询回复中中介机构实际调取的材料按关注点归并，可以看到同一类问题在不同企业、不同年份的核查落点高度一致。下表右列为该类材料在企业日常经营中的对应记录，系依据中列内容归纳。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keepNext/>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资料来源：托伦斯、臻宝科技、珂玛科技、神工股份的审核问询函回复、上市委审议意见落实函回复与审核中心意见落实函回复，本报告整理。注：右列系依据中列内容归纳，非监管规则的列举。</w:t>
      </w:r>
    </w:p>
    <w:p>
      <w:pPr>
        <w:pStyle w:val="2"/>
        <w:spacing w:before="156" w:after="156"/>
      </w:pPr>
      <w:bookmarkStart w:id="1029" w:name="_Toc900029"/>
      <w:r>
        <w:rPr>
          <w:rFonts w:hint="eastAsia"/>
          <w:b/>
        </w:rPr>
        <w:t>与国泰海通相关的产业链公司</w:t>
      </w:r>
      <w:bookmarkEnd w:id="1029"/>
    </w:p>
    <w:p>
      <w:pPr>
        <w:pStyle w:val="a0"/>
      </w:pPr>
      <w:r>
        <w:rPr>
          <w:rFonts w:hint="eastAsia"/>
        </w:rPr>
        <w:t>本章列示国泰海通在半导体设备与零部件领域的在审、辅导、已保荐上市与再融资项目。各表末列标注该公司与无锡金源在产业链上的位置关系，关系判断依据为产品在设备中的功能位置，不涉及双方是否已存在业务往来。</w:t>
      </w:r>
    </w:p>
    <w:p>
      <w:pPr>
        <w:pStyle w:val="3"/>
        <w:numPr>
          <w:ilvl w:val="0"/>
          <w:numId w:val="0"/>
        </w:numPr>
        <w:spacing w:before="156" w:after="156"/>
      </w:pPr>
      <w:bookmarkStart w:id="1030" w:name="_Toc900030"/>
      <w:r>
        <w:rPr>
          <w:rFonts w:hint="eastAsia"/>
        </w:rPr>
        <w:t>7.1 在审与辅导中的项目</w:t>
      </w:r>
      <w:bookmarkEnd w:id="1030"/>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1" w:name="_Toc900031"/>
      <w:r>
        <w:rPr>
          <w:rFonts w:hint="eastAsia"/>
        </w:rPr>
        <w:t>7.2 已保荐上市与再融资的相关公司</w:t>
      </w:r>
      <w:bookmarkEnd w:id="1031"/>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同处零部件与耗材环节；其刻蚀用硅电极即硅气体分配盘，与精密气体喷头为同一功能部件的不同材料路线</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2025年度向特定对象发行，2026年3月19日审核通过</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2" w:name="_Toc900032"/>
      <w:r>
        <w:rPr>
          <w:rFonts w:hint="eastAsia"/>
          <w:b/>
        </w:rPr>
        <w:t>拜访关注要点</w:t>
      </w:r>
      <w:bookmarkEnd w:id="1032"/>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keepNext/>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气体喷头与加热盘分别采用何种材料？加热盘是金属路线还是氮化铝陶瓷路线？各产品的生产工艺环节如何划分，哪些工序自制、哪些外协？产品的耐等离子体腐蚀性能与使用寿命指标如何？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本报告表1右两列为同类产品的通行材料与工艺，非公司披露信息。材料属性直接决定毛利率区间：2025年非金属路线的珂玛科技53.94%、臻宝科技49.85%，金属路线的先锋精科29.02%、托伦斯27.14%、富创精密24.94%。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见本报告3.3。客户导入分合格供应商认证、产品认证、批量生产三个阶段；客户集中度是四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门板本体属金属结构件、随设备生命周期，其上的密封件属耗材、需定期更换，两者的收入形态不同，见本报告表3。</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可比公司2025年研发费用率区间为4.44%至9.32%。技术先进性是四家样本企业均被问及的事项，托伦斯第二轮被要求说明高精度机械制造、焊接、表面处理三项核心工艺的技术水平。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神工股份被要求同时提供按重量与按长度两套口径的产销数据，并按月列示水电用量与产量、在产设备数量的配比关系，相关核查材料见本报告表13。</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3" w:name="_Toc900033"/>
      <w:r>
        <w:rPr>
          <w:rFonts w:hint="eastAsia"/>
          <w:b/>
        </w:rPr>
        <w:t>主要数据来源与口径说明</w:t>
      </w:r>
      <w:bookmarkEnd w:id="1033"/>
    </w:p>
    <w:p>
      <w:pPr>
        <w:pStyle w:val="a0"/>
      </w:pPr>
      <w:r>
        <w:rPr>
          <w:rFonts w:hint="eastAsia"/>
        </w:rPr>
        <w:t>本报告数据分为四类。行业数据来自弗若斯特沙利文、QY Research、IC World等机构的统计，经臻宝科技与托伦斯招股说明书列示并由中介机构核查；可比公司经营与财务数据来自各公司定期报告、托伦斯招股说明书中的同行业可比公司比较章节与Wind整理成果；审核关注要点来自四家样本企业的审核问询函回复与落实函回复；标的公司信息来自企业信用信息公示与公司官网。</w:t>
      </w:r>
    </w:p>
    <w:p>
      <w:pPr>
        <w:pStyle w:val="a0"/>
      </w:pPr>
      <w:r>
        <w:rPr>
          <w:rFonts w:hint="eastAsia"/>
        </w:rPr>
        <w:t>口径方面，晶圆厂采购额与向零部件厂商直接采购额为两个不同口径，本报告分别列示，不作合并；毛利率跨材料路线的比较均注明产品属性，不直接排序优劣；细分品类的市场规模基期与预测期不一致，本报告分别标注，不作横向比较；表9的2025年毛利率中，除先锋精科、臻宝科技外为前三季度口径；表10为托伦斯半导体关键工艺零部件的分产品构成，不含其工艺零部件、结构零部件与激光设备零部件，故各行收入占比之和不为100%。</w:t>
      </w:r>
    </w:p>
    <w:p>
      <w:pPr>
        <w:pStyle w:val="a0"/>
      </w:pPr>
      <w:r>
        <w:rPr>
          <w:rFonts w:hint="eastAsia"/>
        </w:rPr>
        <w:t>本报告表1至表4中与无锡金源产品的对应关系，以及表14、表15中的产业链关系，均为本报告依据产品功能与材料属性归纳，非公司或第三方披露信息。</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