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位于设备制造与晶圆制造之间，采购路径有两条：设备厂商采购用于整机装配，晶圆厂在设备运行中采购用于替换损耗件。前者跟随设备厂出货与晶圆厂资本开支，后者跟随产线的产能利用率与工艺运行时长。两条路径均以通过客户认证为前提，因此本环节的壁垒集中在客户导入，而非产能。</w:t>
      </w:r>
    </w:p>
    <w:p>
      <w:pPr>
        <w:spacing w:line="360" w:lineRule="auto" w:before="120"/>
        <w:ind w:firstLine="480"/>
        <w:jc w:val="both"/>
      </w:pPr>
      <w:r>
        <w:rPr>
          <w:rFonts w:ascii="Times New Roman" w:hAnsi="Times New Roman" w:eastAsia="宋体"/>
          <w:b w:val="0"/>
          <w:sz w:val="24"/>
        </w:rPr>
        <w:t xml:space="preserve">客户导入分三步。第一步为合格供应商认证，客户对加工能力、产能与工艺稳定性逐项评估，涉及机加工、焊接与表面处理的还需单独考察；第二步为产品认证，按具体机型试制并交客户验证；第三步方进入批量生产。前两步不产生收入，却决定后续订单的归属，新进入者的时间成本主要发生在这一阶段。</w:t>
      </w:r>
    </w:p>
    <w:p>
      <w:pPr>
        <w:spacing w:line="360" w:lineRule="auto" w:before="120"/>
        <w:ind w:firstLine="480"/>
        <w:jc w:val="both"/>
      </w:pPr>
      <w:r>
        <w:rPr>
          <w:rFonts w:ascii="Times New Roman" w:hAnsi="Times New Roman" w:eastAsia="宋体"/>
          <w:b w:val="0"/>
          <w:sz w:val="24"/>
        </w:rPr>
        <w:t xml:space="preserve">高壁垒对应高集中度。零部件行业整体集中度约 50%，细分品类普遍更高，本环节的机会因而在单一品类的突破，而非规模上的全面比拼。公司对应的三个品类，竞争格局与国产化程度各不相同。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气体喷淋头的规模在三个品类中最大，国产供给形成也最早。喷淋头按材质分为硅质、金属与其他三类。据 QYResearch 统计，2024 年全球硅质喷淋头产量约 25 万只、单价 3,600 美元，金属喷淋头产量约 15 万只、单价 1,400 美元；按此测算，金属喷淋头约占全球喷淋头市场的 18%，硅质约占 77%。公司所处的金属一路全球份额较小，却是国内切入较早的一路，富创精密、新莱应材、江丰电子、先锋精科、安徽博芯微等均有产品在售，先锋精科 2023 年匀气盘收入 4,287.18 万元、销量 6,034 件。</w:t>
      </w:r>
    </w:p>
    <w:p>
      <w:pPr>
        <w:spacing w:line="360" w:lineRule="auto" w:before="120"/>
        <w:ind w:firstLine="480"/>
        <w:jc w:val="both"/>
      </w:pPr>
      <w:r>
        <w:rPr>
          <w:rFonts w:ascii="Times New Roman" w:hAnsi="Times New Roman" w:eastAsia="宋体"/>
          <w:b w:val="0"/>
          <w:sz w:val="24"/>
        </w:rPr>
        <w:t xml:space="preserve">氮化铝陶瓷加热器与喷淋头不同，至今仍由日系企业主导，下游高度集中于薄膜沉积。按应用划分，化学气相沉积设备占 58%，为第一大应用，其次为原子层沉积与等离子体增强化学气相沉积。国内需求与供给之间存在缺口，能够加工氮化铝陶瓷加热盘的厂家数量有限。该缺口已开始收窄，珂玛科技的陶瓷加热器已实现量产，中瓷电子已突破多区控温并进入存储厂验证。</w:t>
      </w:r>
    </w:p>
    <w:p>
      <w:pPr>
        <w:spacing w:line="360" w:lineRule="auto" w:before="120"/>
        <w:ind w:firstLine="480"/>
        <w:jc w:val="both"/>
      </w:pPr>
      <w:r>
        <w:rPr>
          <w:rFonts w:ascii="Times New Roman" w:hAnsi="Times New Roman" w:eastAsia="宋体"/>
          <w:b w:val="0"/>
          <w:sz w:val="24"/>
        </w:rPr>
        <w:t xml:space="preserve">半导体级全氟醚橡胶密封件的境外集中度更高，2024 年国产化率不足 10%。国内以芯密科技为先行者。其刻蚀用密封圈 2022 年至 2024 年收入由 1,121.70 万元增至 9,109.84 万元，销量由 8,840 个增至 113,918 个。三年间收入增至约八倍，该品类的国产供给已形成规模。</w:t>
      </w:r>
    </w:p>
    <w:p>
      <w:pPr>
        <w:spacing w:line="360" w:lineRule="auto" w:before="120"/>
        <w:ind w:firstLine="480"/>
        <w:jc w:val="both"/>
      </w:pPr>
      <w:r>
        <w:rPr>
          <w:rFonts w:ascii="Times New Roman" w:hAnsi="Times New Roman" w:eastAsia="宋体"/>
          <w:b w:val="0"/>
          <w:sz w:val="24"/>
        </w:rPr>
        <w:t xml:space="preserve">三个品类的国产化程度依次递减：金属结构件约 30%、基础件可超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三条产品线中，金属气体喷淋头属国产供给已形成的品类，竞争对手主要为同行而非进口件；氮化铝陶瓷加热盘与全氟醚橡胶密封件落在国产化率最低、境外集中度最高的一档，前者的国内加工企业数量本身有限。国内已上市或在审企业中，富创精密与先锋精科覆盖金属件与加热器而不涉密封件，珂玛科技覆盖陶瓷件与陶瓷加热器而不涉密封件，芯密科技专营密封件，公开信息中未见同时覆盖这三类的第二家。三类同时供货对应同一批客户的三类采购需求，单一品类厂商则只对应其中之一。</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需求由增量与存量两条线构成。增量来自晶圆厂扩产带动的新机配套，随设备厂出货节奏波动；存量来自已投产产线的耗材更换，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规模之外，采购路径正在发生转移。2024 年国内晶圆厂零部件采购额合计 177.2 亿元，其中向零部件厂商直接采购 126.6 亿元、占 71.4%；弗若斯特沙利文预计 2029 年采购额达 363.4 亿元，直接采购 291.8 亿元、占 80.3%。两条路径的增速差距更为明显：2025 年至 2029 年，向零部件厂商直接采购的年复合增长率为 15.8%，向设备厂采购为 4.9%。晶圆厂不经设备厂直接向零部件企业采购，已构成正在发生的结构变化。</w:t>
      </w:r>
    </w:p>
    <w:p>
      <w:pPr>
        <w:spacing w:line="360" w:lineRule="auto" w:before="120"/>
        <w:ind w:firstLine="480"/>
        <w:jc w:val="both"/>
      </w:pPr>
      <w:r>
        <w:rPr>
          <w:rFonts w:ascii="Times New Roman" w:hAnsi="Times New Roman" w:eastAsia="宋体"/>
          <w:b w:val="0"/>
          <w:sz w:val="24"/>
        </w:rPr>
        <w:t xml:space="preserve">分品类看，陶瓷零部件的变化幅度更大。2024 年晶圆厂陶瓷零部件采购额 29.4 亿元，直接采购 19.3 亿元、占 65.6%；2029 年预计采购额 52.5 亿元，直接采购占比升至 75.3%。氮化铝陶瓷加热盘落在这一品类。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替代窗口在供需两端一并打开。资金端，国家集成电路产业投资基金三期于 2024 年 5 月成立，注册资本 3,440 亿元，超过一期 1,387 亿元与二期 2,041.5 亿元之和。该基金投向覆盖装备与零部件。供给端，按五家公司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27%。境外供给收缩与国内需求上行同时发生，替代的驱动因素因而不限于价格，还包括交期与供应连续性。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由三年缩短至一年至一年半，并开始承担小批量试制费用，零部件企业得以在机型定型阶段介入。这一开放存在边界：头部设备商在先进制程的静电卡盘与加热盘上仍以自研为主，对外采购集中于成熟制程，零部件企业的上限因而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抬高。气体喷淋头的演进集中在内部流道的微结构优化、耐等离子体侵蚀涂层的应用，以及对更大尺寸晶圆的工艺适配；加热盘的材料由氧化铝转向氮化铝，后者导热性与高温稳定性更优，可在最高 1,600℃ 的环境中运行，为先进制程的首选。据 QYResearch 统计，8 英寸产品目前占氮化铝陶瓷加热器的 63%，12 英寸随先进制程扩产增长。本地化供应链建设亦已列为该环节的主要趋势之一。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增，零部件企业的利润增速明显滞后，降本压力沿产业链向上传导。竞争维度因而由有无供货能力转向盈利能力，能在替代窗口期把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公司的客户覆盖设备整机厂商与晶圆制造厂商两类，对应新机配套与产线备件两条供货路径。两端的采购节奏并不同步，同时进入两端使公司的收入不依赖单一端的周期波动。</w:t>
      </w:r>
    </w:p>
    <w:p>
      <w:pPr>
        <w:keepNext/>
        <w:spacing w:before="120" w:after="60"/>
        <w:jc w:val="center"/>
      </w:pPr>
      <w:r>
        <w:rPr>
          <w:rFonts w:ascii="Times New Roman" w:hAnsi="Times New Roman" w:eastAsia="宋体"/>
          <w:b/>
          <w:sz w:val="21"/>
        </w:rPr>
        <w:t xml:space="preserve">表2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构成客户导入已经完成的直接证据。官网精密气体喷头栏目下的三个型号标注的是设备平台与制程尺寸，而非公司自定的规格编号；产品需与特定机型的既有部件在尺寸、接口与关键指标上对应，否则无法装机。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交付能力是维持客户关系的另一项条件。公司在无锡、合肥与武汉设有生产基地，均位于国内主要存储晶圆制造厂商的配套半径内。零部件属高频更换的耗材，交付响应时效直接影响客户的停机时间，就近配套因而是客户在同等技术条件下的现实偏好。</w:t>
      </w:r>
    </w:p>
    <w:p>
      <w:pPr>
        <w:spacing w:line="360" w:lineRule="auto" w:before="120"/>
        <w:ind w:firstLine="480"/>
        <w:jc w:val="both"/>
      </w:pPr>
      <w:r>
        <w:rPr>
          <w:rFonts w:ascii="Times New Roman" w:hAnsi="Times New Roman" w:eastAsia="宋体"/>
          <w:b w:val="0"/>
          <w:sz w:val="24"/>
        </w:rPr>
        <w:t xml:space="preserve">据此可以认为，公司已完成客户导入中最具门槛的阶段。设备端与晶圆端的供应体系均已进入，且以机型对位的方式供货。后续增长取决于单客户份额的提升与产品线的横向扩展，而非从零开始的客户开发。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路径互不相同。喷淋头的技术集中在微孔加工与气流分配，一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加热盘的技术集中在材料与控温。氮化铝的导热性显著优于氧化铝，热膨胀系数与硅匹配，为先进制程的主流选择。难点在于粉体纯度，以及加热电路与陶瓷基体的高温共烧匹配。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密封件的技术集中在胶料配方。全氟醚橡胶的成型工艺并不复杂，门槛在于配方设计，以及洁净度、离子析出等指标的长期验证。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项、审查中 14 项。专利方向与三条产品线高度对应，气体分配与加热盘两个方向数量最多，其余分布于腔室结构、加工工艺与检测工装。</w:t>
      </w:r>
    </w:p>
    <w:p>
      <w:pPr>
        <w:keepNext/>
        <w:spacing w:before="120" w:after="60"/>
        <w:jc w:val="center"/>
      </w:pPr>
      <w:r>
        <w:rPr>
          <w:rFonts w:ascii="Times New Roman" w:hAnsi="Times New Roman" w:eastAsia="宋体"/>
          <w:b/>
          <w:sz w:val="21"/>
        </w:rPr>
        <w:t xml:space="preserve">表3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既有一体化匀流气相喷淋头、铝合金微孔加工方法等结构与工艺类专利，也有全氟醚橡胶复合材料及其制备方法一类材料配方专利。配方类专利的技术含量高于结构类，全氟醚橡胶的门槛在于胶料而非成型。</w:t>
      </w:r>
    </w:p>
    <w:p>
      <w:pPr>
        <w:spacing w:line="360" w:lineRule="auto" w:before="120"/>
        <w:ind w:firstLine="480"/>
        <w:jc w:val="both"/>
      </w:pPr>
      <w:r>
        <w:rPr>
          <w:rFonts w:ascii="Times New Roman" w:hAnsi="Times New Roman" w:eastAsia="宋体"/>
          <w:b w:val="0"/>
          <w:sz w:val="24"/>
        </w:rPr>
        <w:t xml:space="preserve">产业化已经完成。氮化铝陶瓷加热盘已实现量产，气体喷淋头按泛林机型对位供货。公司的“半导体薄膜沉积设备高精密气体喷淋头”列入《江苏省重点推广应用的新技术新产品目录（2025 年）》“两新”技术产品（江苏省工业和信息化厅，苏工信创新〔2025〕224 号）。该册共收录 1,739 项，涉及气体喷淋头的仅此一项。公司为国家高新技术企业与科技型中小企业，设有市级企业技术中心与工程技术研究中心，并完成企业知识产权管理贯标备案。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据此可以认为，三类技术同时具备的企业在同等规模的零部件厂商中并不常见。三者分属机械、无机非金属与高分子三个学科，多数同行只涉其中一条。公司可因此向同一客户的不同失效点供货，代价是每一条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