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公司的经营范围则同时覆盖金属与非金属两条材料路线，密封件制造、特种陶瓷制品制造与金属制品制造均在列。</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别归入金属工艺件与非金属机械件，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a0"/>
      </w:pPr>
      <w:r>
        <w:rPr>
          <w:rFonts w:hint="eastAsia"/>
        </w:rPr>
        <w:t>其中精密气体喷头有两种供货方式。一是作为新件交付。二是把损耗后的旧件经表面处理修复，重新投用。后者降低的是客户的单位使用成本，而不是一次采购价。对公司而言，收入也由一次性交易转为随设备运行持续发生。同一品类内，能不能提供修复再用，是供应商之间的主要差别。无锡金源的气体喷头两种方式都做。</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硅与碳化硅零部件用于刻蚀设备，用量大、更换周期短；石英零部件用于刻蚀与炉管设备；氧化铝与氮化铝陶瓷用于加热与绝缘部件；全氟醚橡胶等高分子材料用于真空密封件。材料的选择同时决定了零部件的耐受性能与加工工艺路线。</w:t>
      </w:r>
    </w:p>
    <w:p>
      <w:pPr>
        <w:keepNext/>
        <w:jc w:val="center"/>
      </w:pPr>
      <w:r>
        <w:rPr>
          <w:rFonts w:hint="eastAsia"/>
          <w:b/>
          <w:sz w:val="21"/>
        </w:rPr>
        <w:t>表4  各类零部件按材质划分的技术难点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r>
        <w:trPr>
          <w:cantSplit/>
          <w:jc w:val="center"/>
        </w:trPr>
        <w:tc>
          <w:tcPr>
            <w:tcW w:w="778" w:type="pct"/>
            <w:tcBorders>
              <w:top w:val="single" w:sz="4" w:space="0" w:color="010000"/>
            </w:tcBorders>
            <w:vAlign w:val="center"/>
          </w:tcPr>
          <w:p>
            <w:pPr>
              <w:jc w:val="center"/>
            </w:pPr>
            <w:r/>
            <w:r>
              <w:rPr>
                <w:rFonts w:hint="eastAsia"/>
                <w:b/>
                <w:color w:val="000000"/>
                <w:sz w:val="21"/>
              </w:rPr>
              <w:t>密封件</w:t>
            </w:r>
          </w:p>
        </w:tc>
        <w:tc>
          <w:tcPr>
            <w:tcW w:w="2889" w:type="pct"/>
            <w:tcBorders>
              <w:top w:val="single" w:sz="4" w:space="0" w:color="010000"/>
            </w:tcBorders>
            <w:vAlign w:val="center"/>
          </w:tcPr>
          <w:p>
            <w:pPr>
              <w:jc w:val="left"/>
            </w:pPr>
            <w:r/>
            <w:r>
              <w:rPr>
                <w:rFonts w:hint="eastAsia"/>
                <w:b/>
                <w:color w:val="000000"/>
                <w:sz w:val="21"/>
              </w:rPr>
              <w:t>材料需做成分分析与掺杂；耐化性上要应对腐蚀性气体、化学品与臭氧等离子体，并耐高温与机械摩擦；形状特殊，模具加工难度较大</w:t>
            </w:r>
          </w:p>
        </w:tc>
        <w:tc>
          <w:tcPr>
            <w:tcW w:w="1333" w:type="pct"/>
            <w:tcBorders>
              <w:top w:val="single" w:sz="4" w:space="0" w:color="010000"/>
            </w:tcBorders>
            <w:vAlign w:val="center"/>
          </w:tcPr>
          <w:p>
            <w:pPr>
              <w:jc w:val="left"/>
            </w:pPr>
            <w:r/>
            <w:r>
              <w:rPr>
                <w:rFonts w:hint="eastAsia"/>
                <w:b/>
                <w:color w:val="000000"/>
                <w:sz w:val="21"/>
              </w:rPr>
              <w:t>O型圈、门板上的密封件</w:t>
            </w:r>
          </w:p>
        </w:tc>
      </w:tr>
    </w:tbl>
    <w:p>
      <w:pPr>
        <w:pStyle w:val="a6"/>
        <w:jc w:val="center"/>
      </w:pPr>
      <w:r>
        <w:rPr>
          <w:rFonts w:hint="eastAsia"/>
          <w:sz w:val="11"/>
          <w:szCs w:val="11"/>
        </w:rPr>
        <w:t>资料来源：托伦斯招股说明书（注册稿）；先锋精科招股说明书（注册稿），本报告整理。注：密封件一行取自先锋精科招股说明书列示的CIC数据，其余四行取自托伦斯招股说明书；末列系本报告按材料属性对应，公司实际采用的材料以当面确认为准。</w:t>
      </w:r>
    </w:p>
    <w:p>
      <w:pPr>
        <w:pStyle w:val="a0"/>
      </w:pPr>
      <w:r>
        <w:rPr>
          <w:rFonts w:hint="eastAsia"/>
        </w:rPr>
        <w:t>非金属零部件的原材料多通过委托加工定制与成品采购取得，主要供应商为境外企业且多数规模较小。这类材料既无市场公开报价，也无可比公司披露的同类采购价格可供对照，采购价格是否公允难以直接验证。</w:t>
      </w:r>
    </w:p>
    <w:p>
      <w:pPr>
        <w:pStyle w:val="a0"/>
      </w:pPr>
      <w:r>
        <w:rPr>
          <w:rFonts w:hint="eastAsia"/>
        </w:rPr>
        <w:t>无锡金源的四条产品线分属不同材料，上游的约束因此是分开的。加热盘受制于陶瓷粉体，O型圈受制于全氟醚胶料；门板由金属件与高分子密封件组合而成，两头都受影响。气体喷头则取决于走哪条材料路线：走金属路线看铝材与表面处理，走非金属路线看硅、碳化硅的原料纯度与脆性。这四种原料中，陶瓷粉体与全氟醚胶料的门槛最高。两者是自制还是外购，直接决定对应产品线的成本结构，也决定公司在上游有没有单一供应商依赖。</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零部件制造的核心工艺有三类：精密机械加工、焊接、表面处理。产品的特点是精度高、批量小、多品种、尺寸特殊，一件产品往往要同时满足强度、抗腐蚀、电子特性、电磁特性、材料纯度等多项要求。</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a0"/>
      </w:pPr>
      <w:r>
        <w:rPr>
          <w:rFonts w:hint="eastAsia"/>
        </w:rPr>
        <w:t>无锡金源在中游的位置，取决于它做到哪一段。只做制造，就是按图交付的零件供应商，收入随客户的采购批次波动。制造与表面处理都做，才能同时承接新件供货与后续修复，在客户端形成连续的服务关系。公司的气体喷头与门板都要经过表面处理，这一段的自制比例，是判断其生态位的关键。</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无锡金源属于哪一类，尚不能判定。</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keepNext/>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1275" w:type="pct"/>
            <w:tcBorders>
              <w:top w:val="single" w:sz="12" w:space="0" w:color="010000"/>
              <w:bottom w:val="single" w:sz="4" w:space="0" w:color="010000"/>
            </w:tcBorders>
            <w:vAlign w:val="center"/>
          </w:tcPr>
          <w:p>
            <w:pPr>
              <w:jc w:val="center"/>
            </w:pPr>
            <w:r/>
            <w:r>
              <w:rPr>
                <w:rFonts w:hint="eastAsia"/>
                <w:b/>
                <w:color w:val="000000"/>
                <w:sz w:val="21"/>
              </w:rPr>
              <w:t>市场规模</w:t>
            </w:r>
          </w:p>
        </w:tc>
        <w:tc>
          <w:tcPr>
            <w:tcW w:w="1863" w:type="pct"/>
            <w:tcBorders>
              <w:top w:val="single" w:sz="12" w:space="0" w:color="010000"/>
              <w:bottom w:val="single" w:sz="4" w:space="0" w:color="010000"/>
            </w:tcBorders>
            <w:vAlign w:val="center"/>
          </w:tcPr>
          <w:p>
            <w:pPr>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275"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863"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275"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863"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半导体设备用密封件（全氟醚橡胶等）</w:t>
            </w:r>
          </w:p>
        </w:tc>
        <w:tc>
          <w:tcPr>
            <w:tcW w:w="686" w:type="pct"/>
            <w:tcBorders>
              <w:top w:val="single" w:sz="4" w:space="0" w:color="010000"/>
            </w:tcBorders>
            <w:vAlign w:val="center"/>
          </w:tcPr>
          <w:p>
            <w:pPr>
              <w:jc w:val="center"/>
            </w:pPr>
            <w:r/>
            <w:r>
              <w:rPr>
                <w:rFonts w:hint="eastAsia"/>
                <w:color w:val="000000"/>
                <w:sz w:val="21"/>
              </w:rPr>
              <w:t>O型圈</w:t>
            </w:r>
          </w:p>
        </w:tc>
        <w:tc>
          <w:tcPr>
            <w:tcW w:w="1275" w:type="pct"/>
            <w:tcBorders>
              <w:top w:val="single" w:sz="4" w:space="0" w:color="010000"/>
            </w:tcBorders>
            <w:vAlign w:val="center"/>
          </w:tcPr>
          <w:p>
            <w:pPr>
              <w:jc w:val="left"/>
            </w:pPr>
            <w:r/>
            <w:r>
              <w:rPr>
                <w:rFonts w:hint="eastAsia"/>
                <w:color w:val="000000"/>
                <w:sz w:val="21"/>
              </w:rPr>
              <w:t>无独立的公开市场规模统计</w:t>
            </w:r>
          </w:p>
        </w:tc>
        <w:tc>
          <w:tcPr>
            <w:tcW w:w="1863" w:type="pct"/>
            <w:tcBorders>
              <w:top w:val="single" w:sz="4" w:space="0" w:color="010000"/>
            </w:tcBorders>
            <w:vAlign w:val="center"/>
          </w:tcPr>
          <w:p>
            <w:pPr>
              <w:jc w:val="left"/>
            </w:pPr>
            <w:r/>
            <w:r>
              <w:rPr>
                <w:rFonts w:hint="eastAsia"/>
                <w:color w:val="000000"/>
                <w:sz w:val="21"/>
              </w:rPr>
              <w:t>公开信息中未见该品类的份额统计；技术门槛在材料成分与掺杂、耐腐蚀气体与臭氧等离子体的耐化性、以及形状特殊带来的模具加工难度</w:t>
            </w:r>
          </w:p>
        </w:tc>
      </w:tr>
      <w:tr>
        <w:trPr>
          <w:cantSplit/>
          <w:jc w:val="center"/>
        </w:trPr>
        <w:tc>
          <w:tcPr>
            <w:tcW w:w="1176" w:type="pct"/>
            <w:tcBorders>
              <w:top w:val="single" w:sz="4" w:space="0" w:color="010000"/>
            </w:tcBorders>
            <w:vAlign w:val="center"/>
          </w:tcPr>
          <w:p>
            <w:pPr>
              <w:jc w:val="left"/>
            </w:pPr>
            <w:r/>
            <w:r>
              <w:rPr>
                <w:rFonts w:hint="eastAsia"/>
                <w:color w:val="000000"/>
                <w:sz w:val="21"/>
              </w:rPr>
              <w:t>腔体门板等金属结构件</w:t>
            </w:r>
          </w:p>
        </w:tc>
        <w:tc>
          <w:tcPr>
            <w:tcW w:w="686" w:type="pct"/>
            <w:tcBorders>
              <w:top w:val="single" w:sz="4" w:space="0" w:color="010000"/>
            </w:tcBorders>
            <w:vAlign w:val="center"/>
          </w:tcPr>
          <w:p>
            <w:pPr>
              <w:jc w:val="center"/>
            </w:pPr>
            <w:r/>
            <w:r>
              <w:rPr>
                <w:rFonts w:hint="eastAsia"/>
                <w:color w:val="000000"/>
                <w:sz w:val="21"/>
              </w:rPr>
              <w:t>密封件门板</w:t>
            </w:r>
          </w:p>
        </w:tc>
        <w:tc>
          <w:tcPr>
            <w:tcW w:w="1275" w:type="pct"/>
            <w:tcBorders>
              <w:top w:val="single" w:sz="4" w:space="0" w:color="010000"/>
            </w:tcBorders>
            <w:vAlign w:val="center"/>
          </w:tcPr>
          <w:p>
            <w:pPr>
              <w:jc w:val="left"/>
            </w:pPr>
            <w:r/>
            <w:r>
              <w:rPr>
                <w:rFonts w:hint="eastAsia"/>
                <w:color w:val="000000"/>
                <w:sz w:val="21"/>
              </w:rPr>
              <w:t>公开统计中未单列该品类</w:t>
            </w:r>
          </w:p>
        </w:tc>
        <w:tc>
          <w:tcPr>
            <w:tcW w:w="1863" w:type="pct"/>
            <w:tcBorders>
              <w:top w:val="single" w:sz="4" w:space="0" w:color="010000"/>
            </w:tcBorders>
            <w:vAlign w:val="center"/>
          </w:tcPr>
          <w:p>
            <w:pPr>
              <w:jc w:val="left"/>
            </w:pPr>
            <w:r/>
            <w:r>
              <w:rPr>
                <w:rFonts w:hint="eastAsia"/>
                <w:color w:val="000000"/>
                <w:sz w:val="21"/>
              </w:rPr>
              <w:t>属机械类中的简单结构产品，国产化率较高，国内企业已进入国际市场，高端产品国产化率仍低</w:t>
            </w:r>
          </w:p>
        </w:tc>
      </w:tr>
    </w:tbl>
    <w:p>
      <w:pPr>
        <w:pStyle w:val="a6"/>
        <w:jc w:val="center"/>
      </w:pPr>
      <w:r>
        <w:rPr>
          <w:rFonts w:hint="eastAsia"/>
          <w:sz w:val="11"/>
          <w:szCs w:val="11"/>
        </w:rPr>
        <w:t>资料来源：臻宝科技招股说明书（注册稿）；先锋精科招股说明书（注册稿）；托伦斯招股说明书（注册稿），本报告整理。注：前两个品类的规模数据发布机构为QY Research（QYR）；密封件的技术门槛取自先锋精科招股说明书列示的CIC数据；金属结构件的国产化表述取自托伦斯招股说明书的机械类口径。后两个品类无独立的公开市场规模统计，本报告不作估算。</w:t>
      </w:r>
    </w:p>
    <w:p>
      <w:pPr>
        <w:pStyle w:val="a0"/>
      </w:pPr>
      <w:r>
        <w:rPr>
          <w:rFonts w:hint="eastAsia"/>
        </w:rPr>
        <w:t>碳化硅气体分配盘导热性好，抗等离子体腐蚀能力强于硅和石英，使用寿命是硅气体分配盘的2至4倍，设备的工作在线率也随之提高。材质直接决定这一品类的更换频次。</w:t>
      </w:r>
    </w:p>
    <w:p>
      <w:pPr>
        <w:pStyle w:val="a0"/>
      </w:pPr>
      <w:r>
        <w:rPr>
          <w:rFonts w:hint="eastAsia"/>
        </w:rPr>
        <w:t>四条产品线的分量并不相同。精密气体喷头与加热盘所处的两个品类，一个国内尚无稳定量产企业，一个国产化率不足10%，是四项中壁垒最高、国产供给也最少的两项。另两项则相反。O型圈虽同属耗材、收入可重复发生，但公开信息中既无市场规模也无份额统计；门板所属的金属结构件国产化率本身就较高，门槛集中在机加工与装配。</w:t>
      </w:r>
    </w:p>
    <w:p>
      <w:pPr>
        <w:pStyle w:val="a0"/>
      </w:pPr>
      <w:r>
        <w:rPr>
          <w:rFonts w:hint="eastAsia"/>
        </w:rPr>
        <w:t>本报告判断，公司的技术能力集中在气体喷头与加热盘两项，依据有三。一是替换位置。公司的喷头按LAM机型对位供货，尺寸、接口以至关键指标都要与进口原件对齐，否则无法装机。能进入这个位置，本身就是能力的证明。二是技术归属。加热盘走陶瓷路线，公司的技术积累以自有专利为载体，不依附于外部授权。三是服务形态。气体喷头属可再生耗材，公司在新件之外还能提供修复再用，这在同品类供应商中并不普遍。O型圈与密封件门板不构成主要的能力来源，本报告不单独展开，其收入占比与毛利率列入当面确认事项。</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机械类中的简单结构件国产化率较高，国内企业已进入国际市场，高端产品仍未突破；仪器仪表类与光学类的高端产品则基本未国产化。越靠近工艺反应、对材料与精度要求越高的部件，国产化率越低。</w:t>
      </w:r>
    </w:p>
    <w:p>
      <w:pPr>
        <w:pStyle w:val="a0"/>
      </w:pPr>
      <w:r>
        <w:rPr>
          <w:rFonts w:hint="eastAsia"/>
        </w:rPr>
        <w:t>无锡金源的两条核心产品线正落在这条曲线的低端。不过，行业本身的增速并不高。按QY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keepNext/>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加热盘若走氮化铝陶瓷路线，落在高毛利率一档；气体喷头视采用金属还是非金属材料，落在不同档。O型圈属高分子密封件，两档都不覆盖；门板属结构件，附加值最低。因此公司的综合毛利率主要取决于加热盘的收入占比。</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五家可比公司中，托伦斯与先锋精科按单品披露了毛利率，富创精密未作单品拆分。与无锡金源两条核心产品线直接对应的是匀气盘（气体分布盘）与加热器，这也正是公司技术能力最强的两项。O型圈与密封件门板在五家可比公司中均无对应的分产品披露，公开数据无法覆盖，只能当面取数。</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keepNext/>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产品含匀气盘与加热器，与两条核心产品线直接对应，且按单品披露毛利率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刻蚀用硅电极即硅气体分配盘，与精密气体喷头功能相同、材料路线不同；四轮问询下的产销勾稽与能耗核查颗粒度为五家样本中最细</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该公司同时经营单晶硅材料，业务范围宽于纯零部件加工，本章仅援引其对制造型企业具有共性的问题；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keepNext/>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臻宝科技第二轮回复列明核查程序九项，落点集中在台账与测算：查阅仓库管理和成本核算制度；获取废料台账与产成品明细，测算利用边角料生产的产品数量与材料成本；获取报废产品明细与材料更换涉及的产品清单，对良率变动作量化分析；获取物料清单与实际投入产出关系比对；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做法不同，指向一致：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复核测算逻辑；获取募投项目可行性研究报告与经济效益测算表；查阅下游行业研究报告与主要厂商资本开支计划；查阅可比公司及下游主要客户的定期报告；获取在手订单，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交易所在第四轮列出报告期各期按重量与按长度计算的两套产销比。2016年至2019年1—6月，按重量口径分别为103.05%、96.58%、90.56%、54.12%，按长度口径分别为99.37%、90.41%、94.66%、59.71%。两套口径的差异原因及合理性，要求从定性和定量两方面说明。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本章列示国泰海通在半导体设备与零部件领域的在审、辅导、已保荐上市与再融资项目，并标注各公司与无锡金源在产业链上的位置关系。</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公司未披露产品的材料牌号与工艺路线。材料属性直接决定毛利率区间：2025年非金属路线的珂玛科技53.94%、臻宝科技49.85%，金属路线的先锋精科29.02%、托伦斯27.14%、富创精密24.94%。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专利与非专利技术的构成，其中加热盘相关专利的数量、类型与授权状态？气体喷头的修复再生能力自建到什么程度，修复件与新件的收入占比与毛利率差异？产品关键指标与国外同类原件的对比数据？</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并以可比公司公开参数与客户方确认作为印证。</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口径说明</w:t>
      </w:r>
      <w:bookmarkEnd w:id="1032"/>
    </w:p>
    <w:p>
      <w:pPr>
        <w:pStyle w:val="a0"/>
      </w:pPr>
      <w:r>
        <w:rPr>
          <w:rFonts w:hint="eastAsia"/>
        </w:rPr>
        <w:t>各表中与无锡金源产品的对应关系，以及国泰海通相关公司的产业链关系，均为本报告依据产品功能与材料属性归纳，非公司或第三方披露信息。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2026-08-07T18:08:00Z</dcterms:created>
  <dcterms:modified xsi:type="dcterms:W3CDTF">2026-08-07T03:23:00Z</dcterms:modified>
  <dc:title/>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