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公司主要从事机器人一体化关节模组及谐波减速机等核心零部件的研发、生产和销售，在机器人产业链中处于上游核心零部件制造环节。根据《国民经济行业分类》（GB/T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工业机器人行业规范条件（2024版）》将工业机器人关键零部件企业纳入适用范围，对研发创新、人才结构和质量保障提出要求，主营产品需取得中国机器人认证，行业的规范化程度随之提高。在技术方向方面，《人形机器人创新发展指导意见》将高力矩密度减速器、伺服驱动器等融合的高精度电驱动执行器列为重点攻关的部组件，《产业结构调整指导目录（2024年本）》将机器人用高精密减速器列入鼓励类，公司现有产品与上述方向一致。在评价依据方面，《人形机器人与具身智能标准体系（2026版）》提出到2028年完成100项以上重点标准，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成本方面，据觅途咨询测算，2025年特斯拉Optimus Gen2整机硬件成本约29万元，其中关节模组约15.8万元、占比约54%；该机型使用约28个关节模组，单个模组的平均成本约4,000元至6,500元。该机构同时判断，随着核心零部件国产化、结构集成化与装配自动化的推进，一体化关节模组的成本较当前水平仍有40%至60%的下降空间。</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2030年市场规模预计突破100亿元。</w:t>
      </w:r>
    </w:p>
    <w:p>
      <w:pPr>
        <w:spacing w:line="360" w:lineRule="auto" w:before="120"/>
        <w:ind w:firstLine="480"/>
        <w:jc w:val="both"/>
      </w:pPr>
      <w:r>
        <w:rPr>
          <w:rFonts w:ascii="Times New Roman" w:hAnsi="Times New Roman" w:eastAsia="宋体"/>
          <w:b w:val="0"/>
          <w:sz w:val="24"/>
        </w:rPr>
        <w:t>技术方案上，旋转执行器按传动方式分为谐波减速机方案、行星减速机方案和准直驱方案等。谐波减速机方案属高减速比方案，结构紧凑、传动精度高，是肩、肘、腕、腰等上半身精密关节的主流方案。</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3、下游行业</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需求放量的前提是人形机器人相对于人工岗位具备经济替代性。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图4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4" name="Picture 4"/>
            <wp:cNvGraphicFramePr>
              <a:graphicFrameLocks noChangeAspect="1"/>
            </wp:cNvGraphicFramePr>
            <a:graphic>
              <a:graphicData uri="http://schemas.openxmlformats.org/drawingml/2006/picture">
                <pic:pic>
                  <pic:nvPicPr>
                    <pic:cNvPr id="0" name="fig5.png"/>
                    <pic:cNvPicPr/>
                  </pic:nvPicPr>
                  <pic:blipFill>
                    <a:blip r:embed="rId39"/>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从产业阶段看，觅途咨询将2025年界定为人形机器人小批量产元年、2026年为规模量产元年。2026年全球头部整机厂商的产能规划合计突破10万台，实际下线交付预计达到4万至6万台，人形机器人产业由小批量试制进入规模化量产阶段。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4、上游主要原材料及外购件</w:t>
      </w:r>
    </w:p>
    <w:p>
      <w:pPr>
        <w:spacing w:line="360" w:lineRule="auto" w:before="120"/>
        <w:ind w:firstLine="480"/>
        <w:jc w:val="both"/>
      </w:pPr>
      <w:r>
        <w:rPr>
          <w:rFonts w:ascii="Times New Roman" w:hAnsi="Times New Roman" w:eastAsia="宋体"/>
          <w:b w:val="0"/>
          <w:sz w:val="24"/>
        </w:rPr>
        <w:t>公司产品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w:t>
      </w:r>
    </w:p>
    <w:p>
      <w:pPr>
        <w:spacing w:line="360" w:lineRule="auto" w:before="120"/>
        <w:ind w:firstLine="480"/>
        <w:jc w:val="both"/>
      </w:pPr>
      <w:r>
        <w:rPr>
          <w:rFonts w:ascii="Times New Roman" w:hAnsi="Times New Roman" w:eastAsia="宋体"/>
          <w:b w:val="0"/>
          <w:sz w:val="24"/>
        </w:rPr>
        <w:t>上游原材料价格随大宗商品周期波动。据灼识咨询统计，钢材价格按上海期货交易所螺纹钢指数计，由2020年的约777.3升至2021年的约1,066.6，2024年回落至762.9；铝材价格按南华上海铝指数计，由2020年的约650.1升至2024年的约1,096.5；轴承价格按中国海关出口统计数据计，由2020年的约每吨5,800美元升至2021年的约每吨6,900美元，2024年回落至约每吨6,300美元。上述价格的周期性波动会传导至本环节的生产成本。</w:t>
      </w:r>
    </w:p>
    <w:p>
      <w:pPr>
        <w:spacing w:line="360" w:lineRule="auto" w:before="120"/>
        <w:ind w:firstLine="482"/>
        <w:jc w:val="both"/>
      </w:pPr>
      <w:r>
        <w:rPr>
          <w:rFonts w:ascii="Times New Roman" w:hAnsi="Times New Roman" w:eastAsia="宋体"/>
          <w:b/>
          <w:sz w:val="24"/>
        </w:rPr>
        <w:t>5、行业技术水平及特点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作为关节模组中价值量最高的部件，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6、行业发展趋势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根据麦肯锡的研究，人形机器人执行器领域尚不存在类似汽车发动机供应商的角色，行业处于前模块化阶段；整机厂商选择自研，主要原因是可选供应商有限、需要控制成本与性能、保护知识产权并加快迭代，而非长期的战略偏好。该研究同时指出，整机厂商目前难以提供供应商投入大规模研发与工装所需的长期采购量承诺，因此自研格局将持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上述前提尚在形成过程中，因此不宜认为整机厂商将放弃自研；更可能的形态是自研与外购并行，整机厂商在差异化环节保留自研，在标准化程度较高的规格上转向外购。对公司而言，未来数年是进入头部整机厂商供应体系的窗口期，能否在特定规格上建立稳定的批量供应记录，将影响其在产业分工形成后的位置。</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在实验室与样机阶段，行业比较的是峰值扭矩和传动精度；进入规模化量产阶段后，量产一致性、交付稳定性、良品率和成本控制成为主要比较维度，可复制的制造能力构成新的竞争壁垒。</w:t>
      </w:r>
    </w:p>
    <w:p>
      <w:pPr>
        <w:spacing w:line="360" w:lineRule="auto" w:before="120"/>
        <w:ind w:firstLine="482"/>
        <w:jc w:val="both"/>
      </w:pPr>
      <w:r>
        <w:rPr>
          <w:rFonts w:ascii="Times New Roman" w:hAnsi="Times New Roman" w:eastAsia="宋体"/>
          <w:b/>
          <w:sz w:val="24"/>
        </w:rPr>
        <w:t>7、行业面临的机遇与风险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产业政策持续支持核心零部件攻关。《人形机器人创新发展指导意见》将高力矩密度减速器与伺服驱动器融合的高精度电驱动执行器列为重点攻关方向，《产业结构调整指导目录（2024年本）》将机器人用高精密减速器列入鼓励类，核心零部件环节获得持续的政策支持。</w:t>
      </w:r>
    </w:p>
    <w:p>
      <w:pPr>
        <w:spacing w:line="360" w:lineRule="auto" w:before="120"/>
        <w:ind w:firstLine="480"/>
        <w:jc w:val="both"/>
      </w:pPr>
      <w:r>
        <w:rPr>
          <w:rFonts w:ascii="Times New Roman" w:hAnsi="Times New Roman" w:eastAsia="宋体"/>
          <w:b w:val="0"/>
          <w:sz w:val="24"/>
        </w:rPr>
        <w:t>第二，下游进入规模化量产阶段带来增量需求。2026年全球头部整机厂商的产能规划合计突破10万台、实际交付预计达到4万至6万台，同年我国机器人关节模组出货量预计达到156万台，下游放量直接转化为本环节的订单增量。</w:t>
      </w:r>
    </w:p>
    <w:p>
      <w:pPr>
        <w:spacing w:line="360" w:lineRule="auto" w:before="120"/>
        <w:ind w:firstLine="480"/>
        <w:jc w:val="both"/>
      </w:pPr>
      <w:r>
        <w:rPr>
          <w:rFonts w:ascii="Times New Roman" w:hAnsi="Times New Roman" w:eastAsia="宋体"/>
          <w:b w:val="0"/>
          <w:sz w:val="24"/>
        </w:rPr>
        <w:t>第三，国产供应链配套成熟支撑成本下降。人形机器人核心零部件整体国产化率已提升至75%，国内在精密轴承、功率电子等上游环节具备规模化供应能力，为本环节企业的成本控制和交付效率提供了支撑。</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第一，下游商业化节奏存在不确定性。人形机器人处于产业化早期，各机构对出货量的统计口径和预测结果差异较大；地方政府及国资平台是当前的重要采购方，需求节奏与产业政策和财政安排相关。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8、行业周期性特征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并同步自研驱动器、编码器和力传感器组件。</w:t>
      </w:r>
    </w:p>
    <w:p>
      <w:pPr>
        <w:spacing w:line="360" w:lineRule="auto" w:before="120"/>
        <w:ind w:firstLine="480"/>
        <w:jc w:val="both"/>
      </w:pPr>
      <w:r>
        <w:rPr>
          <w:rFonts w:ascii="Times New Roman" w:hAnsi="Times New Roman" w:eastAsia="宋体"/>
          <w:b w:val="0"/>
          <w:sz w:val="24"/>
        </w:rPr>
        <w:t>从供货方式看，根据灼识咨询的研究，在人形机器人领域，关节模组主要由第三方供应商提供；在工业机器人领域，关节模组则多由整机厂商自行研发与集成。该环节目前整体规模有限，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表明本环节的竞争已转向规模与成本，对企业的供应链管理和量产成本控制能力提出了更高要求。</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2、行业内主要企业</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据其公开披露，除部分芯片外，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根据灼识咨询的研究，本行业的竞争壁垒与关键成功因素包括技术创新带来的成本优化、快速交付与定制化能力、产品性能的领先性、全产业链自研与垂直整合能力、提供全栈解决方案的能力以及核心客户资源的深度绑定。觅途咨询则将一体化关节模组的核心壁垒归纳为设计、工艺、标定和供应链四个方面。就新进入者而言，本行业的主要壁垒体现为以下五类。</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麦肯锡将谐波减速器列为人形机器人供应链中瓶颈风险最高的三类零部件之一，判断依据是该环节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公司自2019年设立以来聚焦机器人一体化关节模组及谐波减速机等核心零部件。据公司产品手册及官网，其关节模组产品中，面向人形机器人的系列已形成R48、R58、R68、R83、R102、R120和R120 Max，按关节部位分别对应头颈、肩肘腕及腰部、髋部及腿部；在此之外另设面向工业场景的模组系列，人形机器人用系列的峰值扭矩覆盖3.8牛米至576牛米。减速器占执行器成本的30%至50%，具备谐波减速机自研与量产能力的关节模组厂商在成本控制上具有起点优势；公司在此基础上进一步实现了驱动器、编码器和力传感器组件的自研。</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曾研制人形机器人整机用于技术验证与展示。据公司官网，公司拥有12,000平方米研制基地，已取得授权发明专利15项、授权实用新型专利11项和软件著作权4项。公司为高新技术企业、江苏省重点智能制造企业和2025年江苏省专精特新中小企业，2021年获批无锡市高寿命高精度谐波减速机重点实验室，已取得ISO 9001:2015质量管理体系认证，“机器人一体化智能动力关节”产品入选《江苏省重点推广应用的新技术新产品目录（2025年）》；公司先后获高工金球奖、2024年度人形机器人核心驱动奖、机器人一体化关节标杆奖和2026年度具身智能关节性能突破奖等行业奖项。据公开报道，公司已完成人形机器人专用关节模组1,320套的交付；2025年10月完成近亿元A轮融资，由科沃斯战略投资领投。公司所在的无锡是长三角具身智能产业链的重要承载地，本地已形成覆盖轴承、线缆、模组、芯片和电机的产业集群，为公司提供了近距离配套和联合开发的条件。</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