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工业机器人制造”，该小类涵盖工业机器人整机及工业机器人零部件的制造。根据中国证券监督管理委员会《上市公司行业分类指引》（2012年修订），公司属于“C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1、行业主管部门与监管体制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协调解决产业升级、重大技术装备推广应用等方面的重大问题。</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提出新型工业化发展战略和政策。2025年12月，工业和信息化部人形机器人与具身智能标准化技术委员会成立，秘书处设在中国电子学会，负责本领域国家标准与行业标准的归口管理。</w:t>
      </w:r>
    </w:p>
    <w:p>
      <w:pPr>
        <w:spacing w:line="360" w:lineRule="auto" w:before="120"/>
        <w:ind w:firstLine="480"/>
        <w:jc w:val="both"/>
      </w:pPr>
      <w:r>
        <w:rPr>
          <w:rFonts w:ascii="Times New Roman" w:hAnsi="Times New Roman" w:eastAsia="宋体"/>
          <w:b w:val="0"/>
          <w:sz w:val="24"/>
        </w:rPr>
        <w:t>行业内部自律性管理组织主要为中国机器人产业联盟和中国机械通用零部件工业协会。中国机器人产业联盟负责收集统计产业基础信息和数据，研究行业发展趋势，为政府部门制定产业政策提供决策依据，推进产业链及产学研用合作。中国机械通用零部件工业协会负责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此外，国家机器人检测与评定中心承担机器人及其关键零部件的第三方检测与认证，公司谐波减速机产品于2018年首批通过该中心认定。</w:t>
      </w:r>
    </w:p>
    <w:p>
      <w:pPr>
        <w:spacing w:line="360" w:lineRule="auto" w:before="120"/>
        <w:ind w:firstLine="482"/>
        <w:jc w:val="both"/>
      </w:pPr>
      <w:r>
        <w:rPr>
          <w:rFonts w:ascii="Times New Roman" w:hAnsi="Times New Roman" w:eastAsia="宋体"/>
          <w:b/>
          <w:sz w:val="24"/>
        </w:rPr>
        <w:t>2、行业主要法律法规及政策</w:t>
      </w:r>
    </w:p>
    <w:p>
      <w:pPr>
        <w:spacing w:line="360" w:lineRule="auto" w:before="120"/>
        <w:ind w:firstLine="480"/>
        <w:jc w:val="both"/>
      </w:pPr>
      <w:r>
        <w:rPr>
          <w:rFonts w:ascii="Times New Roman" w:hAnsi="Times New Roman" w:eastAsia="宋体"/>
          <w:b w:val="0"/>
          <w:sz w:val="24"/>
        </w:rPr>
        <w:t>为支持机器人及其核心零部件行业发展，国家发展和改革委员会、工业和信息化部等部门颁布了一系列法律法规和产业支持政策。与公司业务相关的行业标准、法律法规及产业政策如下：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3613"/>
        <w:gridCol w:w="2889"/>
        <w:gridCol w:w="1263"/>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3613" w:type="dxa"/>
            <w:vAlign w:val="center"/>
          </w:tcPr>
          <w:p>
            <w:pPr>
              <w:spacing w:before="0" w:after="0"/>
              <w:jc w:val="center"/>
              <w:keepNext/>
            </w:pPr>
            <w:r>
              <w:rPr>
                <w:rFonts w:ascii="Times New Roman" w:hAnsi="Times New Roman" w:eastAsia="宋体"/>
                <w:b/>
                <w:sz w:val="21"/>
              </w:rPr>
              <w:t>标准名称</w:t>
            </w:r>
          </w:p>
        </w:tc>
        <w:tc>
          <w:tcPr>
            <w:tcW w:w="2889" w:type="dxa"/>
            <w:vAlign w:val="center"/>
          </w:tcPr>
          <w:p>
            <w:pPr>
              <w:spacing w:before="0" w:after="0"/>
              <w:jc w:val="center"/>
              <w:keepNext/>
            </w:pPr>
            <w:r>
              <w:rPr>
                <w:rFonts w:ascii="Times New Roman" w:hAnsi="Times New Roman" w:eastAsia="宋体"/>
                <w:b/>
                <w:sz w:val="21"/>
              </w:rPr>
              <w:t>颁布单位</w:t>
            </w:r>
          </w:p>
        </w:tc>
        <w:tc>
          <w:tcPr>
            <w:tcW w:w="1263"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3613" w:type="dxa"/>
            <w:vAlign w:val="center"/>
          </w:tcPr>
          <w:p>
            <w:pPr>
              <w:spacing w:before="0" w:after="0"/>
            </w:pPr>
            <w:r>
              <w:rPr>
                <w:rFonts w:ascii="Times New Roman" w:hAnsi="Times New Roman" w:eastAsia="宋体"/>
                <w:b w:val="0"/>
                <w:sz w:val="21"/>
              </w:rPr>
              <w:t>GB/T 30819—2024《机器人用谐波齿轮减速器》</w:t>
            </w:r>
          </w:p>
        </w:tc>
        <w:tc>
          <w:tcPr>
            <w:tcW w:w="2889" w:type="dxa"/>
            <w:vAlign w:val="center"/>
          </w:tcPr>
          <w:p>
            <w:pPr>
              <w:spacing w:before="0" w:after="0"/>
            </w:pPr>
            <w:r>
              <w:rPr>
                <w:rFonts w:ascii="Times New Roman" w:hAnsi="Times New Roman" w:eastAsia="宋体"/>
                <w:b w:val="0"/>
                <w:sz w:val="21"/>
              </w:rPr>
              <w:t>国家市场监督管理总局、国家标准化管理委员会</w:t>
            </w:r>
          </w:p>
        </w:tc>
        <w:tc>
          <w:tcPr>
            <w:tcW w:w="1263"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3613" w:type="dxa"/>
            <w:vAlign w:val="center"/>
          </w:tcPr>
          <w:p>
            <w:pPr>
              <w:spacing w:before="0" w:after="0"/>
            </w:pPr>
            <w:r>
              <w:rPr>
                <w:rFonts w:ascii="Times New Roman" w:hAnsi="Times New Roman" w:eastAsia="宋体"/>
                <w:b w:val="0"/>
                <w:sz w:val="21"/>
              </w:rPr>
              <w:t>GB/T 43200—2023《机器人一体化关节性能及试验方法》</w:t>
            </w:r>
          </w:p>
        </w:tc>
        <w:tc>
          <w:tcPr>
            <w:tcW w:w="2889" w:type="dxa"/>
            <w:vAlign w:val="center"/>
          </w:tcPr>
          <w:p>
            <w:pPr>
              <w:spacing w:before="0" w:after="0"/>
            </w:pPr>
            <w:r>
              <w:rPr>
                <w:rFonts w:ascii="Times New Roman" w:hAnsi="Times New Roman" w:eastAsia="宋体"/>
                <w:b w:val="0"/>
                <w:sz w:val="21"/>
              </w:rPr>
              <w:t>国家市场监督管理总局、国家标准化管理委员会</w:t>
            </w:r>
          </w:p>
        </w:tc>
        <w:tc>
          <w:tcPr>
            <w:tcW w:w="1263"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3613" w:type="dxa"/>
            <w:vAlign w:val="center"/>
          </w:tcPr>
          <w:p>
            <w:pPr>
              <w:spacing w:before="0" w:after="0"/>
            </w:pPr>
            <w:r>
              <w:rPr>
                <w:rFonts w:ascii="Times New Roman" w:hAnsi="Times New Roman" w:eastAsia="宋体"/>
                <w:b w:val="0"/>
                <w:sz w:val="21"/>
              </w:rPr>
              <w:t>GB/T 40731—2021《精密减速器回差测试与评价方法》</w:t>
            </w:r>
          </w:p>
        </w:tc>
        <w:tc>
          <w:tcPr>
            <w:tcW w:w="2889" w:type="dxa"/>
            <w:vAlign w:val="center"/>
          </w:tcPr>
          <w:p>
            <w:pPr>
              <w:spacing w:before="0" w:after="0"/>
            </w:pPr>
            <w:r>
              <w:rPr>
                <w:rFonts w:ascii="Times New Roman" w:hAnsi="Times New Roman" w:eastAsia="宋体"/>
                <w:b w:val="0"/>
                <w:sz w:val="21"/>
              </w:rPr>
              <w:t>国家市场监督管理总局、国家标准化管理委员会</w:t>
            </w:r>
          </w:p>
        </w:tc>
        <w:tc>
          <w:tcPr>
            <w:tcW w:w="1263"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2"/>
        <w:jc w:val="both"/>
      </w:pPr>
      <w:r>
        <w:rPr>
          <w:rFonts w:ascii="Times New Roman" w:hAnsi="Times New Roman" w:eastAsia="宋体"/>
          <w:b/>
          <w:sz w:val="24"/>
        </w:rPr>
        <w:t>（2）法律法规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3613"/>
        <w:gridCol w:w="2889"/>
        <w:gridCol w:w="1263"/>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3613" w:type="dxa"/>
            <w:vAlign w:val="center"/>
          </w:tcPr>
          <w:p>
            <w:pPr>
              <w:spacing w:before="0" w:after="0"/>
              <w:jc w:val="center"/>
              <w:keepNext/>
            </w:pPr>
            <w:r>
              <w:rPr>
                <w:rFonts w:ascii="Times New Roman" w:hAnsi="Times New Roman" w:eastAsia="宋体"/>
                <w:b/>
                <w:sz w:val="21"/>
              </w:rPr>
              <w:t>法律法规名称</w:t>
            </w:r>
          </w:p>
        </w:tc>
        <w:tc>
          <w:tcPr>
            <w:tcW w:w="2889" w:type="dxa"/>
            <w:vAlign w:val="center"/>
          </w:tcPr>
          <w:p>
            <w:pPr>
              <w:spacing w:before="0" w:after="0"/>
              <w:jc w:val="center"/>
              <w:keepNext/>
            </w:pPr>
            <w:r>
              <w:rPr>
                <w:rFonts w:ascii="Times New Roman" w:hAnsi="Times New Roman" w:eastAsia="宋体"/>
                <w:b/>
                <w:sz w:val="21"/>
              </w:rPr>
              <w:t>颁布单位</w:t>
            </w:r>
          </w:p>
        </w:tc>
        <w:tc>
          <w:tcPr>
            <w:tcW w:w="1263" w:type="dxa"/>
            <w:vAlign w:val="center"/>
          </w:tcPr>
          <w:p>
            <w:pPr>
              <w:spacing w:before="0" w:after="0"/>
              <w:jc w:val="center"/>
              <w:keepNext/>
            </w:pPr>
            <w:r>
              <w:rPr>
                <w:rFonts w:ascii="Times New Roman" w:hAnsi="Times New Roman" w:eastAsia="宋体"/>
                <w:b/>
                <w:sz w:val="21"/>
              </w:rPr>
              <w:t>生效日期</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3613" w:type="dxa"/>
            <w:vAlign w:val="center"/>
          </w:tcPr>
          <w:p>
            <w:pPr>
              <w:spacing w:before="0" w:after="0"/>
            </w:pPr>
            <w:r>
              <w:rPr>
                <w:rFonts w:ascii="Times New Roman" w:hAnsi="Times New Roman" w:eastAsia="宋体"/>
                <w:b w:val="0"/>
                <w:sz w:val="21"/>
              </w:rPr>
              <w:t>《中华人民共和国产品质量法》</w:t>
            </w:r>
          </w:p>
        </w:tc>
        <w:tc>
          <w:tcPr>
            <w:tcW w:w="2889" w:type="dxa"/>
            <w:vAlign w:val="center"/>
          </w:tcPr>
          <w:p>
            <w:pPr>
              <w:spacing w:before="0" w:after="0"/>
            </w:pPr>
            <w:r>
              <w:rPr>
                <w:rFonts w:ascii="Times New Roman" w:hAnsi="Times New Roman" w:eastAsia="宋体"/>
                <w:b w:val="0"/>
                <w:sz w:val="21"/>
              </w:rPr>
              <w:t>全国人民代表大会常务委员会</w:t>
            </w:r>
          </w:p>
        </w:tc>
        <w:tc>
          <w:tcPr>
            <w:tcW w:w="1263" w:type="dxa"/>
            <w:vAlign w:val="center"/>
          </w:tcPr>
          <w:p>
            <w:pPr>
              <w:spacing w:before="0" w:after="0"/>
            </w:pPr>
            <w:r>
              <w:rPr>
                <w:rFonts w:ascii="Times New Roman" w:hAnsi="Times New Roman" w:eastAsia="宋体"/>
                <w:b w:val="0"/>
                <w:sz w:val="21"/>
              </w:rPr>
              <w:t>2018年</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3613" w:type="dxa"/>
            <w:vAlign w:val="center"/>
          </w:tcPr>
          <w:p>
            <w:pPr>
              <w:spacing w:before="0" w:after="0"/>
            </w:pPr>
            <w:r>
              <w:rPr>
                <w:rFonts w:ascii="Times New Roman" w:hAnsi="Times New Roman" w:eastAsia="宋体"/>
                <w:b w:val="0"/>
                <w:sz w:val="21"/>
              </w:rPr>
              <w:t>《中华人民共和国标准化法》</w:t>
            </w:r>
          </w:p>
        </w:tc>
        <w:tc>
          <w:tcPr>
            <w:tcW w:w="2889" w:type="dxa"/>
            <w:vAlign w:val="center"/>
          </w:tcPr>
          <w:p>
            <w:pPr>
              <w:spacing w:before="0" w:after="0"/>
            </w:pPr>
            <w:r>
              <w:rPr>
                <w:rFonts w:ascii="Times New Roman" w:hAnsi="Times New Roman" w:eastAsia="宋体"/>
                <w:b w:val="0"/>
                <w:sz w:val="21"/>
              </w:rPr>
              <w:t>全国人民代表大会常务委员会</w:t>
            </w:r>
          </w:p>
        </w:tc>
        <w:tc>
          <w:tcPr>
            <w:tcW w:w="1263" w:type="dxa"/>
            <w:vAlign w:val="center"/>
          </w:tcPr>
          <w:p>
            <w:pPr>
              <w:spacing w:before="0" w:after="0"/>
            </w:pPr>
            <w:r>
              <w:rPr>
                <w:rFonts w:ascii="Times New Roman" w:hAnsi="Times New Roman" w:eastAsia="宋体"/>
                <w:b w:val="0"/>
                <w:sz w:val="21"/>
              </w:rPr>
              <w:t>2018年</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3613" w:type="dxa"/>
            <w:vAlign w:val="center"/>
          </w:tcPr>
          <w:p>
            <w:pPr>
              <w:spacing w:before="0" w:after="0"/>
            </w:pPr>
            <w:r>
              <w:rPr>
                <w:rFonts w:ascii="Times New Roman" w:hAnsi="Times New Roman" w:eastAsia="宋体"/>
                <w:b w:val="0"/>
                <w:sz w:val="21"/>
              </w:rPr>
              <w:t>《中华人民共和国安全生产法》</w:t>
            </w:r>
          </w:p>
        </w:tc>
        <w:tc>
          <w:tcPr>
            <w:tcW w:w="2889" w:type="dxa"/>
            <w:vAlign w:val="center"/>
          </w:tcPr>
          <w:p>
            <w:pPr>
              <w:spacing w:before="0" w:after="0"/>
            </w:pPr>
            <w:r>
              <w:rPr>
                <w:rFonts w:ascii="Times New Roman" w:hAnsi="Times New Roman" w:eastAsia="宋体"/>
                <w:b w:val="0"/>
                <w:sz w:val="21"/>
              </w:rPr>
              <w:t>全国人民代表大会常务委员会</w:t>
            </w:r>
          </w:p>
        </w:tc>
        <w:tc>
          <w:tcPr>
            <w:tcW w:w="1263" w:type="dxa"/>
            <w:vAlign w:val="center"/>
          </w:tcPr>
          <w:p>
            <w:pPr>
              <w:spacing w:before="0" w:after="0"/>
            </w:pPr>
            <w:r>
              <w:rPr>
                <w:rFonts w:ascii="Times New Roman" w:hAnsi="Times New Roman" w:eastAsia="宋体"/>
                <w:b w:val="0"/>
                <w:sz w:val="21"/>
              </w:rPr>
              <w:t>2021年</w:t>
            </w:r>
          </w:p>
        </w:tc>
      </w:tr>
    </w:tbl>
    <w:p>
      <w:pPr>
        <w:spacing w:before="0" w:after="120"/>
        <w:jc w:val="both"/>
      </w:pPr>
      <w:r>
        <w:rPr>
          <w:rFonts w:ascii="Times New Roman" w:hAnsi="Times New Roman" w:eastAsia="宋体"/>
          <w:b w:val="0"/>
          <w:sz w:val="21"/>
        </w:rPr>
        <w:t>资料来源：中国人大网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10"/>
        <w:gridCol w:w="764"/>
        <w:gridCol w:w="1412"/>
        <w:gridCol w:w="365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10" w:type="dxa"/>
            <w:vAlign w:val="center"/>
          </w:tcPr>
          <w:p>
            <w:pPr>
              <w:spacing w:before="0" w:after="0"/>
              <w:jc w:val="center"/>
              <w:keepNext/>
            </w:pPr>
            <w:r>
              <w:rPr>
                <w:rFonts w:ascii="Times New Roman" w:hAnsi="Times New Roman" w:eastAsia="宋体"/>
                <w:b/>
                <w:sz w:val="21"/>
              </w:rPr>
              <w:t>名称</w:t>
            </w:r>
          </w:p>
        </w:tc>
        <w:tc>
          <w:tcPr>
            <w:tcW w:w="764" w:type="dxa"/>
            <w:vAlign w:val="center"/>
          </w:tcPr>
          <w:p>
            <w:pPr>
              <w:spacing w:before="0" w:after="0"/>
              <w:jc w:val="center"/>
              <w:keepNext/>
            </w:pPr>
            <w:r>
              <w:rPr>
                <w:rFonts w:ascii="Times New Roman" w:hAnsi="Times New Roman" w:eastAsia="宋体"/>
                <w:b/>
                <w:sz w:val="21"/>
              </w:rPr>
              <w:t>颁布时间</w:t>
            </w:r>
          </w:p>
        </w:tc>
        <w:tc>
          <w:tcPr>
            <w:tcW w:w="1412" w:type="dxa"/>
            <w:vAlign w:val="center"/>
          </w:tcPr>
          <w:p>
            <w:pPr>
              <w:spacing w:before="0" w:after="0"/>
              <w:jc w:val="center"/>
              <w:keepNext/>
            </w:pPr>
            <w:r>
              <w:rPr>
                <w:rFonts w:ascii="Times New Roman" w:hAnsi="Times New Roman" w:eastAsia="宋体"/>
                <w:b/>
                <w:sz w:val="21"/>
              </w:rPr>
              <w:t>颁布机构</w:t>
            </w:r>
          </w:p>
        </w:tc>
        <w:tc>
          <w:tcPr>
            <w:tcW w:w="3656" w:type="dxa"/>
            <w:vAlign w:val="center"/>
          </w:tcPr>
          <w:p>
            <w:pPr>
              <w:spacing w:before="0" w:after="0"/>
              <w:jc w:val="center"/>
              <w:keepNext/>
            </w:pPr>
            <w:r>
              <w:rPr>
                <w:rFonts w:ascii="Times New Roman" w:hAnsi="Times New Roman" w:eastAsia="宋体"/>
                <w:b/>
                <w:sz w:val="21"/>
              </w:rPr>
              <w:t>主要内容</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10" w:type="dxa"/>
            <w:vAlign w:val="center"/>
          </w:tcPr>
          <w:p>
            <w:pPr>
              <w:spacing w:before="0" w:after="0"/>
            </w:pPr>
            <w:r>
              <w:rPr>
                <w:rFonts w:ascii="Times New Roman" w:hAnsi="Times New Roman" w:eastAsia="宋体"/>
                <w:b w:val="0"/>
                <w:sz w:val="21"/>
              </w:rPr>
              <w:t>《人形机器人创新发展指导意见》</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工业和信息化部</w:t>
            </w:r>
          </w:p>
        </w:tc>
        <w:tc>
          <w:tcPr>
            <w:tcW w:w="365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到2027年技术创新能力显著提升，形成安全可靠的产业链供应链体系。</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10" w:type="dxa"/>
            <w:vAlign w:val="center"/>
          </w:tcPr>
          <w:p>
            <w:pPr>
              <w:spacing w:before="0" w:after="0"/>
            </w:pPr>
            <w:r>
              <w:rPr>
                <w:rFonts w:ascii="Times New Roman" w:hAnsi="Times New Roman" w:eastAsia="宋体"/>
                <w:b w:val="0"/>
                <w:sz w:val="21"/>
              </w:rPr>
              <w:t>《“机器人+”应用行动实施方案》</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工业和信息化部等十七部门</w:t>
            </w:r>
          </w:p>
        </w:tc>
        <w:tc>
          <w:tcPr>
            <w:tcW w:w="365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到2025年，制造业机器人密度较2020年实现翻番，服务机器人、特种机器人行业应用深度和广度显著提升。发展基于工业机器人的智能制造系统，助力制造业数字化转型、智能化变革。</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10" w:type="dxa"/>
            <w:vAlign w:val="center"/>
          </w:tcPr>
          <w:p>
            <w:pPr>
              <w:spacing w:before="0" w:after="0"/>
            </w:pPr>
            <w:r>
              <w:rPr>
                <w:rFonts w:ascii="Times New Roman" w:hAnsi="Times New Roman" w:eastAsia="宋体"/>
                <w:b w:val="0"/>
                <w:sz w:val="21"/>
              </w:rPr>
              <w:t>《制造业可靠性提升实施意见》</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工业和信息化部等五部门</w:t>
            </w:r>
          </w:p>
        </w:tc>
        <w:tc>
          <w:tcPr>
            <w:tcW w:w="365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10" w:type="dxa"/>
            <w:vAlign w:val="center"/>
          </w:tcPr>
          <w:p>
            <w:pPr>
              <w:spacing w:before="0" w:after="0"/>
            </w:pPr>
            <w:r>
              <w:rPr>
                <w:rFonts w:ascii="Times New Roman" w:hAnsi="Times New Roman" w:eastAsia="宋体"/>
                <w:b w:val="0"/>
                <w:sz w:val="21"/>
              </w:rPr>
              <w:t>《产业结构调整指导目录（2024年本）》</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国家发展和改革委员会</w:t>
            </w:r>
          </w:p>
        </w:tc>
        <w:tc>
          <w:tcPr>
            <w:tcW w:w="365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10" w:type="dxa"/>
            <w:vAlign w:val="center"/>
          </w:tcPr>
          <w:p>
            <w:pPr>
              <w:spacing w:before="0" w:after="0"/>
            </w:pPr>
            <w:r>
              <w:rPr>
                <w:rFonts w:ascii="Times New Roman" w:hAnsi="Times New Roman" w:eastAsia="宋体"/>
                <w:b w:val="0"/>
                <w:sz w:val="21"/>
              </w:rPr>
              <w:t>《关于推动未来产业创新发展的实施意见》</w:t>
            </w:r>
          </w:p>
        </w:tc>
        <w:tc>
          <w:tcPr>
            <w:tcW w:w="764" w:type="dxa"/>
            <w:vAlign w:val="center"/>
          </w:tcPr>
          <w:p>
            <w:pPr>
              <w:spacing w:before="0" w:after="0"/>
            </w:pPr>
            <w:r>
              <w:rPr>
                <w:rFonts w:ascii="Times New Roman" w:hAnsi="Times New Roman" w:eastAsia="宋体"/>
                <w:b w:val="0"/>
                <w:sz w:val="21"/>
              </w:rPr>
              <w:t>2024年</w:t>
            </w:r>
          </w:p>
        </w:tc>
        <w:tc>
          <w:tcPr>
            <w:tcW w:w="1412" w:type="dxa"/>
            <w:vAlign w:val="center"/>
          </w:tcPr>
          <w:p>
            <w:pPr>
              <w:spacing w:before="0" w:after="0"/>
            </w:pPr>
            <w:r>
              <w:rPr>
                <w:rFonts w:ascii="Times New Roman" w:hAnsi="Times New Roman" w:eastAsia="宋体"/>
                <w:b w:val="0"/>
                <w:sz w:val="21"/>
              </w:rPr>
              <w:t>工业和信息化部等七部门</w:t>
            </w:r>
          </w:p>
        </w:tc>
        <w:tc>
          <w:tcPr>
            <w:tcW w:w="365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10" w:type="dxa"/>
            <w:vAlign w:val="center"/>
          </w:tcPr>
          <w:p>
            <w:pPr>
              <w:spacing w:before="0" w:after="0"/>
            </w:pPr>
            <w:r>
              <w:rPr>
                <w:rFonts w:ascii="Times New Roman" w:hAnsi="Times New Roman" w:eastAsia="宋体"/>
                <w:b w:val="0"/>
                <w:sz w:val="21"/>
              </w:rPr>
              <w:t>《关于深入实施“人工智能+”行动的意见》</w:t>
            </w:r>
          </w:p>
        </w:tc>
        <w:tc>
          <w:tcPr>
            <w:tcW w:w="764" w:type="dxa"/>
            <w:vAlign w:val="center"/>
          </w:tcPr>
          <w:p>
            <w:pPr>
              <w:spacing w:before="0" w:after="0"/>
            </w:pPr>
            <w:r>
              <w:rPr>
                <w:rFonts w:ascii="Times New Roman" w:hAnsi="Times New Roman" w:eastAsia="宋体"/>
                <w:b w:val="0"/>
                <w:sz w:val="21"/>
              </w:rPr>
              <w:t>2025年</w:t>
            </w:r>
          </w:p>
        </w:tc>
        <w:tc>
          <w:tcPr>
            <w:tcW w:w="1412" w:type="dxa"/>
            <w:vAlign w:val="center"/>
          </w:tcPr>
          <w:p>
            <w:pPr>
              <w:spacing w:before="0" w:after="0"/>
            </w:pPr>
            <w:r>
              <w:rPr>
                <w:rFonts w:ascii="Times New Roman" w:hAnsi="Times New Roman" w:eastAsia="宋体"/>
                <w:b w:val="0"/>
                <w:sz w:val="21"/>
              </w:rPr>
              <w:t>国务院</w:t>
            </w:r>
          </w:p>
        </w:tc>
        <w:tc>
          <w:tcPr>
            <w:tcW w:w="365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10"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764" w:type="dxa"/>
            <w:vAlign w:val="center"/>
          </w:tcPr>
          <w:p>
            <w:pPr>
              <w:spacing w:before="0" w:after="0"/>
            </w:pPr>
            <w:r>
              <w:rPr>
                <w:rFonts w:ascii="Times New Roman" w:hAnsi="Times New Roman" w:eastAsia="宋体"/>
                <w:b w:val="0"/>
                <w:sz w:val="21"/>
              </w:rPr>
              <w:t>2025年</w:t>
            </w:r>
          </w:p>
        </w:tc>
        <w:tc>
          <w:tcPr>
            <w:tcW w:w="1412" w:type="dxa"/>
            <w:vAlign w:val="center"/>
          </w:tcPr>
          <w:p>
            <w:pPr>
              <w:spacing w:before="0" w:after="0"/>
            </w:pPr>
            <w:r>
              <w:rPr>
                <w:rFonts w:ascii="Times New Roman" w:hAnsi="Times New Roman" w:eastAsia="宋体"/>
                <w:b w:val="0"/>
                <w:sz w:val="21"/>
              </w:rPr>
              <w:t>中共中央</w:t>
            </w:r>
          </w:p>
        </w:tc>
        <w:tc>
          <w:tcPr>
            <w:tcW w:w="365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10" w:type="dxa"/>
            <w:vAlign w:val="center"/>
          </w:tcPr>
          <w:p>
            <w:pPr>
              <w:spacing w:before="0" w:after="0"/>
            </w:pPr>
            <w:r>
              <w:rPr>
                <w:rFonts w:ascii="Times New Roman" w:hAnsi="Times New Roman" w:eastAsia="宋体"/>
                <w:b w:val="0"/>
                <w:sz w:val="21"/>
              </w:rPr>
              <w:t>《人形机器人与具身智能标准体系（2026版）》</w:t>
            </w:r>
          </w:p>
        </w:tc>
        <w:tc>
          <w:tcPr>
            <w:tcW w:w="764" w:type="dxa"/>
            <w:vAlign w:val="center"/>
          </w:tcPr>
          <w:p>
            <w:pPr>
              <w:spacing w:before="0" w:after="0"/>
            </w:pPr>
            <w:r>
              <w:rPr>
                <w:rFonts w:ascii="Times New Roman" w:hAnsi="Times New Roman" w:eastAsia="宋体"/>
                <w:b w:val="0"/>
                <w:sz w:val="21"/>
              </w:rPr>
              <w:t>2026年</w:t>
            </w:r>
          </w:p>
        </w:tc>
        <w:tc>
          <w:tcPr>
            <w:tcW w:w="1412"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656" w:type="dxa"/>
            <w:vAlign w:val="center"/>
          </w:tcPr>
          <w:p>
            <w:pPr>
              <w:spacing w:before="0" w:after="0"/>
            </w:pPr>
            <w:r>
              <w:rPr>
                <w:rFonts w:ascii="Times New Roman" w:hAnsi="Times New Roman" w:eastAsia="宋体"/>
                <w:b w:val="0"/>
                <w:sz w:val="21"/>
              </w:rPr>
              <w:t>我国首个覆盖人形机器人全产业链、全生命周期的标准体系，涵盖基础共性、类脑与智能计算、肢体与分系统、整机系统、应用、安全伦理六个部分，提出到2028年完成100项以上重点标准。</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传动方案分为谐波减速机方案、行星减速机方案和准直驱方案等，其中谐波减速机方案减速比通常为30至300比1，结构紧凑、精度高，是肩、肘、腕、腰等上半身精密关节的主流方案。</w:t>
      </w:r>
    </w:p>
    <w:p>
      <w:pPr>
        <w:spacing w:line="360" w:lineRule="auto" w:before="120"/>
        <w:ind w:firstLine="480"/>
        <w:jc w:val="both"/>
      </w:pPr>
      <w:r>
        <w:rPr>
          <w:rFonts w:ascii="Times New Roman" w:hAnsi="Times New Roman" w:eastAsia="宋体"/>
          <w:b w:val="0"/>
          <w:sz w:val="24"/>
        </w:rPr>
        <w:t>关节模组是人形机器人中价值量最高的硬件环节。根据觅途咨询数据，关节模组占人形机器人整机物料成本的35%至60%。2025年全球人形机器人关节模组需求量约72万个，其中旋转关节68.0万个、直线关节4.0万个；按整机归属划分，国产人形机器人整机的需求量为50.2万个，占全球需求的70%。</w:t>
      </w:r>
    </w:p>
    <w:p>
      <w:pPr>
        <w:spacing w:before="120" w:after="60"/>
        <w:jc w:val="center"/>
        <w:keepNext/>
      </w:pPr>
      <w:r>
        <w:drawing>
          <wp:inline xmlns:a="http://schemas.openxmlformats.org/drawingml/2006/main" xmlns:pic="http://schemas.openxmlformats.org/drawingml/2006/picture">
            <wp:extent cx="5212080" cy="2329020"/>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12080" cy="2329020"/>
                    </a:xfrm>
                    <a:prstGeom prst="rect"/>
                  </pic:spPr>
                </pic:pic>
              </a:graphicData>
            </a:graphic>
          </wp:inline>
        </w:drawing>
      </w:r>
    </w:p>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产业分工上，关节模组正在由零部件供应转向系统级交付。整机厂商在小批量阶段普遍采取全链路自研，随着量产规模扩大，专业化分工成为必然选择，具备机电一体化设计与系统集成能力的关节模组厂商在产业链中的地位持续上升。</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人形机器人单机通常搭载10至14台谐波减速机，用量为传统六轴工业机器人的两倍以上。</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w:t>
      </w:r>
    </w:p>
    <w:p>
      <w:pPr>
        <w:spacing w:before="120" w:after="60"/>
        <w:jc w:val="center"/>
        <w:keepNext/>
      </w:pPr>
      <w:r>
        <w:drawing>
          <wp:inline xmlns:a="http://schemas.openxmlformats.org/drawingml/2006/main" xmlns:pic="http://schemas.openxmlformats.org/drawingml/2006/picture">
            <wp:extent cx="5029200" cy="2208461"/>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2208461"/>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超过75%，谐波减速机的国产化进程在各核心零部件中处于领先位置。</w:t>
      </w:r>
    </w:p>
    <w:p>
      <w:pPr>
        <w:spacing w:line="360" w:lineRule="auto" w:before="120"/>
        <w:ind w:firstLine="482"/>
        <w:jc w:val="both"/>
      </w:pPr>
      <w:r>
        <w:rPr>
          <w:rFonts w:ascii="Times New Roman" w:hAnsi="Times New Roman" w:eastAsia="宋体"/>
          <w:b/>
          <w:sz w:val="24"/>
        </w:rPr>
        <w:t>3、下游人形机器人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drawing>
          <wp:inline xmlns:a="http://schemas.openxmlformats.org/drawingml/2006/main" xmlns:pic="http://schemas.openxmlformats.org/drawingml/2006/picture">
            <wp:extent cx="4206240" cy="2460254"/>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4206240" cy="2460254"/>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4、其他应用领域</w:t>
      </w:r>
    </w:p>
    <w:p>
      <w:pPr>
        <w:spacing w:line="360" w:lineRule="auto" w:before="120"/>
        <w:ind w:firstLine="480"/>
        <w:jc w:val="both"/>
      </w:pPr>
      <w:r>
        <w:rPr>
          <w:rFonts w:ascii="Times New Roman" w:hAnsi="Times New Roman" w:eastAsia="宋体"/>
          <w:b w:val="0"/>
          <w:sz w:val="24"/>
        </w:rPr>
        <w:t>公司产品除应用于人形机器人外，还应用于协作机器人、工业机器人、医疗康复、低空经济、精密制造和轨道交通等领域。协作机器人与人形机器人对关节模组的技术要求高度相近，均强调小型化、轻量化和力矩控制精度，公司的产品谱系可在不同应用领域之间复用，形成了人形机器人之外的稳定需求基础。</w:t>
      </w:r>
    </w:p>
    <w:p>
      <w:pPr>
        <w:spacing w:line="360" w:lineRule="auto" w:before="120"/>
        <w:ind w:firstLine="482"/>
        <w:jc w:val="both"/>
      </w:pPr>
      <w:r>
        <w:rPr>
          <w:rFonts w:ascii="Times New Roman" w:hAnsi="Times New Roman" w:eastAsia="宋体"/>
          <w:b/>
          <w:sz w:val="24"/>
        </w:rPr>
        <w:t>5、行业发展趋势</w:t>
      </w:r>
    </w:p>
    <w:p>
      <w:pPr>
        <w:spacing w:line="360" w:lineRule="auto" w:before="120"/>
        <w:ind w:firstLine="480"/>
        <w:jc w:val="both"/>
      </w:pPr>
      <w:r>
        <w:rPr>
          <w:rFonts w:ascii="Times New Roman" w:hAnsi="Times New Roman" w:eastAsia="宋体"/>
          <w:b w:val="0"/>
          <w:sz w:val="24"/>
        </w:rPr>
        <w:t>第一，一体化集成成为主流供货方式。将电机、减速机、驱动器和编码器集成为标准化单元，可减少零部件数量与装配工序，缩短整机厂商的开发周期，并提升批量交付的一致性。整机厂商的采购逻辑正由对接二十余家零部件供应商转向对接少数几家模组供应商。</w:t>
      </w:r>
    </w:p>
    <w:p>
      <w:pPr>
        <w:spacing w:line="360" w:lineRule="auto" w:before="120"/>
        <w:ind w:firstLine="480"/>
        <w:jc w:val="both"/>
      </w:pPr>
      <w:r>
        <w:rPr>
          <w:rFonts w:ascii="Times New Roman" w:hAnsi="Times New Roman" w:eastAsia="宋体"/>
          <w:b w:val="0"/>
          <w:sz w:val="24"/>
        </w:rPr>
        <w:t>第二，核心零部件国产化率持续提升。谐波减速机、无框力矩电机等环节的国产供应能力已具备规模，国产零部件的批量应用直接降低了关节模组的整体成本，并缩短了供应链响应周期。</w:t>
      </w:r>
    </w:p>
    <w:p>
      <w:pPr>
        <w:spacing w:line="360" w:lineRule="auto" w:before="120"/>
        <w:ind w:firstLine="480"/>
        <w:jc w:val="both"/>
      </w:pPr>
      <w:r>
        <w:rPr>
          <w:rFonts w:ascii="Times New Roman" w:hAnsi="Times New Roman" w:eastAsia="宋体"/>
          <w:b w:val="0"/>
          <w:sz w:val="24"/>
        </w:rPr>
        <w:t>第三，竞争维度由单点性能转向工业化能力。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从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2、主要竞争对手情况</w:t>
      </w:r>
    </w:p>
    <w:p>
      <w:pPr>
        <w:spacing w:line="360" w:lineRule="auto" w:before="120"/>
        <w:ind w:firstLine="480"/>
        <w:jc w:val="both"/>
      </w:pPr>
      <w:r>
        <w:rPr>
          <w:rFonts w:ascii="Times New Roman" w:hAnsi="Times New Roman" w:eastAsia="宋体"/>
          <w:b w:val="0"/>
          <w:sz w:val="24"/>
        </w:rPr>
        <w:t>按所处环节划分，公司的主要竞争对手情况如下：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401"/>
        <w:gridCol w:w="3503"/>
        <w:gridCol w:w="3402"/>
      </w:tblGrid>
      <w:tr>
        <w:trPr>
          <w:cantSplit/>
          <w:trHeight w:val="397"/>
          <w:tblHeader/>
          <w:jc w:val="center"/>
        </w:trPr>
        <w:tc>
          <w:tcPr>
            <w:tcW w:w="1401" w:type="dxa"/>
            <w:vAlign w:val="center"/>
          </w:tcPr>
          <w:p>
            <w:pPr>
              <w:spacing w:before="0" w:after="0"/>
              <w:jc w:val="center"/>
              <w:keepNext/>
            </w:pPr>
            <w:r>
              <w:rPr>
                <w:rFonts w:ascii="Times New Roman" w:hAnsi="Times New Roman" w:eastAsia="宋体"/>
                <w:b/>
                <w:sz w:val="21"/>
              </w:rPr>
              <w:t>公司名称</w:t>
            </w:r>
          </w:p>
        </w:tc>
        <w:tc>
          <w:tcPr>
            <w:tcW w:w="3503" w:type="dxa"/>
            <w:vAlign w:val="center"/>
          </w:tcPr>
          <w:p>
            <w:pPr>
              <w:spacing w:before="0" w:after="0"/>
              <w:jc w:val="center"/>
              <w:keepNext/>
            </w:pPr>
            <w:r>
              <w:rPr>
                <w:rFonts w:ascii="Times New Roman" w:hAnsi="Times New Roman" w:eastAsia="宋体"/>
                <w:b/>
                <w:sz w:val="21"/>
              </w:rPr>
              <w:t>主要产品</w:t>
            </w:r>
          </w:p>
        </w:tc>
        <w:tc>
          <w:tcPr>
            <w:tcW w:w="3402" w:type="dxa"/>
            <w:vAlign w:val="center"/>
          </w:tcPr>
          <w:p>
            <w:pPr>
              <w:spacing w:before="0" w:after="0"/>
              <w:jc w:val="center"/>
              <w:keepNext/>
            </w:pPr>
            <w:r>
              <w:rPr>
                <w:rFonts w:ascii="Times New Roman" w:hAnsi="Times New Roman" w:eastAsia="宋体"/>
                <w:b/>
                <w:sz w:val="21"/>
              </w:rPr>
              <w:t>与公司的竞争关系</w:t>
            </w:r>
          </w:p>
        </w:tc>
      </w:tr>
      <w:tr>
        <w:trPr>
          <w:cantSplit/>
          <w:trHeight w:val="397"/>
          <w:jc w:val="center"/>
        </w:trPr>
        <w:tc>
          <w:tcPr>
            <w:tcW w:w="1401" w:type="dxa"/>
            <w:vAlign w:val="center"/>
          </w:tcPr>
          <w:p>
            <w:pPr>
              <w:spacing w:before="0" w:after="0"/>
            </w:pPr>
            <w:r>
              <w:rPr>
                <w:rFonts w:ascii="Times New Roman" w:hAnsi="Times New Roman" w:eastAsia="宋体"/>
                <w:b w:val="0"/>
                <w:sz w:val="21"/>
              </w:rPr>
              <w:t>零差云控</w:t>
            </w:r>
          </w:p>
        </w:tc>
        <w:tc>
          <w:tcPr>
            <w:tcW w:w="3503" w:type="dxa"/>
            <w:vAlign w:val="center"/>
          </w:tcPr>
          <w:p>
            <w:pPr>
              <w:spacing w:before="0" w:after="0"/>
            </w:pPr>
            <w:r>
              <w:rPr>
                <w:rFonts w:ascii="Times New Roman" w:hAnsi="Times New Roman" w:eastAsia="宋体"/>
                <w:b w:val="0"/>
                <w:sz w:val="21"/>
              </w:rPr>
              <w:t>机器人关节模组、中空绝对值编码器、高功率微型伺服驱动器</w:t>
            </w:r>
          </w:p>
        </w:tc>
        <w:tc>
          <w:tcPr>
            <w:tcW w:w="3402" w:type="dxa"/>
            <w:vAlign w:val="center"/>
          </w:tcPr>
          <w:p>
            <w:pPr>
              <w:spacing w:before="0" w:after="0"/>
            </w:pPr>
            <w:r>
              <w:rPr>
                <w:rFonts w:ascii="Times New Roman" w:hAnsi="Times New Roman" w:eastAsia="宋体"/>
                <w:b w:val="0"/>
                <w:sz w:val="21"/>
              </w:rPr>
              <w:t>同为专业关节模组厂商，核心零部件自研范围相近，在关节模组产品上直接竞争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意优科技</w:t>
            </w:r>
          </w:p>
        </w:tc>
        <w:tc>
          <w:tcPr>
            <w:tcW w:w="3503" w:type="dxa"/>
            <w:vAlign w:val="center"/>
          </w:tcPr>
          <w:p>
            <w:pPr>
              <w:spacing w:before="0" w:after="0"/>
            </w:pPr>
            <w:r>
              <w:rPr>
                <w:rFonts w:ascii="Times New Roman" w:hAnsi="Times New Roman" w:eastAsia="宋体"/>
                <w:b w:val="0"/>
                <w:sz w:val="21"/>
              </w:rPr>
              <w:t>人形机器人上肢、腰部及下肢关节模组，涵盖行星、谐波及直线关节</w:t>
            </w:r>
          </w:p>
        </w:tc>
        <w:tc>
          <w:tcPr>
            <w:tcW w:w="3402" w:type="dxa"/>
            <w:vAlign w:val="center"/>
          </w:tcPr>
          <w:p>
            <w:pPr>
              <w:spacing w:before="0" w:after="0"/>
            </w:pPr>
            <w:r>
              <w:rPr>
                <w:rFonts w:ascii="Times New Roman" w:hAnsi="Times New Roman" w:eastAsia="宋体"/>
                <w:b w:val="0"/>
                <w:sz w:val="21"/>
              </w:rPr>
              <w:t>同为专业关节模组厂商，产品谱系覆盖面相近，在关节模组产品上直接竞争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钛虎机器人</w:t>
            </w:r>
          </w:p>
        </w:tc>
        <w:tc>
          <w:tcPr>
            <w:tcW w:w="3503" w:type="dxa"/>
            <w:vAlign w:val="center"/>
          </w:tcPr>
          <w:p>
            <w:pPr>
              <w:spacing w:before="0" w:after="0"/>
            </w:pPr>
            <w:r>
              <w:rPr>
                <w:rFonts w:ascii="Times New Roman" w:hAnsi="Times New Roman" w:eastAsia="宋体"/>
                <w:b w:val="0"/>
                <w:sz w:val="21"/>
              </w:rPr>
              <w:t>轻量化关节模组，以及协作机器人、人形机器人和外骨骼产品</w:t>
            </w:r>
          </w:p>
        </w:tc>
        <w:tc>
          <w:tcPr>
            <w:tcW w:w="3402" w:type="dxa"/>
            <w:vAlign w:val="center"/>
          </w:tcPr>
          <w:p>
            <w:pPr>
              <w:spacing w:before="0" w:after="0"/>
            </w:pPr>
            <w:r>
              <w:rPr>
                <w:rFonts w:ascii="Times New Roman" w:hAnsi="Times New Roman" w:eastAsia="宋体"/>
                <w:b w:val="0"/>
                <w:sz w:val="21"/>
              </w:rPr>
              <w:t>关节模组产品构成竞争，同时向下游整机延伸</w:t>
            </w:r>
          </w:p>
        </w:tc>
      </w:tr>
      <w:tr>
        <w:trPr>
          <w:cantSplit/>
          <w:trHeight w:val="397"/>
          <w:jc w:val="center"/>
        </w:trPr>
        <w:tc>
          <w:tcPr>
            <w:tcW w:w="1401" w:type="dxa"/>
            <w:vAlign w:val="center"/>
          </w:tcPr>
          <w:p>
            <w:pPr>
              <w:spacing w:before="0" w:after="0"/>
            </w:pPr>
            <w:r>
              <w:rPr>
                <w:rFonts w:ascii="Times New Roman" w:hAnsi="Times New Roman" w:eastAsia="宋体"/>
                <w:b w:val="0"/>
                <w:sz w:val="21"/>
              </w:rPr>
              <w:t>国华智能</w:t>
            </w:r>
          </w:p>
        </w:tc>
        <w:tc>
          <w:tcPr>
            <w:tcW w:w="3503" w:type="dxa"/>
            <w:vAlign w:val="center"/>
          </w:tcPr>
          <w:p>
            <w:pPr>
              <w:spacing w:before="0" w:after="0"/>
            </w:pPr>
            <w:r>
              <w:rPr>
                <w:rFonts w:ascii="Times New Roman" w:hAnsi="Times New Roman" w:eastAsia="宋体"/>
                <w:b w:val="0"/>
                <w:sz w:val="21"/>
              </w:rPr>
              <w:t>谐波减速器、行星滚柱丝杠、旋转与直线关节模组、机器人本体</w:t>
            </w:r>
          </w:p>
        </w:tc>
        <w:tc>
          <w:tcPr>
            <w:tcW w:w="3402" w:type="dxa"/>
            <w:vAlign w:val="center"/>
          </w:tcPr>
          <w:p>
            <w:pPr>
              <w:spacing w:before="0" w:after="0"/>
            </w:pPr>
            <w:r>
              <w:rPr>
                <w:rFonts w:ascii="Times New Roman" w:hAnsi="Times New Roman" w:eastAsia="宋体"/>
                <w:b w:val="0"/>
                <w:sz w:val="21"/>
              </w:rPr>
              <w:t>核心零部件与关节模组自研范围相近，同时向下游整机延伸</w:t>
            </w:r>
          </w:p>
        </w:tc>
      </w:tr>
      <w:tr>
        <w:trPr>
          <w:cantSplit/>
          <w:trHeight w:val="397"/>
          <w:jc w:val="center"/>
        </w:trPr>
        <w:tc>
          <w:tcPr>
            <w:tcW w:w="1401" w:type="dxa"/>
            <w:vAlign w:val="center"/>
          </w:tcPr>
          <w:p>
            <w:pPr>
              <w:spacing w:before="0" w:after="0"/>
            </w:pPr>
            <w:r>
              <w:rPr>
                <w:rFonts w:ascii="Times New Roman" w:hAnsi="Times New Roman" w:eastAsia="宋体"/>
                <w:b w:val="0"/>
                <w:sz w:val="21"/>
              </w:rPr>
              <w:t>绿的谐波</w:t>
            </w:r>
          </w:p>
        </w:tc>
        <w:tc>
          <w:tcPr>
            <w:tcW w:w="3503" w:type="dxa"/>
            <w:vAlign w:val="center"/>
          </w:tcPr>
          <w:p>
            <w:pPr>
              <w:spacing w:before="0" w:after="0"/>
            </w:pPr>
            <w:r>
              <w:rPr>
                <w:rFonts w:ascii="Times New Roman" w:hAnsi="Times New Roman" w:eastAsia="宋体"/>
                <w:b w:val="0"/>
                <w:sz w:val="21"/>
              </w:rPr>
              <w:t>谐波减速器、机电一体化产品</w:t>
            </w:r>
          </w:p>
        </w:tc>
        <w:tc>
          <w:tcPr>
            <w:tcW w:w="3402" w:type="dxa"/>
            <w:vAlign w:val="center"/>
          </w:tcPr>
          <w:p>
            <w:pPr>
              <w:spacing w:before="0" w:after="0"/>
            </w:pPr>
            <w:r>
              <w:rPr>
                <w:rFonts w:ascii="Times New Roman" w:hAnsi="Times New Roman" w:eastAsia="宋体"/>
                <w:b w:val="0"/>
                <w:sz w:val="21"/>
              </w:rPr>
              <w:t>国内谐波减速器龙头企业，已推出关节模组产品，在两个环节均构成竞争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来福谐波</w:t>
            </w:r>
          </w:p>
        </w:tc>
        <w:tc>
          <w:tcPr>
            <w:tcW w:w="3503" w:type="dxa"/>
            <w:vAlign w:val="center"/>
          </w:tcPr>
          <w:p>
            <w:pPr>
              <w:spacing w:before="0" w:after="0"/>
            </w:pPr>
            <w:r>
              <w:rPr>
                <w:rFonts w:ascii="Times New Roman" w:hAnsi="Times New Roman" w:eastAsia="宋体"/>
                <w:b w:val="0"/>
                <w:sz w:val="21"/>
              </w:rPr>
              <w:t>谐波减速器、关节模组、机械臂及自动化产品</w:t>
            </w:r>
          </w:p>
        </w:tc>
        <w:tc>
          <w:tcPr>
            <w:tcW w:w="3402" w:type="dxa"/>
            <w:vAlign w:val="center"/>
          </w:tcPr>
          <w:p>
            <w:pPr>
              <w:spacing w:before="0" w:after="0"/>
            </w:pPr>
            <w:r>
              <w:rPr>
                <w:rFonts w:ascii="Times New Roman" w:hAnsi="Times New Roman" w:eastAsia="宋体"/>
                <w:b w:val="0"/>
                <w:sz w:val="21"/>
              </w:rPr>
              <w:t>国内谐波减速器主要厂商，产品线向关节模组延伸，在两个环节均构成竞争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同川科技</w:t>
            </w:r>
          </w:p>
        </w:tc>
        <w:tc>
          <w:tcPr>
            <w:tcW w:w="3503" w:type="dxa"/>
            <w:vAlign w:val="center"/>
          </w:tcPr>
          <w:p>
            <w:pPr>
              <w:spacing w:before="0" w:after="0"/>
            </w:pPr>
            <w:r>
              <w:rPr>
                <w:rFonts w:ascii="Times New Roman" w:hAnsi="Times New Roman" w:eastAsia="宋体"/>
                <w:b w:val="0"/>
                <w:sz w:val="21"/>
              </w:rPr>
              <w:t>谐波减速器、机电一体化执行器、协作机器人及人形机器人关节模块</w:t>
            </w:r>
          </w:p>
        </w:tc>
        <w:tc>
          <w:tcPr>
            <w:tcW w:w="3402" w:type="dxa"/>
            <w:vAlign w:val="center"/>
          </w:tcPr>
          <w:p>
            <w:pPr>
              <w:spacing w:before="0" w:after="0"/>
            </w:pPr>
            <w:r>
              <w:rPr>
                <w:rFonts w:ascii="Times New Roman" w:hAnsi="Times New Roman" w:eastAsia="宋体"/>
                <w:b w:val="0"/>
                <w:sz w:val="21"/>
              </w:rPr>
              <w:t>谐波减速器与关节模组均构成竞争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杉川谐波</w:t>
            </w:r>
          </w:p>
        </w:tc>
        <w:tc>
          <w:tcPr>
            <w:tcW w:w="3503" w:type="dxa"/>
            <w:vAlign w:val="center"/>
          </w:tcPr>
          <w:p>
            <w:pPr>
              <w:spacing w:before="0" w:after="0"/>
            </w:pPr>
            <w:r>
              <w:rPr>
                <w:rFonts w:ascii="Times New Roman" w:hAnsi="Times New Roman" w:eastAsia="宋体"/>
                <w:b w:val="0"/>
                <w:sz w:val="21"/>
              </w:rPr>
              <w:t>谐波减速器，涵盖HMCS、HMHD、HMHS、HMCD等系列</w:t>
            </w:r>
          </w:p>
        </w:tc>
        <w:tc>
          <w:tcPr>
            <w:tcW w:w="3402" w:type="dxa"/>
            <w:vAlign w:val="center"/>
          </w:tcPr>
          <w:p>
            <w:pPr>
              <w:spacing w:before="0" w:after="0"/>
            </w:pPr>
            <w:r>
              <w:rPr>
                <w:rFonts w:ascii="Times New Roman" w:hAnsi="Times New Roman" w:eastAsia="宋体"/>
                <w:b w:val="0"/>
                <w:sz w:val="21"/>
              </w:rPr>
              <w:t>主要在谐波减速器环节构成竞争</w:t>
            </w:r>
          </w:p>
        </w:tc>
      </w:tr>
    </w:tbl>
    <w:p>
      <w:pPr>
        <w:spacing w:before="0" w:after="120"/>
        <w:jc w:val="both"/>
      </w:pPr>
      <w:r>
        <w:rPr>
          <w:rFonts w:ascii="Times New Roman" w:hAnsi="Times New Roman" w:eastAsia="宋体"/>
          <w:b w:val="0"/>
          <w:sz w:val="21"/>
        </w:rPr>
        <w:t>资料来源：各公司官网及公开资料</w:t>
      </w:r>
    </w:p>
    <w:p>
      <w:pPr>
        <w:spacing w:line="360" w:lineRule="auto" w:before="120"/>
        <w:ind w:firstLine="480"/>
        <w:jc w:val="both"/>
      </w:pPr>
      <w:r>
        <w:rPr>
          <w:rFonts w:ascii="Times New Roman" w:hAnsi="Times New Roman" w:eastAsia="宋体"/>
          <w:b w:val="0"/>
          <w:sz w:val="24"/>
        </w:rPr>
        <w:t>在一体化关节模组环节，零差云控、意优科技、钛虎机器人和国华智能与公司的产品定位最为接近，均以人形机器人关节模组为主要方向，并在核心零部件上不同程度地实现自研。其中，钛虎机器人和国华智能在关节模组之外已延伸至协作机器人、外骨骼和机器人本体等下游产品，公司则专注于核心零部件与关节模组环节。</w:t>
      </w:r>
    </w:p>
    <w:p>
      <w:pPr>
        <w:spacing w:line="360" w:lineRule="auto" w:before="120"/>
        <w:ind w:firstLine="480"/>
        <w:jc w:val="both"/>
      </w:pPr>
      <w:r>
        <w:rPr>
          <w:rFonts w:ascii="Times New Roman" w:hAnsi="Times New Roman" w:eastAsia="宋体"/>
          <w:b w:val="0"/>
          <w:sz w:val="24"/>
        </w:rPr>
        <w:t>在谐波减速机环节，绿的谐波和来福谐波是国内主要厂商，二者均已由谐波减速器向关节模组延伸；同川科技和杉川谐波以谐波减速器为主要产品，同川科技已推出协作机器人和人形机器人关节模块。公司的谐波减速机既对外销售，也作为关节模组的核心部件配套自用。</w:t>
      </w:r>
    </w:p>
    <w:p>
      <w:pPr>
        <w:spacing w:line="360" w:lineRule="auto" w:before="120"/>
        <w:ind w:firstLine="482"/>
        <w:jc w:val="both"/>
      </w:pPr>
      <w:r>
        <w:rPr>
          <w:rFonts w:ascii="Times New Roman" w:hAnsi="Times New Roman" w:eastAsia="宋体"/>
          <w:b/>
          <w:sz w:val="24"/>
        </w:rPr>
        <w:t>3、行业壁垒与主要竞争要素</w:t>
      </w:r>
    </w:p>
    <w:p>
      <w:pPr>
        <w:spacing w:line="360" w:lineRule="auto" w:before="120"/>
        <w:ind w:firstLine="480"/>
        <w:jc w:val="both"/>
      </w:pPr>
      <w:r>
        <w:rPr>
          <w:rFonts w:ascii="Times New Roman" w:hAnsi="Times New Roman" w:eastAsia="宋体"/>
          <w:b w:val="0"/>
          <w:sz w:val="24"/>
        </w:rPr>
        <w:t>本行业的进入壁垒集中在技术、客户认证和制造能力三个方面。技术方面，谐波减速机的齿形设计、柔轮材料配方和精密加工工艺需要长期积累，关节模组则进一步要求企业具备机械结构、电磁设计、力控算法和热管理的系统集成能力。客户认证方面，关节模组直接决定整机的运动性能与可靠性，整机厂商的验证周期较长，一旦进入供应体系，规格路线的替换成本较高。制造能力方面，高精度加工设备、自动化装配产线和检测标定体系需要持续的资金投入，并依赖复合背景的工程技术人员。</w:t>
      </w:r>
    </w:p>
    <w:p>
      <w:pPr>
        <w:spacing w:line="360" w:lineRule="auto" w:before="120"/>
        <w:ind w:firstLine="480"/>
        <w:jc w:val="both"/>
      </w:pPr>
      <w:r>
        <w:rPr>
          <w:rFonts w:ascii="Times New Roman" w:hAnsi="Times New Roman" w:eastAsia="宋体"/>
          <w:b w:val="0"/>
          <w:sz w:val="24"/>
        </w:rPr>
        <w:t>进入规模化量产阶段后，行业的主要竞争要素为批量一致性、交付稳定性、良品率和成本控制能力，以及核心零部件的自研覆盖面。核心零部件自研覆盖面越宽，企业在成本结构、规格定制和交付周期上的自主空间越大。</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产品覆盖直径17毫米至120毫米、峰值扭矩0.8牛米至1,000牛米的六大系列。公司谐波减速机产品于2018年首批通过国家机器人检测与评定中心认定，2021年获批无锡市高寿命高精度谐波减速机重点实验室，2022年获评高新技术企业，2025年获评江苏省专精特新中小企业，并获“LeadeRobot 2025年度人形机器人核心供应商”称号。根据公司公开披露，2025年上半年公司单次交付人形机器人专用关节模组1,320套，客户数量超过500家。2025年10月，公司完成近亿元A轮融资，由科沃斯战略投资领投。</w:t>
      </w:r>
    </w:p>
    <w:p>
      <w:pPr>
        <w:spacing w:line="360" w:lineRule="auto" w:before="120"/>
        <w:ind w:firstLine="480"/>
        <w:jc w:val="both"/>
      </w:pPr>
      <w:r>
        <w:rPr>
          <w:rFonts w:ascii="Times New Roman" w:hAnsi="Times New Roman" w:eastAsia="宋体"/>
          <w:b w:val="0"/>
          <w:sz w:val="24"/>
        </w:rPr>
        <w:t>区位方面，公司所在的无锡是长三角具身智能产业链的重要承载地，本地已形成覆盖轴承、线缆、模组、芯片、电机和算力平台的产业集群，为公司提供了近距离配套和联合开发的条件。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