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widowControl/>
        <w:spacing w:before="156" w:after="156" w:line="360" w:lineRule="auto"/>
        <w:jc w:val="center"/>
      </w:pPr>
      <w:r>
        <w:rPr>
          <w:rFonts w:ascii="宋体" w:hAnsi="宋体" w:cs="宋体" w:eastAsia="宋体" w:hint="eastAsia"/>
          <w:b/>
          <w:sz w:val="36"/>
        </w:rPr>
        <w:t>半导体存储行业研究（节选稿）</w:t>
      </w:r>
    </w:p>
    <w:sdt>
      <w:sdtPr>
        <w:id w:val="-1457872018"/>
        <w:docPartObj>
          <w:docPartGallery w:val="Table of Contents"/>
          <w:docPartUnique/>
        </w:docPartObj>
      </w:sdtPr>
      <w:sdtContent>
        <w:p>
          <w:pPr>
            <w:pStyle w:val="TOC"/>
            <w:spacing w:before="156" w:after="156" w:line="360" w:lineRule="auto"/>
            <w:rPr>
              <w:rFonts w:eastAsia="宋体"/>
              <w:b/>
              <w:color w:val="000000"/>
              <w:sz w:val="28"/>
              <w:szCs w:val="28"/>
            </w:rPr>
          </w:pPr>
          <w:r>
            <w:rPr>
              <w:rFonts w:eastAsia="宋体" w:hint="eastAsia"/>
              <w:b/>
              <w:color w:val="000000"/>
              <w:sz w:val="28"/>
              <w:szCs w:val="28"/>
            </w:rPr>
            <w:t>目录</w:t>
          </w:r>
        </w:p>
        <w:p>
          <w:pPr>
            <w:pStyle w:val="TOC1"/>
            <w:tabs>
              <w:tab w:val="right" w:leader="dot" w:pos="8299"/>
            </w:tabs>
            <w:spacing w:line="360" w:lineRule="auto"/>
            <w:rPr>
              <w:noProof/>
              <w:sz w:val="24"/>
              <w:szCs w:val="24"/>
            </w:rPr>
          </w:pPr>
          <w:r>
            <w:rPr>
              <w:sz w:val="24"/>
              <w:szCs w:val="24"/>
            </w:rPr>
            <w:fldChar w:fldCharType="begin"/>
          </w:r>
          <w:r>
            <w:rPr>
              <w:sz w:val="24"/>
              <w:szCs w:val="24"/>
            </w:rPr>
            <w:instrText xml:space="preserve"> TOC \o "1-3" \h \z \u </w:instrText>
          </w:r>
          <w:r>
            <w:rPr>
              <w:sz w:val="24"/>
              <w:szCs w:val="24"/>
            </w:rPr>
            <w:fldChar w:fldCharType="separate"/>
          </w:r>
          <w:hyperlink w:anchor="_Toc900000" w:history="1">
            <w:r>
              <w:rPr>
                <w:rStyle w:val="a5"/>
                <w:bCs w:val="0"/>
                <w:noProof/>
                <w:sz w:val="24"/>
                <w:szCs w:val="24"/>
              </w:rPr>
              <w:t xml:space="preserve">一、 产业链结构及各环节比较（节选）</w:t>
            </w:r>
            <w:r>
              <w:rPr>
                <w:webHidden/>
                <w:noProof/>
                <w:sz w:val="24"/>
                <w:szCs w:val="24"/>
              </w:rPr>
              <w:tab/>
            </w:r>
            <w:r>
              <w:rPr>
                <w:webHidden/>
                <w:noProof/>
                <w:sz w:val="24"/>
                <w:szCs w:val="24"/>
              </w:rPr>
              <w:fldChar w:fldCharType="begin"/>
            </w:r>
            <w:r>
              <w:rPr>
                <w:webHidden/>
                <w:noProof/>
                <w:sz w:val="24"/>
                <w:szCs w:val="24"/>
              </w:rPr>
              <w:instrText xml:space="preserve"> PAGEREF _Toc900000 \h </w:instrText>
            </w:r>
            <w:r>
              <w:rPr>
                <w:webHidden/>
                <w:noProof/>
                <w:sz w:val="24"/>
                <w:szCs w:val="24"/>
              </w:rPr>
              <w:fldChar w:fldCharType="separate"/>
            </w:r>
            <w:r>
              <w:rPr>
                <w:webHidden/>
                <w:noProof/>
                <w:sz w:val="24"/>
                <w:szCs w:val="24"/>
              </w:rPr>
              <w:t>2</w:t>
            </w:r>
            <w:r>
              <w:rPr>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01" w:history="1">
            <w:r>
              <w:rPr>
                <w:rStyle w:val="a5"/>
                <w:rFonts w:eastAsia="宋体" w:cs="宋体"/>
                <w:bCs/>
                <w:noProof/>
                <w:sz w:val="24"/>
                <w:szCs w:val="24"/>
              </w:rPr>
              <w:t xml:space="preserve">2.4 中游：存储封装测试</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_Toc900001 \h </w:instrText>
            </w:r>
            <w:r>
              <w:rPr>
                <w:rFonts w:eastAsia="宋体"/>
                <w:webHidden/>
                <w:noProof/>
                <w:sz w:val="24"/>
                <w:szCs w:val="24"/>
              </w:rPr>
              <w:fldChar w:fldCharType="separate"/>
            </w:r>
            <w:r>
              <w:rPr>
                <w:rFonts w:eastAsia="宋体"/>
                <w:webHidden/>
                <w:noProof/>
                <w:sz w:val="24"/>
                <w:szCs w:val="24"/>
              </w:rPr>
              <w:t>2</w:t>
            </w:r>
            <w:r>
              <w:rPr>
                <w:rFonts w:eastAsia="宋体"/>
                <w:webHidden/>
                <w:noProof/>
                <w:sz w:val="24"/>
                <w:szCs w:val="24"/>
              </w:rPr>
              <w:fldChar w:fldCharType="end"/>
            </w:r>
          </w:hyperlink>
        </w:p>
        <w:p>
          <w:pPr>
            <w:pStyle w:val="TOC1"/>
            <w:tabs>
              <w:tab w:val="right" w:leader="dot" w:pos="8299"/>
            </w:tabs>
            <w:spacing w:line="360" w:lineRule="auto"/>
            <w:rPr>
              <w:noProof/>
              <w:sz w:val="24"/>
              <w:szCs w:val="24"/>
            </w:rPr>
          </w:pPr>
          <w:hyperlink w:anchor="_Toc900002" w:history="1">
            <w:r>
              <w:rPr>
                <w:rStyle w:val="a5"/>
                <w:bCs w:val="0"/>
                <w:noProof/>
                <w:sz w:val="24"/>
                <w:szCs w:val="24"/>
              </w:rPr>
              <w:t xml:space="preserve">二、 深科技的产业链定位与关注要点</w:t>
            </w:r>
            <w:r>
              <w:rPr>
                <w:webHidden/>
                <w:noProof/>
                <w:sz w:val="24"/>
                <w:szCs w:val="24"/>
              </w:rPr>
              <w:tab/>
            </w:r>
            <w:r>
              <w:rPr>
                <w:webHidden/>
                <w:noProof/>
                <w:sz w:val="24"/>
                <w:szCs w:val="24"/>
              </w:rPr>
              <w:fldChar w:fldCharType="begin"/>
            </w:r>
            <w:r>
              <w:rPr>
                <w:webHidden/>
                <w:noProof/>
                <w:sz w:val="24"/>
                <w:szCs w:val="24"/>
              </w:rPr>
              <w:instrText xml:space="preserve"> PAGEREF _Toc900002 \h </w:instrText>
            </w:r>
            <w:r>
              <w:rPr>
                <w:webHidden/>
                <w:noProof/>
                <w:sz w:val="24"/>
                <w:szCs w:val="24"/>
              </w:rPr>
              <w:fldChar w:fldCharType="separate"/>
            </w:r>
            <w:r>
              <w:rPr>
                <w:webHidden/>
                <w:noProof/>
                <w:sz w:val="24"/>
                <w:szCs w:val="24"/>
              </w:rPr>
              <w:t>3</w:t>
            </w:r>
            <w:r>
              <w:rPr>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03" w:history="1">
            <w:r>
              <w:rPr>
                <w:rStyle w:val="a5"/>
                <w:rFonts w:eastAsia="宋体" w:cs="宋体"/>
                <w:bCs/>
                <w:noProof/>
                <w:sz w:val="24"/>
                <w:szCs w:val="24"/>
              </w:rPr>
              <w:t xml:space="preserve">8.1 公司概况与产品体系</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_Toc900003 \h </w:instrText>
            </w:r>
            <w:r>
              <w:rPr>
                <w:rFonts w:eastAsia="宋体"/>
                <w:webHidden/>
                <w:noProof/>
                <w:sz w:val="24"/>
                <w:szCs w:val="24"/>
              </w:rPr>
              <w:fldChar w:fldCharType="separate"/>
            </w:r>
            <w:r>
              <w:rPr>
                <w:rFonts w:eastAsia="宋体"/>
                <w:webHidden/>
                <w:noProof/>
                <w:sz w:val="24"/>
                <w:szCs w:val="24"/>
              </w:rPr>
              <w:t>3</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04" w:history="1">
            <w:r>
              <w:rPr>
                <w:rStyle w:val="a5"/>
                <w:rFonts w:eastAsia="宋体" w:cs="宋体"/>
                <w:bCs/>
                <w:noProof/>
                <w:sz w:val="24"/>
                <w:szCs w:val="24"/>
              </w:rPr>
              <w:t xml:space="preserve">8.2 产业链定位与经营主体</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_Toc900004 \h </w:instrText>
            </w:r>
            <w:r>
              <w:rPr>
                <w:rFonts w:eastAsia="宋体"/>
                <w:webHidden/>
                <w:noProof/>
                <w:sz w:val="24"/>
                <w:szCs w:val="24"/>
              </w:rPr>
              <w:fldChar w:fldCharType="separate"/>
            </w:r>
            <w:r>
              <w:rPr>
                <w:rFonts w:eastAsia="宋体"/>
                <w:webHidden/>
                <w:noProof/>
                <w:sz w:val="24"/>
                <w:szCs w:val="24"/>
              </w:rPr>
              <w:t>5</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05" w:history="1">
            <w:r>
              <w:rPr>
                <w:rStyle w:val="a5"/>
                <w:rFonts w:eastAsia="宋体" w:cs="宋体"/>
                <w:bCs/>
                <w:noProof/>
                <w:sz w:val="24"/>
                <w:szCs w:val="24"/>
              </w:rPr>
              <w:t xml:space="preserve">8.3 关注要点</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_Toc900005 \h </w:instrText>
            </w:r>
            <w:r>
              <w:rPr>
                <w:rFonts w:eastAsia="宋体"/>
                <w:webHidden/>
                <w:noProof/>
                <w:sz w:val="24"/>
                <w:szCs w:val="24"/>
              </w:rPr>
              <w:fldChar w:fldCharType="separate"/>
            </w:r>
            <w:r>
              <w:rPr>
                <w:rFonts w:eastAsia="宋体"/>
                <w:webHidden/>
                <w:noProof/>
                <w:sz w:val="24"/>
                <w:szCs w:val="24"/>
              </w:rPr>
              <w:t>6</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06" w:history="1">
            <w:r>
              <w:rPr>
                <w:rStyle w:val="a5"/>
                <w:rFonts w:eastAsia="宋体" w:cs="宋体"/>
                <w:bCs/>
                <w:noProof/>
                <w:sz w:val="24"/>
                <w:szCs w:val="24"/>
              </w:rPr>
              <w:t xml:space="preserve">8.4 初步判断</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_Toc900006 \h </w:instrText>
            </w:r>
            <w:r>
              <w:rPr>
                <w:rFonts w:eastAsia="宋体"/>
                <w:webHidden/>
                <w:noProof/>
                <w:sz w:val="24"/>
                <w:szCs w:val="24"/>
              </w:rPr>
              <w:fldChar w:fldCharType="separate"/>
            </w:r>
            <w:r>
              <w:rPr>
                <w:rFonts w:eastAsia="宋体"/>
                <w:webHidden/>
                <w:noProof/>
                <w:sz w:val="24"/>
                <w:szCs w:val="24"/>
              </w:rPr>
              <w:t>7</w:t>
            </w:r>
            <w:r>
              <w:rPr>
                <w:rFonts w:eastAsia="宋体"/>
                <w:webHidden/>
                <w:noProof/>
                <w:sz w:val="24"/>
                <w:szCs w:val="24"/>
              </w:rPr>
              <w:fldChar w:fldCharType="end"/>
            </w:r>
          </w:hyperlink>
        </w:p>
        <w:p>
          <w:pPr>
            <w:pStyle w:val="11"/>
            <w:ind w:firstLine="0"/>
          </w:pPr>
          <w:r>
            <w:rPr>
              <w:sz w:val="24"/>
              <w:szCs w:val="24"/>
            </w:rPr>
            <w:fldChar w:fldCharType="end"/>
          </w:r>
        </w:p>
      </w:sdtContent>
    </w:sdt>
    <w:p>
      <w:pPr>
        <w:pStyle w:val="a0"/>
      </w:pPr>
      <w:r>
        <w:rPr>
          <w:rFonts w:hint="eastAsia"/>
        </w:rPr>
        <w:t>本节选稿包含第二章封装测试环节与第八章深科技两部分，其余章节另行提交。文中数据截至2026年8月12日。</w:t>
      </w:r>
    </w:p>
    <w:p>
      <w:pPr>
        <w:pStyle w:val="2"/>
        <w:spacing w:before="156" w:after="156"/>
      </w:pPr>
      <w:bookmarkStart w:id="1000" w:name="_Toc900000"/>
      <w:r>
        <w:rPr>
          <w:rFonts w:hint="eastAsia"/>
          <w:b/>
        </w:rPr>
        <w:t>产业链结构及各环节比较（节选）</w:t>
      </w:r>
      <w:bookmarkEnd w:id="1000"/>
    </w:p>
    <w:p>
      <w:pPr>
        <w:pStyle w:val="3"/>
        <w:numPr>
          <w:ilvl w:val="0"/>
          <w:numId w:val="0"/>
        </w:numPr>
        <w:spacing w:before="156" w:after="156"/>
      </w:pPr>
      <w:bookmarkStart w:id="1001" w:name="_Toc900001"/>
      <w:r>
        <w:rPr>
          <w:rFonts w:hint="eastAsia"/>
        </w:rPr>
        <w:t>2.4 中游：存储封装测试</w:t>
      </w:r>
      <w:bookmarkEnd w:id="1001"/>
    </w:p>
    <w:p>
      <w:pPr>
        <w:pStyle w:val="a0"/>
      </w:pPr>
      <w:r>
        <w:rPr>
          <w:rFonts w:hint="eastAsia"/>
        </w:rPr>
        <w:t>存储封装测试位于存储晶圆制造与存储模组、终端应用之间。与逻辑芯片封测相比，存储封测的产品谱系相对集中、单一料号批量更大，工艺围绕堆叠层数、已知合格晶粒测试与高速接口测试展开。以深科技为例，其封测产品覆盖DRAM、NAND Flash与嵌入式存储芯片，具体料号包括DDR3、LPDDR3、DDR4、LPDDR4、DDR5、LPDDR5、eMCP4、eMMC等。</w:t>
      </w:r>
    </w:p>
    <w:p>
      <w:pPr>
        <w:pStyle w:val="a0"/>
      </w:pPr>
      <w:r>
        <w:rPr>
          <w:rFonts w:hint="eastAsia"/>
        </w:rPr>
        <w:t>需要说明的是，各机构未单独披露存储封装测试环节的独立市场规模。公开可得的封测行业规模数据为全部芯片品类的封测总盘，与存储封测不是同一口径，两者数量级差异较大。本节因此以主要厂商的经营数据与产能扩张情况呈现该环节现状。</w:t>
      </w:r>
    </w:p>
    <w:p>
      <w:pPr>
        <w:keepNext/>
        <w:jc w:val="center"/>
      </w:pPr>
      <w:r>
        <w:rPr>
          <w:rFonts w:hint="eastAsia"/>
          <w:b/>
          <w:sz w:val="21"/>
        </w:rPr>
        <w:t>表1  国内主要集成电路封测厂商2025年经营数据</w:t>
      </w:r>
    </w:p>
    <w:tbl>
      <w:tblPr>
        <w:tblW w:w="5352" w:type="pct"/>
        <w:jc w:val="center"/>
        <w:tblBorders>
          <w:top w:val="single" w:sz="12" w:space="0" w:color="010000"/>
          <w:left w:val="single" w:sz="12" w:space="0" w:color="010000"/>
          <w:bottom w:val="single" w:sz="12" w:space="0" w:color="010000"/>
          <w:right w:val="single" w:sz="12" w:space="0" w:color="010000"/>
          <w:insideH w:val="single" w:sz="4" w:space="0" w:color="010000"/>
          <w:insideV w:val="single" w:sz="4" w:space="0" w:color="010000"/>
        </w:tblBorders>
        <w:tblLook w:firstColumn="1" w:firstRow="1" w:lastColumn="0" w:lastRow="0" w:noHBand="0" w:noVBand="1" w:val="04A0"/>
      </w:tblPr>
      <w:tblGrid>
        <w:gridCol w:w="1661"/>
        <w:gridCol w:w="1661"/>
        <w:gridCol w:w="1661"/>
        <w:gridCol w:w="1661"/>
        <w:gridCol w:w="1661"/>
      </w:tblGrid>
      <w:tr>
        <w:trPr>
          <w:cantSplit/>
          <w:tblHeader/>
          <w:jc w:val="center"/>
        </w:trPr>
        <w:tc>
          <w:tcPr>
            <w:tcW w:w="600" w:type="pct"/>
            <w:tcBorders>
              <w:top w:val="single" w:sz="12" w:space="0" w:color="010000"/>
              <w:bottom w:val="single" w:sz="4" w:space="0" w:color="010000"/>
            </w:tcBorders>
            <w:vAlign w:val="center"/>
          </w:tcPr>
          <w:p>
            <w:pPr>
              <w:keepNext/>
              <w:jc w:val="center"/>
            </w:pPr>
            <w:r/>
            <w:r>
              <w:rPr>
                <w:rFonts w:hint="eastAsia"/>
                <w:b/>
                <w:color w:val="000000"/>
                <w:sz w:val="21"/>
              </w:rPr>
              <w:t>公司名称</w:t>
            </w:r>
          </w:p>
        </w:tc>
        <w:tc>
          <w:tcPr>
            <w:tcW w:w="600" w:type="pct"/>
            <w:tcBorders>
              <w:top w:val="single" w:sz="12" w:space="0" w:color="010000"/>
              <w:bottom w:val="single" w:sz="4" w:space="0" w:color="010000"/>
            </w:tcBorders>
            <w:vAlign w:val="center"/>
          </w:tcPr>
          <w:p>
            <w:pPr>
              <w:keepNext/>
              <w:jc w:val="center"/>
            </w:pPr>
            <w:r/>
            <w:r>
              <w:rPr>
                <w:rFonts w:hint="eastAsia"/>
                <w:b/>
                <w:color w:val="000000"/>
                <w:sz w:val="21"/>
              </w:rPr>
              <w:t>证券代码</w:t>
            </w:r>
          </w:p>
        </w:tc>
        <w:tc>
          <w:tcPr>
            <w:tcW w:w="750" w:type="pct"/>
            <w:tcBorders>
              <w:top w:val="single" w:sz="12" w:space="0" w:color="010000"/>
              <w:bottom w:val="single" w:sz="4" w:space="0" w:color="010000"/>
            </w:tcBorders>
            <w:vAlign w:val="center"/>
          </w:tcPr>
          <w:p>
            <w:pPr>
              <w:keepNext/>
              <w:jc w:val="center"/>
            </w:pPr>
            <w:r/>
            <w:r>
              <w:rPr>
                <w:rFonts w:hint="eastAsia"/>
                <w:b/>
                <w:color w:val="000000"/>
                <w:sz w:val="21"/>
              </w:rPr>
              <w:t>2025年营业收入（亿元）</w:t>
            </w:r>
          </w:p>
        </w:tc>
        <w:tc>
          <w:tcPr>
            <w:tcW w:w="750" w:type="pct"/>
            <w:tcBorders>
              <w:top w:val="single" w:sz="12" w:space="0" w:color="010000"/>
              <w:bottom w:val="single" w:sz="4" w:space="0" w:color="010000"/>
            </w:tcBorders>
            <w:vAlign w:val="center"/>
          </w:tcPr>
          <w:p>
            <w:pPr>
              <w:keepNext/>
              <w:jc w:val="center"/>
            </w:pPr>
            <w:r/>
            <w:r>
              <w:rPr>
                <w:rFonts w:hint="eastAsia"/>
                <w:b/>
                <w:color w:val="000000"/>
                <w:sz w:val="21"/>
              </w:rPr>
              <w:t>2025年归母净利润（亿元）</w:t>
            </w:r>
          </w:p>
        </w:tc>
        <w:tc>
          <w:tcPr>
            <w:tcW w:w="2300" w:type="pct"/>
            <w:tcBorders>
              <w:top w:val="single" w:sz="12" w:space="0" w:color="010000"/>
              <w:bottom w:val="single" w:sz="4" w:space="0" w:color="010000"/>
            </w:tcBorders>
            <w:vAlign w:val="center"/>
          </w:tcPr>
          <w:p>
            <w:pPr>
              <w:keepNext/>
              <w:jc w:val="center"/>
            </w:pPr>
            <w:r/>
            <w:r>
              <w:rPr>
                <w:rFonts w:hint="eastAsia"/>
                <w:b/>
                <w:color w:val="000000"/>
                <w:sz w:val="21"/>
              </w:rPr>
              <w:t>主营业务情况</w:t>
            </w:r>
          </w:p>
        </w:tc>
      </w:tr>
      <w:tr>
        <w:trPr>
          <w:cantSplit/>
          <w:jc w:val="center"/>
        </w:trPr>
        <w:tc>
          <w:tcPr>
            <w:tcW w:w="600" w:type="pct"/>
            <w:tcBorders>
              <w:top w:val="single" w:sz="4" w:space="0" w:color="010000"/>
            </w:tcBorders>
            <w:vAlign w:val="center"/>
          </w:tcPr>
          <w:p>
            <w:pPr>
              <w:jc w:val="center"/>
            </w:pPr>
            <w:r/>
            <w:r>
              <w:rPr>
                <w:rFonts w:hint="eastAsia"/>
                <w:color w:val="000000"/>
                <w:sz w:val="21"/>
              </w:rPr>
              <w:t>长电科技</w:t>
            </w:r>
          </w:p>
        </w:tc>
        <w:tc>
          <w:tcPr>
            <w:tcW w:w="600" w:type="pct"/>
            <w:tcBorders>
              <w:top w:val="single" w:sz="4" w:space="0" w:color="010000"/>
            </w:tcBorders>
            <w:vAlign w:val="center"/>
          </w:tcPr>
          <w:p>
            <w:pPr>
              <w:jc w:val="center"/>
            </w:pPr>
            <w:r/>
            <w:r>
              <w:rPr>
                <w:rFonts w:hint="eastAsia"/>
                <w:color w:val="000000"/>
                <w:sz w:val="21"/>
              </w:rPr>
              <w:t>600584.SH</w:t>
            </w:r>
          </w:p>
        </w:tc>
        <w:tc>
          <w:tcPr>
            <w:tcW w:w="750" w:type="pct"/>
            <w:tcBorders>
              <w:top w:val="single" w:sz="4" w:space="0" w:color="010000"/>
            </w:tcBorders>
            <w:vAlign w:val="center"/>
          </w:tcPr>
          <w:p>
            <w:pPr>
              <w:jc w:val="right"/>
            </w:pPr>
            <w:r/>
            <w:r>
              <w:rPr>
                <w:rFonts w:hint="eastAsia"/>
                <w:color w:val="000000"/>
                <w:sz w:val="21"/>
              </w:rPr>
              <w:t>388.71</w:t>
            </w:r>
          </w:p>
        </w:tc>
        <w:tc>
          <w:tcPr>
            <w:tcW w:w="750" w:type="pct"/>
            <w:tcBorders>
              <w:top w:val="single" w:sz="4" w:space="0" w:color="010000"/>
            </w:tcBorders>
            <w:vAlign w:val="center"/>
          </w:tcPr>
          <w:p>
            <w:pPr>
              <w:jc w:val="right"/>
            </w:pPr>
            <w:r/>
            <w:r>
              <w:rPr>
                <w:rFonts w:hint="eastAsia"/>
                <w:color w:val="000000"/>
                <w:sz w:val="21"/>
              </w:rPr>
              <w:t>15.65</w:t>
            </w:r>
          </w:p>
        </w:tc>
        <w:tc>
          <w:tcPr>
            <w:tcW w:w="2300" w:type="pct"/>
            <w:tcBorders>
              <w:top w:val="single" w:sz="4" w:space="0" w:color="010000"/>
            </w:tcBorders>
            <w:vAlign w:val="center"/>
          </w:tcPr>
          <w:p>
            <w:pPr>
              <w:jc w:val="left"/>
            </w:pPr>
            <w:r/>
            <w:r>
              <w:rPr>
                <w:rFonts w:hint="eastAsia"/>
                <w:color w:val="000000"/>
                <w:sz w:val="21"/>
              </w:rPr>
              <w:t>集成电路封装与测试，提供存储芯片先进封装服务</w:t>
            </w:r>
          </w:p>
        </w:tc>
      </w:tr>
      <w:tr>
        <w:trPr>
          <w:cantSplit/>
          <w:jc w:val="center"/>
        </w:trPr>
        <w:tc>
          <w:tcPr>
            <w:tcW w:w="600" w:type="pct"/>
            <w:tcBorders>
              <w:top w:val="single" w:sz="4" w:space="0" w:color="010000"/>
            </w:tcBorders>
            <w:vAlign w:val="center"/>
          </w:tcPr>
          <w:p>
            <w:pPr>
              <w:jc w:val="center"/>
            </w:pPr>
            <w:r/>
            <w:r>
              <w:rPr>
                <w:rFonts w:hint="eastAsia"/>
                <w:color w:val="000000"/>
                <w:sz w:val="21"/>
              </w:rPr>
              <w:t>太极实业</w:t>
            </w:r>
          </w:p>
        </w:tc>
        <w:tc>
          <w:tcPr>
            <w:tcW w:w="600" w:type="pct"/>
            <w:tcBorders>
              <w:top w:val="single" w:sz="4" w:space="0" w:color="010000"/>
            </w:tcBorders>
            <w:vAlign w:val="center"/>
          </w:tcPr>
          <w:p>
            <w:pPr>
              <w:jc w:val="center"/>
            </w:pPr>
            <w:r/>
            <w:r>
              <w:rPr>
                <w:rFonts w:hint="eastAsia"/>
                <w:color w:val="000000"/>
                <w:sz w:val="21"/>
              </w:rPr>
              <w:t>600667.SH</w:t>
            </w:r>
          </w:p>
        </w:tc>
        <w:tc>
          <w:tcPr>
            <w:tcW w:w="750" w:type="pct"/>
            <w:tcBorders>
              <w:top w:val="single" w:sz="4" w:space="0" w:color="010000"/>
            </w:tcBorders>
            <w:vAlign w:val="center"/>
          </w:tcPr>
          <w:p>
            <w:pPr>
              <w:jc w:val="right"/>
            </w:pPr>
            <w:r/>
            <w:r>
              <w:rPr>
                <w:rFonts w:hint="eastAsia"/>
                <w:color w:val="000000"/>
                <w:sz w:val="21"/>
              </w:rPr>
              <w:t>306.82</w:t>
            </w:r>
          </w:p>
        </w:tc>
        <w:tc>
          <w:tcPr>
            <w:tcW w:w="750" w:type="pct"/>
            <w:tcBorders>
              <w:top w:val="single" w:sz="4" w:space="0" w:color="010000"/>
            </w:tcBorders>
            <w:vAlign w:val="center"/>
          </w:tcPr>
          <w:p>
            <w:pPr>
              <w:jc w:val="right"/>
            </w:pPr>
            <w:r/>
            <w:r>
              <w:rPr>
                <w:rFonts w:hint="eastAsia"/>
                <w:color w:val="000000"/>
                <w:sz w:val="21"/>
              </w:rPr>
              <w:t>4.48</w:t>
            </w:r>
          </w:p>
        </w:tc>
        <w:tc>
          <w:tcPr>
            <w:tcW w:w="2300" w:type="pct"/>
            <w:tcBorders>
              <w:top w:val="single" w:sz="4" w:space="0" w:color="010000"/>
            </w:tcBorders>
            <w:vAlign w:val="center"/>
          </w:tcPr>
          <w:p>
            <w:pPr>
              <w:jc w:val="left"/>
            </w:pPr>
            <w:r/>
            <w:r>
              <w:rPr>
                <w:rFonts w:hint="eastAsia"/>
                <w:color w:val="000000"/>
                <w:sz w:val="21"/>
              </w:rPr>
              <w:t>工程服务与半导体封测，通过子公司海太半导体为SK海力士提供DRAM封测服务，存储模组业务占营业收入5.85%</w:t>
            </w:r>
          </w:p>
        </w:tc>
      </w:tr>
      <w:tr>
        <w:trPr>
          <w:cantSplit/>
          <w:jc w:val="center"/>
        </w:trPr>
        <w:tc>
          <w:tcPr>
            <w:tcW w:w="600" w:type="pct"/>
            <w:tcBorders>
              <w:top w:val="single" w:sz="4" w:space="0" w:color="010000"/>
            </w:tcBorders>
            <w:vAlign w:val="center"/>
          </w:tcPr>
          <w:p>
            <w:pPr>
              <w:jc w:val="center"/>
            </w:pPr>
            <w:r/>
            <w:r>
              <w:rPr>
                <w:rFonts w:hint="eastAsia"/>
                <w:color w:val="000000"/>
                <w:sz w:val="21"/>
              </w:rPr>
              <w:t>通富微电</w:t>
            </w:r>
          </w:p>
        </w:tc>
        <w:tc>
          <w:tcPr>
            <w:tcW w:w="600" w:type="pct"/>
            <w:tcBorders>
              <w:top w:val="single" w:sz="4" w:space="0" w:color="010000"/>
            </w:tcBorders>
            <w:vAlign w:val="center"/>
          </w:tcPr>
          <w:p>
            <w:pPr>
              <w:jc w:val="center"/>
            </w:pPr>
            <w:r/>
            <w:r>
              <w:rPr>
                <w:rFonts w:hint="eastAsia"/>
                <w:color w:val="000000"/>
                <w:sz w:val="21"/>
              </w:rPr>
              <w:t>002156.SZ</w:t>
            </w:r>
          </w:p>
        </w:tc>
        <w:tc>
          <w:tcPr>
            <w:tcW w:w="750" w:type="pct"/>
            <w:tcBorders>
              <w:top w:val="single" w:sz="4" w:space="0" w:color="010000"/>
            </w:tcBorders>
            <w:vAlign w:val="center"/>
          </w:tcPr>
          <w:p>
            <w:pPr>
              <w:jc w:val="right"/>
            </w:pPr>
            <w:r/>
            <w:r>
              <w:rPr>
                <w:rFonts w:hint="eastAsia"/>
                <w:color w:val="000000"/>
                <w:sz w:val="21"/>
              </w:rPr>
              <w:t>279.21</w:t>
            </w:r>
          </w:p>
        </w:tc>
        <w:tc>
          <w:tcPr>
            <w:tcW w:w="750" w:type="pct"/>
            <w:tcBorders>
              <w:top w:val="single" w:sz="4" w:space="0" w:color="010000"/>
            </w:tcBorders>
            <w:vAlign w:val="center"/>
          </w:tcPr>
          <w:p>
            <w:pPr>
              <w:jc w:val="right"/>
            </w:pPr>
            <w:r/>
            <w:r>
              <w:rPr>
                <w:rFonts w:hint="eastAsia"/>
                <w:color w:val="000000"/>
                <w:sz w:val="21"/>
              </w:rPr>
              <w:t>12.19</w:t>
            </w:r>
          </w:p>
        </w:tc>
        <w:tc>
          <w:tcPr>
            <w:tcW w:w="2300" w:type="pct"/>
            <w:tcBorders>
              <w:top w:val="single" w:sz="4" w:space="0" w:color="010000"/>
            </w:tcBorders>
            <w:vAlign w:val="center"/>
          </w:tcPr>
          <w:p>
            <w:pPr>
              <w:jc w:val="left"/>
            </w:pPr>
            <w:r/>
            <w:r>
              <w:rPr>
                <w:rFonts w:hint="eastAsia"/>
                <w:color w:val="000000"/>
                <w:sz w:val="21"/>
              </w:rPr>
              <w:t>集成电路封装与测试，布局存储芯片封装</w:t>
            </w:r>
          </w:p>
        </w:tc>
      </w:tr>
      <w:tr>
        <w:trPr>
          <w:cantSplit/>
          <w:jc w:val="center"/>
        </w:trPr>
        <w:tc>
          <w:tcPr>
            <w:tcW w:w="600" w:type="pct"/>
            <w:tcBorders>
              <w:top w:val="single" w:sz="4" w:space="0" w:color="010000"/>
            </w:tcBorders>
            <w:vAlign w:val="center"/>
          </w:tcPr>
          <w:p>
            <w:pPr>
              <w:jc w:val="center"/>
            </w:pPr>
            <w:r/>
            <w:r>
              <w:rPr>
                <w:rFonts w:hint="eastAsia"/>
                <w:color w:val="000000"/>
                <w:sz w:val="21"/>
              </w:rPr>
              <w:t>华天科技</w:t>
            </w:r>
          </w:p>
        </w:tc>
        <w:tc>
          <w:tcPr>
            <w:tcW w:w="600" w:type="pct"/>
            <w:tcBorders>
              <w:top w:val="single" w:sz="4" w:space="0" w:color="010000"/>
            </w:tcBorders>
            <w:vAlign w:val="center"/>
          </w:tcPr>
          <w:p>
            <w:pPr>
              <w:jc w:val="center"/>
            </w:pPr>
            <w:r/>
            <w:r>
              <w:rPr>
                <w:rFonts w:hint="eastAsia"/>
                <w:color w:val="000000"/>
                <w:sz w:val="21"/>
              </w:rPr>
              <w:t>002185.SZ</w:t>
            </w:r>
          </w:p>
        </w:tc>
        <w:tc>
          <w:tcPr>
            <w:tcW w:w="750" w:type="pct"/>
            <w:tcBorders>
              <w:top w:val="single" w:sz="4" w:space="0" w:color="010000"/>
            </w:tcBorders>
            <w:vAlign w:val="center"/>
          </w:tcPr>
          <w:p>
            <w:pPr>
              <w:jc w:val="right"/>
            </w:pPr>
            <w:r/>
            <w:r>
              <w:rPr>
                <w:rFonts w:hint="eastAsia"/>
                <w:color w:val="000000"/>
                <w:sz w:val="21"/>
              </w:rPr>
              <w:t>172.14</w:t>
            </w:r>
          </w:p>
        </w:tc>
        <w:tc>
          <w:tcPr>
            <w:tcW w:w="750" w:type="pct"/>
            <w:tcBorders>
              <w:top w:val="single" w:sz="4" w:space="0" w:color="010000"/>
            </w:tcBorders>
            <w:vAlign w:val="center"/>
          </w:tcPr>
          <w:p>
            <w:pPr>
              <w:jc w:val="right"/>
            </w:pPr>
            <w:r/>
            <w:r>
              <w:rPr>
                <w:rFonts w:hint="eastAsia"/>
                <w:color w:val="000000"/>
                <w:sz w:val="21"/>
              </w:rPr>
              <w:t>7.11</w:t>
            </w:r>
          </w:p>
        </w:tc>
        <w:tc>
          <w:tcPr>
            <w:tcW w:w="2300" w:type="pct"/>
            <w:tcBorders>
              <w:top w:val="single" w:sz="4" w:space="0" w:color="010000"/>
            </w:tcBorders>
            <w:vAlign w:val="center"/>
          </w:tcPr>
          <w:p>
            <w:pPr>
              <w:jc w:val="left"/>
            </w:pPr>
            <w:r/>
            <w:r>
              <w:rPr>
                <w:rFonts w:hint="eastAsia"/>
                <w:color w:val="000000"/>
                <w:sz w:val="21"/>
              </w:rPr>
              <w:t>集成电路封装与测试，提供DIP、SOP、QFN、BGA、SiP等封装形式</w:t>
            </w:r>
          </w:p>
        </w:tc>
      </w:tr>
      <w:tr>
        <w:trPr>
          <w:cantSplit/>
          <w:jc w:val="center"/>
        </w:trPr>
        <w:tc>
          <w:tcPr>
            <w:tcW w:w="600" w:type="pct"/>
            <w:tcBorders>
              <w:top w:val="single" w:sz="4" w:space="0" w:color="010000"/>
            </w:tcBorders>
            <w:vAlign w:val="center"/>
          </w:tcPr>
          <w:p>
            <w:pPr>
              <w:jc w:val="center"/>
            </w:pPr>
            <w:r/>
            <w:r>
              <w:rPr>
                <w:rFonts w:hint="eastAsia"/>
                <w:color w:val="000000"/>
                <w:sz w:val="21"/>
              </w:rPr>
              <w:t>深科技</w:t>
            </w:r>
          </w:p>
        </w:tc>
        <w:tc>
          <w:tcPr>
            <w:tcW w:w="600" w:type="pct"/>
            <w:tcBorders>
              <w:top w:val="single" w:sz="4" w:space="0" w:color="010000"/>
            </w:tcBorders>
            <w:vAlign w:val="center"/>
          </w:tcPr>
          <w:p>
            <w:pPr>
              <w:jc w:val="center"/>
            </w:pPr>
            <w:r/>
            <w:r>
              <w:rPr>
                <w:rFonts w:hint="eastAsia"/>
                <w:color w:val="000000"/>
                <w:sz w:val="21"/>
              </w:rPr>
              <w:t>000021.SZ</w:t>
            </w:r>
          </w:p>
        </w:tc>
        <w:tc>
          <w:tcPr>
            <w:tcW w:w="750" w:type="pct"/>
            <w:tcBorders>
              <w:top w:val="single" w:sz="4" w:space="0" w:color="010000"/>
            </w:tcBorders>
            <w:vAlign w:val="center"/>
          </w:tcPr>
          <w:p>
            <w:pPr>
              <w:jc w:val="right"/>
            </w:pPr>
            <w:r/>
            <w:r>
              <w:rPr>
                <w:rFonts w:hint="eastAsia"/>
                <w:color w:val="000000"/>
                <w:sz w:val="21"/>
              </w:rPr>
              <w:t>157.47</w:t>
            </w:r>
          </w:p>
        </w:tc>
        <w:tc>
          <w:tcPr>
            <w:tcW w:w="750" w:type="pct"/>
            <w:tcBorders>
              <w:top w:val="single" w:sz="4" w:space="0" w:color="010000"/>
            </w:tcBorders>
            <w:vAlign w:val="center"/>
          </w:tcPr>
          <w:p>
            <w:pPr>
              <w:jc w:val="right"/>
            </w:pPr>
            <w:r/>
            <w:r>
              <w:rPr>
                <w:rFonts w:hint="eastAsia"/>
                <w:color w:val="000000"/>
                <w:sz w:val="21"/>
              </w:rPr>
              <w:t>11.36</w:t>
            </w:r>
          </w:p>
        </w:tc>
        <w:tc>
          <w:tcPr>
            <w:tcW w:w="2300" w:type="pct"/>
            <w:tcBorders>
              <w:top w:val="single" w:sz="4" w:space="0" w:color="010000"/>
            </w:tcBorders>
            <w:vAlign w:val="center"/>
          </w:tcPr>
          <w:p>
            <w:pPr>
              <w:jc w:val="left"/>
            </w:pPr>
            <w:r/>
            <w:r>
              <w:rPr>
                <w:rFonts w:hint="eastAsia"/>
                <w:color w:val="000000"/>
                <w:sz w:val="21"/>
              </w:rPr>
              <w:t>存储半导体业务、高端制造与计量智能终端三大板块，存储半导体业务占营业收入25.98%</w:t>
            </w:r>
          </w:p>
        </w:tc>
      </w:tr>
      <w:tr>
        <w:trPr>
          <w:cantSplit/>
          <w:jc w:val="center"/>
        </w:trPr>
        <w:tc>
          <w:tcPr>
            <w:tcW w:w="600" w:type="pct"/>
            <w:tcBorders>
              <w:top w:val="single" w:sz="4" w:space="0" w:color="010000"/>
            </w:tcBorders>
            <w:vAlign w:val="center"/>
          </w:tcPr>
          <w:p>
            <w:pPr>
              <w:jc w:val="center"/>
            </w:pPr>
            <w:r/>
            <w:r>
              <w:rPr>
                <w:rFonts w:hint="eastAsia"/>
                <w:color w:val="000000"/>
                <w:sz w:val="21"/>
              </w:rPr>
              <w:t>甬矽电子</w:t>
            </w:r>
          </w:p>
        </w:tc>
        <w:tc>
          <w:tcPr>
            <w:tcW w:w="600" w:type="pct"/>
            <w:tcBorders>
              <w:top w:val="single" w:sz="4" w:space="0" w:color="010000"/>
            </w:tcBorders>
            <w:vAlign w:val="center"/>
          </w:tcPr>
          <w:p>
            <w:pPr>
              <w:jc w:val="center"/>
            </w:pPr>
            <w:r/>
            <w:r>
              <w:rPr>
                <w:rFonts w:hint="eastAsia"/>
                <w:color w:val="000000"/>
                <w:sz w:val="21"/>
              </w:rPr>
              <w:t>688362.SH</w:t>
            </w:r>
          </w:p>
        </w:tc>
        <w:tc>
          <w:tcPr>
            <w:tcW w:w="750" w:type="pct"/>
            <w:tcBorders>
              <w:top w:val="single" w:sz="4" w:space="0" w:color="010000"/>
            </w:tcBorders>
            <w:vAlign w:val="center"/>
          </w:tcPr>
          <w:p>
            <w:pPr>
              <w:jc w:val="right"/>
            </w:pPr>
            <w:r/>
            <w:r>
              <w:rPr>
                <w:rFonts w:hint="eastAsia"/>
                <w:color w:val="000000"/>
                <w:sz w:val="21"/>
              </w:rPr>
              <w:t>43.98</w:t>
            </w:r>
          </w:p>
        </w:tc>
        <w:tc>
          <w:tcPr>
            <w:tcW w:w="750" w:type="pct"/>
            <w:tcBorders>
              <w:top w:val="single" w:sz="4" w:space="0" w:color="010000"/>
            </w:tcBorders>
            <w:vAlign w:val="center"/>
          </w:tcPr>
          <w:p>
            <w:pPr>
              <w:jc w:val="right"/>
            </w:pPr>
            <w:r/>
            <w:r>
              <w:rPr>
                <w:rFonts w:hint="eastAsia"/>
                <w:color w:val="000000"/>
                <w:sz w:val="21"/>
              </w:rPr>
              <w:t>0.82</w:t>
            </w:r>
          </w:p>
        </w:tc>
        <w:tc>
          <w:tcPr>
            <w:tcW w:w="2300" w:type="pct"/>
            <w:tcBorders>
              <w:top w:val="single" w:sz="4" w:space="0" w:color="010000"/>
            </w:tcBorders>
            <w:vAlign w:val="center"/>
          </w:tcPr>
          <w:p>
            <w:pPr>
              <w:jc w:val="left"/>
            </w:pPr>
            <w:r/>
            <w:r>
              <w:rPr>
                <w:rFonts w:hint="eastAsia"/>
                <w:color w:val="000000"/>
                <w:sz w:val="21"/>
              </w:rPr>
              <w:t>中高端集成电路封装，系统级封装占营业收入39.23%</w:t>
            </w:r>
          </w:p>
        </w:tc>
      </w:tr>
      <w:tr>
        <w:trPr>
          <w:cantSplit/>
          <w:jc w:val="center"/>
        </w:trPr>
        <w:tc>
          <w:tcPr>
            <w:tcW w:w="600" w:type="pct"/>
            <w:tcBorders>
              <w:top w:val="single" w:sz="4" w:space="0" w:color="010000"/>
            </w:tcBorders>
            <w:vAlign w:val="center"/>
          </w:tcPr>
          <w:p>
            <w:pPr>
              <w:jc w:val="center"/>
            </w:pPr>
            <w:r/>
            <w:r>
              <w:rPr>
                <w:rFonts w:hint="eastAsia"/>
                <w:color w:val="000000"/>
                <w:sz w:val="21"/>
              </w:rPr>
              <w:t>利扬芯片</w:t>
            </w:r>
          </w:p>
        </w:tc>
        <w:tc>
          <w:tcPr>
            <w:tcW w:w="600" w:type="pct"/>
            <w:tcBorders>
              <w:top w:val="single" w:sz="4" w:space="0" w:color="010000"/>
            </w:tcBorders>
            <w:vAlign w:val="center"/>
          </w:tcPr>
          <w:p>
            <w:pPr>
              <w:jc w:val="center"/>
            </w:pPr>
            <w:r/>
            <w:r>
              <w:rPr>
                <w:rFonts w:hint="eastAsia"/>
                <w:color w:val="000000"/>
                <w:sz w:val="21"/>
              </w:rPr>
              <w:t>688135.SH</w:t>
            </w:r>
          </w:p>
        </w:tc>
        <w:tc>
          <w:tcPr>
            <w:tcW w:w="750" w:type="pct"/>
            <w:tcBorders>
              <w:top w:val="single" w:sz="4" w:space="0" w:color="010000"/>
            </w:tcBorders>
            <w:vAlign w:val="center"/>
          </w:tcPr>
          <w:p>
            <w:pPr>
              <w:jc w:val="right"/>
            </w:pPr>
            <w:r/>
            <w:r>
              <w:rPr>
                <w:rFonts w:hint="eastAsia"/>
                <w:color w:val="000000"/>
                <w:sz w:val="21"/>
              </w:rPr>
              <w:t>6.18</w:t>
            </w:r>
          </w:p>
        </w:tc>
        <w:tc>
          <w:tcPr>
            <w:tcW w:w="750" w:type="pct"/>
            <w:tcBorders>
              <w:top w:val="single" w:sz="4" w:space="0" w:color="010000"/>
            </w:tcBorders>
            <w:vAlign w:val="center"/>
          </w:tcPr>
          <w:p>
            <w:pPr>
              <w:jc w:val="right"/>
            </w:pPr>
            <w:r/>
            <w:r>
              <w:rPr>
                <w:rFonts w:hint="eastAsia"/>
                <w:color w:val="000000"/>
                <w:sz w:val="21"/>
              </w:rPr>
              <w:t>-0.09</w:t>
            </w:r>
          </w:p>
        </w:tc>
        <w:tc>
          <w:tcPr>
            <w:tcW w:w="2300" w:type="pct"/>
            <w:tcBorders>
              <w:top w:val="single" w:sz="4" w:space="0" w:color="010000"/>
            </w:tcBorders>
            <w:vAlign w:val="center"/>
          </w:tcPr>
          <w:p>
            <w:pPr>
              <w:jc w:val="left"/>
            </w:pPr>
            <w:r/>
            <w:r>
              <w:rPr>
                <w:rFonts w:hint="eastAsia"/>
                <w:color w:val="000000"/>
                <w:sz w:val="21"/>
              </w:rPr>
              <w:t>集成电路测试服务，包括存储芯片测试</w:t>
            </w:r>
          </w:p>
        </w:tc>
      </w:tr>
    </w:tbl>
    <w:p>
      <w:pPr>
        <w:pStyle w:val="a6"/>
        <w:jc w:val="center"/>
      </w:pPr>
      <w:r>
        <w:rPr>
          <w:rFonts w:hint="eastAsia"/>
          <w:sz w:val="11"/>
          <w:szCs w:val="11"/>
        </w:rPr>
        <w:t>数据来源：Wind整理成果，本报告整理。注：上表营业收入与归母净利润为公司整体口径，非存储封测业务单独口径；各公司未单独披露存储封测收入。</w:t>
      </w:r>
    </w:p>
    <w:p>
      <w:pPr>
        <w:pStyle w:val="a0"/>
      </w:pPr>
      <w:r>
        <w:rPr>
          <w:rFonts w:hint="eastAsia"/>
        </w:rPr>
        <w:t>产能投入方面，2025年11月至2026年5月，深科技围绕存储封测连续实施两轮扩产。按公司公告披露的连续12个月累计口径，两轮项目合计投资22.10亿元。</w:t>
      </w:r>
    </w:p>
    <w:p>
      <w:pPr>
        <w:keepNext/>
        <w:jc w:val="center"/>
      </w:pPr>
      <w:r>
        <w:rPr>
          <w:rFonts w:hint="eastAsia"/>
          <w:b/>
          <w:sz w:val="21"/>
        </w:rPr>
        <w:t>表2  深科技存储封测产能扩充项目</w:t>
      </w:r>
    </w:p>
    <w:tbl>
      <w:tblPr>
        <w:tblW w:w="5352" w:type="pct"/>
        <w:jc w:val="center"/>
        <w:tblBorders>
          <w:top w:val="single" w:sz="12" w:space="0" w:color="010000"/>
          <w:left w:val="single" w:sz="12" w:space="0" w:color="010000"/>
          <w:bottom w:val="single" w:sz="12" w:space="0" w:color="010000"/>
          <w:right w:val="single" w:sz="12" w:space="0" w:color="010000"/>
          <w:insideH w:val="single" w:sz="4" w:space="0" w:color="010000"/>
          <w:insideV w:val="single" w:sz="4" w:space="0" w:color="010000"/>
        </w:tblBorders>
        <w:tblLook w:firstColumn="1" w:firstRow="1" w:lastColumn="0" w:lastRow="0" w:noHBand="0" w:noVBand="1" w:val="04A0"/>
      </w:tblPr>
      <w:tblGrid>
        <w:gridCol w:w="1384"/>
        <w:gridCol w:w="1384"/>
        <w:gridCol w:w="1384"/>
        <w:gridCol w:w="1384"/>
        <w:gridCol w:w="1384"/>
        <w:gridCol w:w="1384"/>
      </w:tblGrid>
      <w:tr>
        <w:trPr>
          <w:cantSplit/>
          <w:tblHeader/>
          <w:jc w:val="center"/>
        </w:trPr>
        <w:tc>
          <w:tcPr>
            <w:tcW w:w="625" w:type="pct"/>
            <w:tcBorders>
              <w:top w:val="single" w:sz="12" w:space="0" w:color="010000"/>
              <w:bottom w:val="single" w:sz="4" w:space="0" w:color="010000"/>
            </w:tcBorders>
            <w:vAlign w:val="center"/>
          </w:tcPr>
          <w:p>
            <w:pPr>
              <w:keepNext/>
              <w:jc w:val="center"/>
            </w:pPr>
            <w:r/>
            <w:r>
              <w:rPr>
                <w:rFonts w:hint="eastAsia"/>
                <w:b/>
                <w:color w:val="000000"/>
                <w:sz w:val="21"/>
              </w:rPr>
              <w:t>公告时间</w:t>
            </w:r>
          </w:p>
        </w:tc>
        <w:tc>
          <w:tcPr>
            <w:tcW w:w="625" w:type="pct"/>
            <w:tcBorders>
              <w:top w:val="single" w:sz="12" w:space="0" w:color="010000"/>
              <w:bottom w:val="single" w:sz="4" w:space="0" w:color="010000"/>
            </w:tcBorders>
            <w:vAlign w:val="center"/>
          </w:tcPr>
          <w:p>
            <w:pPr>
              <w:keepNext/>
              <w:jc w:val="center"/>
            </w:pPr>
            <w:r/>
            <w:r>
              <w:rPr>
                <w:rFonts w:hint="eastAsia"/>
                <w:b/>
                <w:color w:val="000000"/>
                <w:sz w:val="21"/>
              </w:rPr>
              <w:t>实施主体</w:t>
            </w:r>
          </w:p>
        </w:tc>
        <w:tc>
          <w:tcPr>
            <w:tcW w:w="536" w:type="pct"/>
            <w:tcBorders>
              <w:top w:val="single" w:sz="12" w:space="0" w:color="010000"/>
              <w:bottom w:val="single" w:sz="4" w:space="0" w:color="010000"/>
            </w:tcBorders>
            <w:vAlign w:val="center"/>
          </w:tcPr>
          <w:p>
            <w:pPr>
              <w:keepNext/>
              <w:jc w:val="center"/>
            </w:pPr>
            <w:r/>
            <w:r>
              <w:rPr>
                <w:rFonts w:hint="eastAsia"/>
                <w:b/>
                <w:color w:val="000000"/>
                <w:sz w:val="21"/>
              </w:rPr>
              <w:t>投资额（亿元）</w:t>
            </w:r>
          </w:p>
        </w:tc>
        <w:tc>
          <w:tcPr>
            <w:tcW w:w="1518" w:type="pct"/>
            <w:tcBorders>
              <w:top w:val="single" w:sz="12" w:space="0" w:color="010000"/>
              <w:bottom w:val="single" w:sz="4" w:space="0" w:color="010000"/>
            </w:tcBorders>
            <w:vAlign w:val="center"/>
          </w:tcPr>
          <w:p>
            <w:pPr>
              <w:keepNext/>
              <w:jc w:val="center"/>
            </w:pPr>
            <w:r/>
            <w:r>
              <w:rPr>
                <w:rFonts w:hint="eastAsia"/>
                <w:b/>
                <w:color w:val="000000"/>
                <w:sz w:val="21"/>
              </w:rPr>
              <w:t>新增产能</w:t>
            </w:r>
          </w:p>
        </w:tc>
        <w:tc>
          <w:tcPr>
            <w:tcW w:w="714" w:type="pct"/>
            <w:tcBorders>
              <w:top w:val="single" w:sz="12" w:space="0" w:color="010000"/>
              <w:bottom w:val="single" w:sz="4" w:space="0" w:color="010000"/>
            </w:tcBorders>
            <w:vAlign w:val="center"/>
          </w:tcPr>
          <w:p>
            <w:pPr>
              <w:keepNext/>
              <w:jc w:val="center"/>
            </w:pPr>
            <w:r/>
            <w:r>
              <w:rPr>
                <w:rFonts w:hint="eastAsia"/>
                <w:b/>
                <w:color w:val="000000"/>
                <w:sz w:val="21"/>
              </w:rPr>
              <w:t>建成时间</w:t>
            </w:r>
          </w:p>
        </w:tc>
        <w:tc>
          <w:tcPr>
            <w:tcW w:w="982" w:type="pct"/>
            <w:tcBorders>
              <w:top w:val="single" w:sz="12" w:space="0" w:color="010000"/>
              <w:bottom w:val="single" w:sz="4" w:space="0" w:color="010000"/>
            </w:tcBorders>
            <w:vAlign w:val="center"/>
          </w:tcPr>
          <w:p>
            <w:pPr>
              <w:keepNext/>
              <w:jc w:val="center"/>
            </w:pPr>
            <w:r/>
            <w:r>
              <w:rPr>
                <w:rFonts w:hint="eastAsia"/>
                <w:b/>
                <w:color w:val="000000"/>
                <w:sz w:val="21"/>
              </w:rPr>
              <w:t>资金来源</w:t>
            </w:r>
          </w:p>
        </w:tc>
      </w:tr>
      <w:tr>
        <w:trPr>
          <w:cantSplit/>
          <w:jc w:val="center"/>
        </w:trPr>
        <w:tc>
          <w:tcPr>
            <w:tcW w:w="625" w:type="pct"/>
            <w:tcBorders>
              <w:top w:val="single" w:sz="4" w:space="0" w:color="010000"/>
            </w:tcBorders>
            <w:vAlign w:val="center"/>
          </w:tcPr>
          <w:p>
            <w:pPr>
              <w:jc w:val="center"/>
            </w:pPr>
            <w:r/>
            <w:r>
              <w:rPr>
                <w:rFonts w:hint="eastAsia"/>
                <w:color w:val="000000"/>
                <w:sz w:val="21"/>
              </w:rPr>
              <w:t>2025年11月6日</w:t>
            </w:r>
          </w:p>
        </w:tc>
        <w:tc>
          <w:tcPr>
            <w:tcW w:w="625" w:type="pct"/>
            <w:tcBorders>
              <w:top w:val="single" w:sz="4" w:space="0" w:color="010000"/>
            </w:tcBorders>
            <w:vAlign w:val="center"/>
          </w:tcPr>
          <w:p>
            <w:pPr>
              <w:jc w:val="center"/>
            </w:pPr>
            <w:r/>
            <w:r>
              <w:rPr>
                <w:rFonts w:hint="eastAsia"/>
                <w:color w:val="000000"/>
                <w:sz w:val="21"/>
              </w:rPr>
              <w:t>深圳沛顿</w:t>
            </w:r>
          </w:p>
        </w:tc>
        <w:tc>
          <w:tcPr>
            <w:tcW w:w="536" w:type="pct"/>
            <w:tcBorders>
              <w:top w:val="single" w:sz="4" w:space="0" w:color="010000"/>
            </w:tcBorders>
            <w:vAlign w:val="center"/>
          </w:tcPr>
          <w:p>
            <w:pPr>
              <w:jc w:val="right"/>
            </w:pPr>
            <w:r/>
            <w:r>
              <w:rPr>
                <w:rFonts w:hint="eastAsia"/>
                <w:color w:val="000000"/>
                <w:sz w:val="21"/>
              </w:rPr>
              <w:t>2.60</w:t>
            </w:r>
          </w:p>
        </w:tc>
        <w:tc>
          <w:tcPr>
            <w:tcW w:w="1518" w:type="pct"/>
            <w:tcBorders>
              <w:top w:val="single" w:sz="4" w:space="0" w:color="010000"/>
            </w:tcBorders>
            <w:vAlign w:val="center"/>
          </w:tcPr>
          <w:p>
            <w:pPr>
              <w:jc w:val="left"/>
            </w:pPr>
            <w:r/>
            <w:r>
              <w:rPr>
                <w:rFonts w:hint="eastAsia"/>
                <w:color w:val="000000"/>
                <w:sz w:val="21"/>
              </w:rPr>
              <w:t>每月增加UFS测试产能500万颗芯片、DDR测试产能426万颗芯片</w:t>
            </w:r>
          </w:p>
        </w:tc>
        <w:tc>
          <w:tcPr>
            <w:tcW w:w="714" w:type="pct"/>
            <w:tcBorders>
              <w:top w:val="single" w:sz="4" w:space="0" w:color="010000"/>
            </w:tcBorders>
            <w:vAlign w:val="center"/>
          </w:tcPr>
          <w:p>
            <w:pPr>
              <w:jc w:val="center"/>
            </w:pPr>
            <w:r/>
            <w:r>
              <w:rPr>
                <w:rFonts w:hint="eastAsia"/>
                <w:color w:val="000000"/>
                <w:sz w:val="21"/>
              </w:rPr>
              <w:t>公告未披露</w:t>
            </w:r>
          </w:p>
        </w:tc>
        <w:tc>
          <w:tcPr>
            <w:tcW w:w="982" w:type="pct"/>
            <w:tcBorders>
              <w:top w:val="single" w:sz="4" w:space="0" w:color="010000"/>
            </w:tcBorders>
            <w:vAlign w:val="center"/>
          </w:tcPr>
          <w:p>
            <w:pPr>
              <w:jc w:val="left"/>
            </w:pPr>
            <w:r/>
            <w:r>
              <w:rPr>
                <w:rFonts w:hint="eastAsia"/>
                <w:color w:val="000000"/>
                <w:sz w:val="21"/>
              </w:rPr>
              <w:t>公告未披露</w:t>
            </w:r>
          </w:p>
        </w:tc>
      </w:tr>
      <w:tr>
        <w:trPr>
          <w:cantSplit/>
          <w:jc w:val="center"/>
        </w:trPr>
        <w:tc>
          <w:tcPr>
            <w:tcW w:w="625" w:type="pct"/>
            <w:tcBorders>
              <w:top w:val="single" w:sz="4" w:space="0" w:color="010000"/>
            </w:tcBorders>
            <w:vAlign w:val="center"/>
          </w:tcPr>
          <w:p>
            <w:pPr>
              <w:jc w:val="center"/>
            </w:pPr>
            <w:r/>
            <w:r>
              <w:rPr>
                <w:rFonts w:hint="eastAsia"/>
                <w:color w:val="000000"/>
                <w:sz w:val="21"/>
              </w:rPr>
              <w:t>2025年11月6日</w:t>
            </w:r>
          </w:p>
        </w:tc>
        <w:tc>
          <w:tcPr>
            <w:tcW w:w="625" w:type="pct"/>
            <w:tcBorders>
              <w:top w:val="single" w:sz="4" w:space="0" w:color="010000"/>
            </w:tcBorders>
            <w:vAlign w:val="center"/>
          </w:tcPr>
          <w:p>
            <w:pPr>
              <w:jc w:val="center"/>
            </w:pPr>
            <w:r/>
            <w:r>
              <w:rPr>
                <w:rFonts w:hint="eastAsia"/>
                <w:color w:val="000000"/>
                <w:sz w:val="21"/>
              </w:rPr>
              <w:t>合肥沛顿存储</w:t>
            </w:r>
          </w:p>
        </w:tc>
        <w:tc>
          <w:tcPr>
            <w:tcW w:w="536" w:type="pct"/>
            <w:tcBorders>
              <w:top w:val="single" w:sz="4" w:space="0" w:color="010000"/>
            </w:tcBorders>
            <w:vAlign w:val="center"/>
          </w:tcPr>
          <w:p>
            <w:pPr>
              <w:jc w:val="right"/>
            </w:pPr>
            <w:r/>
            <w:r>
              <w:rPr>
                <w:rFonts w:hint="eastAsia"/>
                <w:color w:val="000000"/>
                <w:sz w:val="21"/>
              </w:rPr>
              <w:t>4.80</w:t>
            </w:r>
          </w:p>
        </w:tc>
        <w:tc>
          <w:tcPr>
            <w:tcW w:w="1518" w:type="pct"/>
            <w:tcBorders>
              <w:top w:val="single" w:sz="4" w:space="0" w:color="010000"/>
            </w:tcBorders>
            <w:vAlign w:val="center"/>
          </w:tcPr>
          <w:p>
            <w:pPr>
              <w:jc w:val="left"/>
            </w:pPr>
            <w:r/>
            <w:r>
              <w:rPr>
                <w:rFonts w:hint="eastAsia"/>
                <w:color w:val="000000"/>
                <w:sz w:val="21"/>
              </w:rPr>
              <w:t>每月增加封装产能1,780万颗晶粒</w:t>
            </w:r>
          </w:p>
        </w:tc>
        <w:tc>
          <w:tcPr>
            <w:tcW w:w="714" w:type="pct"/>
            <w:tcBorders>
              <w:top w:val="single" w:sz="4" w:space="0" w:color="010000"/>
            </w:tcBorders>
            <w:vAlign w:val="center"/>
          </w:tcPr>
          <w:p>
            <w:pPr>
              <w:jc w:val="center"/>
            </w:pPr>
            <w:r/>
            <w:r>
              <w:rPr>
                <w:rFonts w:hint="eastAsia"/>
                <w:color w:val="000000"/>
                <w:sz w:val="21"/>
              </w:rPr>
              <w:t>公告未披露</w:t>
            </w:r>
          </w:p>
        </w:tc>
        <w:tc>
          <w:tcPr>
            <w:tcW w:w="982" w:type="pct"/>
            <w:tcBorders>
              <w:top w:val="single" w:sz="4" w:space="0" w:color="010000"/>
            </w:tcBorders>
            <w:vAlign w:val="center"/>
          </w:tcPr>
          <w:p>
            <w:pPr>
              <w:jc w:val="left"/>
            </w:pPr>
            <w:r/>
            <w:r>
              <w:rPr>
                <w:rFonts w:hint="eastAsia"/>
                <w:color w:val="000000"/>
                <w:sz w:val="21"/>
              </w:rPr>
              <w:t>公告未披露</w:t>
            </w:r>
          </w:p>
        </w:tc>
      </w:tr>
      <w:tr>
        <w:trPr>
          <w:cantSplit/>
          <w:jc w:val="center"/>
        </w:trPr>
        <w:tc>
          <w:tcPr>
            <w:tcW w:w="625" w:type="pct"/>
            <w:tcBorders>
              <w:top w:val="single" w:sz="4" w:space="0" w:color="010000"/>
            </w:tcBorders>
            <w:vAlign w:val="center"/>
          </w:tcPr>
          <w:p>
            <w:pPr>
              <w:jc w:val="center"/>
            </w:pPr>
            <w:r/>
            <w:r>
              <w:rPr>
                <w:rFonts w:hint="eastAsia"/>
                <w:color w:val="000000"/>
                <w:sz w:val="21"/>
              </w:rPr>
              <w:t>2026年5月27日</w:t>
            </w:r>
          </w:p>
        </w:tc>
        <w:tc>
          <w:tcPr>
            <w:tcW w:w="625" w:type="pct"/>
            <w:tcBorders>
              <w:top w:val="single" w:sz="4" w:space="0" w:color="010000"/>
            </w:tcBorders>
            <w:vAlign w:val="center"/>
          </w:tcPr>
          <w:p>
            <w:pPr>
              <w:jc w:val="center"/>
            </w:pPr>
            <w:r/>
            <w:r>
              <w:rPr>
                <w:rFonts w:hint="eastAsia"/>
                <w:color w:val="000000"/>
                <w:sz w:val="21"/>
              </w:rPr>
              <w:t>深圳沛顿</w:t>
            </w:r>
          </w:p>
        </w:tc>
        <w:tc>
          <w:tcPr>
            <w:tcW w:w="536" w:type="pct"/>
            <w:tcBorders>
              <w:top w:val="single" w:sz="4" w:space="0" w:color="010000"/>
            </w:tcBorders>
            <w:vAlign w:val="center"/>
          </w:tcPr>
          <w:p>
            <w:pPr>
              <w:jc w:val="right"/>
            </w:pPr>
            <w:r/>
            <w:r>
              <w:rPr>
                <w:rFonts w:hint="eastAsia"/>
                <w:color w:val="000000"/>
                <w:sz w:val="21"/>
              </w:rPr>
              <w:t>6.40</w:t>
            </w:r>
          </w:p>
        </w:tc>
        <w:tc>
          <w:tcPr>
            <w:tcW w:w="1518" w:type="pct"/>
            <w:tcBorders>
              <w:top w:val="single" w:sz="4" w:space="0" w:color="010000"/>
            </w:tcBorders>
            <w:vAlign w:val="center"/>
          </w:tcPr>
          <w:p>
            <w:pPr>
              <w:jc w:val="left"/>
            </w:pPr>
            <w:r/>
            <w:r>
              <w:rPr>
                <w:rFonts w:hint="eastAsia"/>
                <w:color w:val="000000"/>
                <w:sz w:val="21"/>
              </w:rPr>
              <w:t>每月增加封装产能500万颗晶粒、测试产能800万颗芯片</w:t>
            </w:r>
          </w:p>
        </w:tc>
        <w:tc>
          <w:tcPr>
            <w:tcW w:w="714" w:type="pct"/>
            <w:tcBorders>
              <w:top w:val="single" w:sz="4" w:space="0" w:color="010000"/>
            </w:tcBorders>
            <w:vAlign w:val="center"/>
          </w:tcPr>
          <w:p>
            <w:pPr>
              <w:jc w:val="center"/>
            </w:pPr>
            <w:r/>
            <w:r>
              <w:rPr>
                <w:rFonts w:hint="eastAsia"/>
                <w:color w:val="000000"/>
                <w:sz w:val="21"/>
              </w:rPr>
              <w:t>计划2027年6月建成</w:t>
            </w:r>
          </w:p>
        </w:tc>
        <w:tc>
          <w:tcPr>
            <w:tcW w:w="982" w:type="pct"/>
            <w:tcBorders>
              <w:top w:val="single" w:sz="4" w:space="0" w:color="010000"/>
            </w:tcBorders>
            <w:vAlign w:val="center"/>
          </w:tcPr>
          <w:p>
            <w:pPr>
              <w:jc w:val="left"/>
            </w:pPr>
            <w:r/>
            <w:r>
              <w:rPr>
                <w:rFonts w:hint="eastAsia"/>
                <w:color w:val="000000"/>
                <w:sz w:val="21"/>
              </w:rPr>
              <w:t>自筹62.5%、银行长期贷款37.5%</w:t>
            </w:r>
          </w:p>
        </w:tc>
      </w:tr>
      <w:tr>
        <w:trPr>
          <w:cantSplit/>
          <w:jc w:val="center"/>
        </w:trPr>
        <w:tc>
          <w:tcPr>
            <w:tcW w:w="625" w:type="pct"/>
            <w:tcBorders>
              <w:top w:val="single" w:sz="4" w:space="0" w:color="010000"/>
            </w:tcBorders>
            <w:vAlign w:val="center"/>
          </w:tcPr>
          <w:p>
            <w:pPr>
              <w:jc w:val="center"/>
            </w:pPr>
            <w:r/>
            <w:r>
              <w:rPr>
                <w:rFonts w:hint="eastAsia"/>
                <w:color w:val="000000"/>
                <w:sz w:val="21"/>
              </w:rPr>
              <w:t>2026年5月27日</w:t>
            </w:r>
          </w:p>
        </w:tc>
        <w:tc>
          <w:tcPr>
            <w:tcW w:w="625" w:type="pct"/>
            <w:tcBorders>
              <w:top w:val="single" w:sz="4" w:space="0" w:color="010000"/>
            </w:tcBorders>
            <w:vAlign w:val="center"/>
          </w:tcPr>
          <w:p>
            <w:pPr>
              <w:jc w:val="center"/>
            </w:pPr>
            <w:r/>
            <w:r>
              <w:rPr>
                <w:rFonts w:hint="eastAsia"/>
                <w:color w:val="000000"/>
                <w:sz w:val="21"/>
              </w:rPr>
              <w:t>合肥沛顿存储</w:t>
            </w:r>
          </w:p>
        </w:tc>
        <w:tc>
          <w:tcPr>
            <w:tcW w:w="536" w:type="pct"/>
            <w:tcBorders>
              <w:top w:val="single" w:sz="4" w:space="0" w:color="010000"/>
            </w:tcBorders>
            <w:vAlign w:val="center"/>
          </w:tcPr>
          <w:p>
            <w:pPr>
              <w:jc w:val="right"/>
            </w:pPr>
            <w:r/>
            <w:r>
              <w:rPr>
                <w:rFonts w:hint="eastAsia"/>
                <w:color w:val="000000"/>
                <w:sz w:val="21"/>
              </w:rPr>
              <w:t>8.30</w:t>
            </w:r>
          </w:p>
        </w:tc>
        <w:tc>
          <w:tcPr>
            <w:tcW w:w="1518" w:type="pct"/>
            <w:tcBorders>
              <w:top w:val="single" w:sz="4" w:space="0" w:color="010000"/>
            </w:tcBorders>
            <w:vAlign w:val="center"/>
          </w:tcPr>
          <w:p>
            <w:pPr>
              <w:jc w:val="left"/>
            </w:pPr>
            <w:r/>
            <w:r>
              <w:rPr>
                <w:rFonts w:hint="eastAsia"/>
                <w:color w:val="000000"/>
                <w:sz w:val="21"/>
              </w:rPr>
              <w:t>每月增加封装产能2,880万颗晶粒</w:t>
            </w:r>
          </w:p>
        </w:tc>
        <w:tc>
          <w:tcPr>
            <w:tcW w:w="714" w:type="pct"/>
            <w:tcBorders>
              <w:top w:val="single" w:sz="4" w:space="0" w:color="010000"/>
            </w:tcBorders>
            <w:vAlign w:val="center"/>
          </w:tcPr>
          <w:p>
            <w:pPr>
              <w:jc w:val="center"/>
            </w:pPr>
            <w:r/>
            <w:r>
              <w:rPr>
                <w:rFonts w:hint="eastAsia"/>
                <w:color w:val="000000"/>
                <w:sz w:val="21"/>
              </w:rPr>
              <w:t>计划2027年12月建成</w:t>
            </w:r>
          </w:p>
        </w:tc>
        <w:tc>
          <w:tcPr>
            <w:tcW w:w="982" w:type="pct"/>
            <w:tcBorders>
              <w:top w:val="single" w:sz="4" w:space="0" w:color="010000"/>
            </w:tcBorders>
            <w:vAlign w:val="center"/>
          </w:tcPr>
          <w:p>
            <w:pPr>
              <w:jc w:val="left"/>
            </w:pPr>
            <w:r/>
            <w:r>
              <w:rPr>
                <w:rFonts w:hint="eastAsia"/>
                <w:color w:val="000000"/>
                <w:sz w:val="21"/>
              </w:rPr>
              <w:t>自筹20%、银行长期贷款80%</w:t>
            </w:r>
          </w:p>
        </w:tc>
      </w:tr>
      <w:tr>
        <w:trPr>
          <w:cantSplit/>
          <w:jc w:val="center"/>
        </w:trPr>
        <w:tc>
          <w:tcPr>
            <w:tcW w:w="625" w:type="pct"/>
            <w:tcBorders>
              <w:top w:val="single" w:sz="4" w:space="0" w:color="010000"/>
            </w:tcBorders>
            <w:vAlign w:val="center"/>
          </w:tcPr>
          <w:p>
            <w:pPr>
              <w:jc w:val="center"/>
            </w:pPr>
            <w:r/>
            <w:r>
              <w:rPr>
                <w:rFonts w:hint="eastAsia"/>
                <w:color w:val="000000"/>
                <w:sz w:val="21"/>
              </w:rPr>
              <w:t>合计</w:t>
            </w:r>
          </w:p>
        </w:tc>
        <w:tc>
          <w:tcPr>
            <w:tcW w:w="625" w:type="pct"/>
            <w:tcBorders>
              <w:top w:val="single" w:sz="4" w:space="0" w:color="010000"/>
            </w:tcBorders>
            <w:vAlign w:val="center"/>
          </w:tcPr>
          <w:p>
            <w:pPr>
              <w:jc w:val="center"/>
            </w:pPr>
            <w:r/>
            <w:r>
              <w:rPr>
                <w:rFonts w:hint="eastAsia"/>
                <w:color w:val="000000"/>
                <w:sz w:val="21"/>
              </w:rPr>
              <w:t>—</w:t>
            </w:r>
          </w:p>
        </w:tc>
        <w:tc>
          <w:tcPr>
            <w:tcW w:w="536" w:type="pct"/>
            <w:tcBorders>
              <w:top w:val="single" w:sz="4" w:space="0" w:color="010000"/>
            </w:tcBorders>
            <w:vAlign w:val="center"/>
          </w:tcPr>
          <w:p>
            <w:pPr>
              <w:jc w:val="right"/>
            </w:pPr>
            <w:r/>
            <w:r>
              <w:rPr>
                <w:rFonts w:hint="eastAsia"/>
                <w:color w:val="000000"/>
                <w:sz w:val="21"/>
              </w:rPr>
              <w:t>22.10</w:t>
            </w:r>
          </w:p>
        </w:tc>
        <w:tc>
          <w:tcPr>
            <w:tcW w:w="1518" w:type="pct"/>
            <w:tcBorders>
              <w:top w:val="single" w:sz="4" w:space="0" w:color="010000"/>
            </w:tcBorders>
            <w:vAlign w:val="center"/>
          </w:tcPr>
          <w:p>
            <w:pPr>
              <w:jc w:val="left"/>
            </w:pPr>
            <w:r/>
            <w:r>
              <w:rPr>
                <w:rFonts w:hint="eastAsia"/>
                <w:color w:val="000000"/>
                <w:sz w:val="21"/>
              </w:rPr>
              <w:t>—</w:t>
            </w:r>
          </w:p>
        </w:tc>
        <w:tc>
          <w:tcPr>
            <w:tcW w:w="714" w:type="pct"/>
            <w:tcBorders>
              <w:top w:val="single" w:sz="4" w:space="0" w:color="010000"/>
            </w:tcBorders>
            <w:vAlign w:val="center"/>
          </w:tcPr>
          <w:p>
            <w:pPr>
              <w:jc w:val="center"/>
            </w:pPr>
            <w:r/>
            <w:r>
              <w:rPr>
                <w:rFonts w:hint="eastAsia"/>
                <w:color w:val="000000"/>
                <w:sz w:val="21"/>
              </w:rPr>
              <w:t>—</w:t>
            </w:r>
          </w:p>
        </w:tc>
        <w:tc>
          <w:tcPr>
            <w:tcW w:w="982" w:type="pct"/>
            <w:tcBorders>
              <w:top w:val="single" w:sz="4" w:space="0" w:color="010000"/>
            </w:tcBorders>
            <w:vAlign w:val="center"/>
          </w:tcPr>
          <w:p>
            <w:pPr>
              <w:jc w:val="left"/>
            </w:pPr>
            <w:r/>
            <w:r>
              <w:rPr>
                <w:rFonts w:hint="eastAsia"/>
                <w:color w:val="000000"/>
                <w:sz w:val="21"/>
              </w:rPr>
              <w:t>—</w:t>
            </w:r>
          </w:p>
        </w:tc>
      </w:tr>
    </w:tbl>
    <w:p>
      <w:pPr>
        <w:pStyle w:val="a6"/>
        <w:jc w:val="center"/>
      </w:pPr>
      <w:r>
        <w:rPr>
          <w:rFonts w:hint="eastAsia"/>
          <w:sz w:val="11"/>
          <w:szCs w:val="11"/>
        </w:rPr>
        <w:t>资料来源：深科技公告2026-021，本报告整理。注：2025年11月6日两笔项目的建成时间与资金来源由该公告以连续12个月累计口径追溯列示，未披露上述明细。</w:t>
      </w:r>
    </w:p>
    <w:p>
      <w:pPr>
        <w:pStyle w:val="a0"/>
      </w:pPr>
      <w:r>
        <w:rPr>
          <w:rFonts w:hint="eastAsia"/>
        </w:rPr>
        <w:t>两个新建项目的税前投资回收期，深圳沛顿项目为8.63年，合肥沛顿存储项目为8.84年。深科技在公告中提示，扩产后因长期贷款增加，公司资产负债率预计提升4%至5%；若存储市场进入下行阶段，设备稼动率将随之下滑，固定资产折旧加大，进而导致项目投资回收期延长。</w:t>
      </w:r>
    </w:p>
    <w:p>
      <w:pPr>
        <w:pStyle w:val="a0"/>
      </w:pPr>
      <w:r>
        <w:rPr>
          <w:rFonts w:hint="eastAsia"/>
        </w:rPr>
        <w:t>产业资本参与方面，承担合肥项目的合肥沛顿存储科技有限公司注册资本30.60亿元，股东包括深科技持股55.88%、国家集成电路产业投资基金二期股份有限公司持股31.05%、合肥经开产业投促创业投资基金合伙企业（有限合伙）持股9.80%、中电聚芯一号（天津）企业管理合伙企业（有限合伙）持股3.27%。</w:t>
      </w:r>
    </w:p>
    <w:p>
      <w:pPr>
        <w:pStyle w:val="2"/>
        <w:spacing w:before="156" w:after="156"/>
      </w:pPr>
      <w:bookmarkStart w:id="1002" w:name="_Toc900002"/>
      <w:r>
        <w:rPr>
          <w:rFonts w:hint="eastAsia"/>
          <w:b/>
        </w:rPr>
        <w:t>深科技的产业链定位与关注要点</w:t>
      </w:r>
      <w:bookmarkEnd w:id="1002"/>
    </w:p>
    <w:p>
      <w:pPr>
        <w:pStyle w:val="3"/>
        <w:numPr>
          <w:ilvl w:val="0"/>
          <w:numId w:val="0"/>
        </w:numPr>
        <w:spacing w:before="156" w:after="156"/>
      </w:pPr>
      <w:bookmarkStart w:id="1003" w:name="_Toc900003"/>
      <w:r>
        <w:rPr>
          <w:rFonts w:hint="eastAsia"/>
        </w:rPr>
        <w:t>8.1 公司概况与产品体系</w:t>
      </w:r>
      <w:bookmarkEnd w:id="1003"/>
    </w:p>
    <w:p>
      <w:pPr>
        <w:pStyle w:val="a0"/>
      </w:pPr>
      <w:r>
        <w:rPr>
          <w:rFonts w:hint="eastAsia"/>
        </w:rPr>
        <w:t>深圳长城开发科技股份有限公司（证券简称深科技，证券代码000021.SZ）于1994年2月2日在深圳证券交易所上市，控股股东为中国电子信息产业集团有限公司体系企业。公司2025年实现营业总收入157.47亿元，同比增长6.21%；归母净利润11.36亿元，同比增长22.07%；销售毛利率18.32%，销售净利率9.19%。2026年第一季度实现营业总收入37.24亿元，同比增长10.67%；归母净利润2.42亿元，同比增长35.35%。</w:t>
      </w:r>
    </w:p>
    <w:p>
      <w:pPr>
        <w:pStyle w:val="a0"/>
      </w:pPr>
      <w:r>
        <w:rPr>
          <w:rFonts w:hint="eastAsia"/>
        </w:rPr>
        <w:t>公司业务分为存储半导体业务、高端制造、计量智能终端三个板块。按年报表述，存储半导体业务包含两部分：一是半导体封测业务，即存储芯片的封装与测试，产品涵盖DRAM、NAND Flash与嵌入式存储芯片；二是数据存储业务，主要产品为硬盘磁头与盘基片。年报未披露上述两部分的收入拆分，因此该科目收入不等同于存储芯片封装测试收入。年报另载明，报告期内硬盘磁头业务受客户产能布局转移影响，销售量同比下降。</w:t>
      </w:r>
    </w:p>
    <w:p>
      <w:pPr>
        <w:keepNext/>
        <w:jc w:val="center"/>
      </w:pPr>
      <w:r>
        <w:drawing>
          <wp:inline xmlns:a="http://schemas.openxmlformats.org/drawingml/2006/main" xmlns:pic="http://schemas.openxmlformats.org/drawingml/2006/picture">
            <wp:extent cx="5074920" cy="2445059"/>
            <wp:docPr id="1" name="Picture 1"/>
            <wp:cNvGraphicFramePr>
              <a:graphicFrameLocks noChangeAspect="1"/>
            </wp:cNvGraphicFramePr>
            <a:graphic>
              <a:graphicData uri="http://schemas.openxmlformats.org/drawingml/2006/picture">
                <pic:pic>
                  <pic:nvPicPr>
                    <pic:cNvPr id="0" name="fig_struct.png"/>
                    <pic:cNvPicPr/>
                  </pic:nvPicPr>
                  <pic:blipFill>
                    <a:blip r:embed="rId16"/>
                    <a:stretch>
                      <a:fillRect/>
                    </a:stretch>
                  </pic:blipFill>
                  <pic:spPr>
                    <a:xfrm>
                      <a:off x="0" y="0"/>
                      <a:ext cx="5074920" cy="2445059"/>
                    </a:xfrm>
                    <a:prstGeom prst="rect"/>
                  </pic:spPr>
                </pic:pic>
              </a:graphicData>
            </a:graphic>
          </wp:inline>
        </w:drawing>
      </w:r>
    </w:p>
    <w:p>
      <w:pPr>
        <w:jc w:val="center"/>
      </w:pPr>
      <w:r>
        <w:rPr>
          <w:rFonts w:hint="eastAsia"/>
          <w:b/>
          <w:sz w:val="21"/>
        </w:rPr>
        <w:t>图1  深科技分产品营业收入结构（2021—2025年）</w:t>
      </w:r>
    </w:p>
    <w:p>
      <w:pPr>
        <w:pStyle w:val="a6"/>
        <w:jc w:val="center"/>
      </w:pPr>
      <w:r>
        <w:rPr>
          <w:rFonts w:hint="eastAsia"/>
          <w:sz w:val="11"/>
          <w:szCs w:val="11"/>
        </w:rPr>
        <w:t>数据来源：Wind整理成果，本报告整理。注：数值为分产品口径营业收入。</w:t>
      </w:r>
    </w:p>
    <w:p>
      <w:pPr>
        <w:keepNext/>
        <w:jc w:val="center"/>
      </w:pPr>
      <w:r>
        <w:rPr>
          <w:rFonts w:hint="eastAsia"/>
          <w:b/>
          <w:sz w:val="21"/>
        </w:rPr>
        <w:t>表3  深科技分产品主营业务构成（2021—2025年）</w:t>
      </w:r>
    </w:p>
    <w:tbl>
      <w:tblPr>
        <w:tblW w:w="5352" w:type="pct"/>
        <w:jc w:val="center"/>
        <w:tblBorders>
          <w:top w:val="single" w:sz="12" w:space="0" w:color="010000"/>
          <w:left w:val="single" w:sz="12" w:space="0" w:color="010000"/>
          <w:bottom w:val="single" w:sz="12" w:space="0" w:color="010000"/>
          <w:right w:val="single" w:sz="12" w:space="0" w:color="010000"/>
          <w:insideH w:val="single" w:sz="4" w:space="0" w:color="010000"/>
          <w:insideV w:val="single" w:sz="4" w:space="0" w:color="010000"/>
        </w:tblBorders>
        <w:tblLook w:firstColumn="1" w:firstRow="1" w:lastColumn="0" w:lastRow="0" w:noHBand="0" w:noVBand="1" w:val="04A0"/>
      </w:tblPr>
      <w:tblGrid>
        <w:gridCol w:w="1187"/>
        <w:gridCol w:w="1187"/>
        <w:gridCol w:w="1187"/>
        <w:gridCol w:w="1187"/>
        <w:gridCol w:w="1187"/>
        <w:gridCol w:w="1187"/>
        <w:gridCol w:w="1187"/>
      </w:tblGrid>
      <w:tr>
        <w:trPr>
          <w:cantSplit/>
          <w:tblHeader/>
          <w:jc w:val="center"/>
        </w:trPr>
        <w:tc>
          <w:tcPr>
            <w:tcW w:w="816" w:type="pct"/>
            <w:tcBorders>
              <w:top w:val="single" w:sz="12" w:space="0" w:color="010000"/>
              <w:bottom w:val="single" w:sz="4" w:space="0" w:color="010000"/>
            </w:tcBorders>
            <w:vAlign w:val="center"/>
          </w:tcPr>
          <w:p>
            <w:pPr>
              <w:keepNext/>
              <w:jc w:val="center"/>
            </w:pPr>
            <w:r/>
            <w:r>
              <w:rPr>
                <w:rFonts w:hint="eastAsia"/>
                <w:b/>
                <w:color w:val="000000"/>
                <w:sz w:val="21"/>
              </w:rPr>
              <w:t>产品</w:t>
            </w:r>
          </w:p>
        </w:tc>
        <w:tc>
          <w:tcPr>
            <w:tcW w:w="1122" w:type="pct"/>
            <w:tcBorders>
              <w:top w:val="single" w:sz="12" w:space="0" w:color="010000"/>
              <w:bottom w:val="single" w:sz="4" w:space="0" w:color="010000"/>
            </w:tcBorders>
            <w:vAlign w:val="center"/>
          </w:tcPr>
          <w:p>
            <w:pPr>
              <w:keepNext/>
              <w:jc w:val="center"/>
            </w:pPr>
            <w:r/>
            <w:r>
              <w:rPr>
                <w:rFonts w:hint="eastAsia"/>
                <w:b/>
                <w:color w:val="000000"/>
                <w:sz w:val="21"/>
              </w:rPr>
              <w:t>项目</w:t>
            </w:r>
          </w:p>
        </w:tc>
        <w:tc>
          <w:tcPr>
            <w:tcW w:w="612" w:type="pct"/>
            <w:tcBorders>
              <w:top w:val="single" w:sz="12" w:space="0" w:color="010000"/>
              <w:bottom w:val="single" w:sz="4" w:space="0" w:color="010000"/>
            </w:tcBorders>
            <w:vAlign w:val="center"/>
          </w:tcPr>
          <w:p>
            <w:pPr>
              <w:keepNext/>
              <w:jc w:val="center"/>
            </w:pPr>
            <w:r/>
            <w:r>
              <w:rPr>
                <w:rFonts w:hint="eastAsia"/>
                <w:b/>
                <w:color w:val="000000"/>
                <w:sz w:val="21"/>
              </w:rPr>
              <w:t>2021年</w:t>
            </w:r>
          </w:p>
        </w:tc>
        <w:tc>
          <w:tcPr>
            <w:tcW w:w="612" w:type="pct"/>
            <w:tcBorders>
              <w:top w:val="single" w:sz="12" w:space="0" w:color="010000"/>
              <w:bottom w:val="single" w:sz="4" w:space="0" w:color="010000"/>
            </w:tcBorders>
            <w:vAlign w:val="center"/>
          </w:tcPr>
          <w:p>
            <w:pPr>
              <w:keepNext/>
              <w:jc w:val="center"/>
            </w:pPr>
            <w:r/>
            <w:r>
              <w:rPr>
                <w:rFonts w:hint="eastAsia"/>
                <w:b/>
                <w:color w:val="000000"/>
                <w:sz w:val="21"/>
              </w:rPr>
              <w:t>2022年</w:t>
            </w:r>
          </w:p>
        </w:tc>
        <w:tc>
          <w:tcPr>
            <w:tcW w:w="612" w:type="pct"/>
            <w:tcBorders>
              <w:top w:val="single" w:sz="12" w:space="0" w:color="010000"/>
              <w:bottom w:val="single" w:sz="4" w:space="0" w:color="010000"/>
            </w:tcBorders>
            <w:vAlign w:val="center"/>
          </w:tcPr>
          <w:p>
            <w:pPr>
              <w:keepNext/>
              <w:jc w:val="center"/>
            </w:pPr>
            <w:r/>
            <w:r>
              <w:rPr>
                <w:rFonts w:hint="eastAsia"/>
                <w:b/>
                <w:color w:val="000000"/>
                <w:sz w:val="21"/>
              </w:rPr>
              <w:t>2023年</w:t>
            </w:r>
          </w:p>
        </w:tc>
        <w:tc>
          <w:tcPr>
            <w:tcW w:w="612" w:type="pct"/>
            <w:tcBorders>
              <w:top w:val="single" w:sz="12" w:space="0" w:color="010000"/>
              <w:bottom w:val="single" w:sz="4" w:space="0" w:color="010000"/>
            </w:tcBorders>
            <w:vAlign w:val="center"/>
          </w:tcPr>
          <w:p>
            <w:pPr>
              <w:keepNext/>
              <w:jc w:val="center"/>
            </w:pPr>
            <w:r/>
            <w:r>
              <w:rPr>
                <w:rFonts w:hint="eastAsia"/>
                <w:b/>
                <w:color w:val="000000"/>
                <w:sz w:val="21"/>
              </w:rPr>
              <w:t>2024年</w:t>
            </w:r>
          </w:p>
        </w:tc>
        <w:tc>
          <w:tcPr>
            <w:tcW w:w="612" w:type="pct"/>
            <w:tcBorders>
              <w:top w:val="single" w:sz="12" w:space="0" w:color="010000"/>
              <w:bottom w:val="single" w:sz="4" w:space="0" w:color="010000"/>
            </w:tcBorders>
            <w:vAlign w:val="center"/>
          </w:tcPr>
          <w:p>
            <w:pPr>
              <w:keepNext/>
              <w:jc w:val="center"/>
            </w:pPr>
            <w:r/>
            <w:r>
              <w:rPr>
                <w:rFonts w:hint="eastAsia"/>
                <w:b/>
                <w:color w:val="000000"/>
                <w:sz w:val="21"/>
              </w:rPr>
              <w:t>2025年</w:t>
            </w:r>
          </w:p>
        </w:tc>
      </w:tr>
      <w:tr>
        <w:trPr>
          <w:cantSplit/>
          <w:jc w:val="center"/>
        </w:trPr>
        <w:tc>
          <w:tcPr>
            <w:tcW w:w="816" w:type="pct"/>
            <w:tcBorders>
              <w:top w:val="single" w:sz="4" w:space="0" w:color="010000"/>
            </w:tcBorders>
            <w:vAlign w:val="center"/>
          </w:tcPr>
          <w:p>
            <w:pPr>
              <w:jc w:val="center"/>
            </w:pPr>
            <w:r/>
            <w:r>
              <w:rPr>
                <w:rFonts w:hint="eastAsia"/>
                <w:color w:val="000000"/>
                <w:sz w:val="21"/>
              </w:rPr>
              <w:t>存储半导体业务</w:t>
            </w:r>
          </w:p>
        </w:tc>
        <w:tc>
          <w:tcPr>
            <w:tcW w:w="1122" w:type="pct"/>
            <w:tcBorders>
              <w:top w:val="single" w:sz="4" w:space="0" w:color="010000"/>
            </w:tcBorders>
            <w:vAlign w:val="center"/>
          </w:tcPr>
          <w:p>
            <w:pPr>
              <w:jc w:val="left"/>
            </w:pPr>
            <w:r/>
            <w:r>
              <w:rPr>
                <w:rFonts w:hint="eastAsia"/>
                <w:color w:val="000000"/>
                <w:sz w:val="21"/>
              </w:rPr>
              <w:t>营业收入（亿元）</w:t>
            </w:r>
          </w:p>
        </w:tc>
        <w:tc>
          <w:tcPr>
            <w:tcW w:w="612" w:type="pct"/>
            <w:tcBorders>
              <w:top w:val="single" w:sz="4" w:space="0" w:color="010000"/>
            </w:tcBorders>
            <w:vAlign w:val="center"/>
          </w:tcPr>
          <w:p>
            <w:pPr>
              <w:jc w:val="right"/>
            </w:pPr>
            <w:r/>
            <w:r>
              <w:rPr>
                <w:rFonts w:hint="eastAsia"/>
                <w:color w:val="000000"/>
                <w:sz w:val="21"/>
              </w:rPr>
              <w:t>28.85</w:t>
            </w:r>
          </w:p>
        </w:tc>
        <w:tc>
          <w:tcPr>
            <w:tcW w:w="612" w:type="pct"/>
            <w:tcBorders>
              <w:top w:val="single" w:sz="4" w:space="0" w:color="010000"/>
            </w:tcBorders>
            <w:vAlign w:val="center"/>
          </w:tcPr>
          <w:p>
            <w:pPr>
              <w:jc w:val="right"/>
            </w:pPr>
            <w:r/>
            <w:r>
              <w:rPr>
                <w:rFonts w:hint="eastAsia"/>
                <w:color w:val="000000"/>
                <w:sz w:val="21"/>
              </w:rPr>
              <w:t>26.47</w:t>
            </w:r>
          </w:p>
        </w:tc>
        <w:tc>
          <w:tcPr>
            <w:tcW w:w="612" w:type="pct"/>
            <w:tcBorders>
              <w:top w:val="single" w:sz="4" w:space="0" w:color="010000"/>
            </w:tcBorders>
            <w:vAlign w:val="center"/>
          </w:tcPr>
          <w:p>
            <w:pPr>
              <w:jc w:val="right"/>
            </w:pPr>
            <w:r/>
            <w:r>
              <w:rPr>
                <w:rFonts w:hint="eastAsia"/>
                <w:color w:val="000000"/>
                <w:sz w:val="21"/>
              </w:rPr>
              <w:t>25.59</w:t>
            </w:r>
          </w:p>
        </w:tc>
        <w:tc>
          <w:tcPr>
            <w:tcW w:w="612" w:type="pct"/>
            <w:tcBorders>
              <w:top w:val="single" w:sz="4" w:space="0" w:color="010000"/>
            </w:tcBorders>
            <w:vAlign w:val="center"/>
          </w:tcPr>
          <w:p>
            <w:pPr>
              <w:jc w:val="right"/>
            </w:pPr>
            <w:r/>
            <w:r>
              <w:rPr>
                <w:rFonts w:hint="eastAsia"/>
                <w:color w:val="000000"/>
                <w:sz w:val="21"/>
              </w:rPr>
              <w:t>35.22</w:t>
            </w:r>
          </w:p>
        </w:tc>
        <w:tc>
          <w:tcPr>
            <w:tcW w:w="612" w:type="pct"/>
            <w:tcBorders>
              <w:top w:val="single" w:sz="4" w:space="0" w:color="010000"/>
            </w:tcBorders>
            <w:vAlign w:val="center"/>
          </w:tcPr>
          <w:p>
            <w:pPr>
              <w:jc w:val="right"/>
            </w:pPr>
            <w:r/>
            <w:r>
              <w:rPr>
                <w:rFonts w:hint="eastAsia"/>
                <w:color w:val="000000"/>
                <w:sz w:val="21"/>
              </w:rPr>
              <w:t>40.91</w:t>
            </w:r>
          </w:p>
        </w:tc>
      </w:tr>
      <w:tr>
        <w:trPr>
          <w:cantSplit/>
          <w:jc w:val="center"/>
        </w:trPr>
        <w:tc>
          <w:tcPr>
            <w:tcW w:w="816" w:type="pct"/>
            <w:tcBorders>
              <w:top w:val="single" w:sz="4" w:space="0" w:color="010000"/>
            </w:tcBorders>
            <w:vAlign w:val="center"/>
          </w:tcPr>
          <w:p>
            <w:pPr>
              <w:jc w:val="center"/>
            </w:pPr>
            <w:r/>
            <w:r>
              <w:rPr>
                <w:rFonts w:hint="eastAsia"/>
                <w:color w:val="000000"/>
                <w:sz w:val="21"/>
              </w:rPr>
              <w:t>存储半导体业务</w:t>
            </w:r>
          </w:p>
        </w:tc>
        <w:tc>
          <w:tcPr>
            <w:tcW w:w="1122" w:type="pct"/>
            <w:tcBorders>
              <w:top w:val="single" w:sz="4" w:space="0" w:color="010000"/>
            </w:tcBorders>
            <w:vAlign w:val="center"/>
          </w:tcPr>
          <w:p>
            <w:pPr>
              <w:jc w:val="left"/>
            </w:pPr>
            <w:r/>
            <w:r>
              <w:rPr>
                <w:rFonts w:hint="eastAsia"/>
                <w:color w:val="000000"/>
                <w:sz w:val="21"/>
              </w:rPr>
              <w:t>占营业收入比重（%）</w:t>
            </w:r>
          </w:p>
        </w:tc>
        <w:tc>
          <w:tcPr>
            <w:tcW w:w="612" w:type="pct"/>
            <w:tcBorders>
              <w:top w:val="single" w:sz="4" w:space="0" w:color="010000"/>
            </w:tcBorders>
            <w:vAlign w:val="center"/>
          </w:tcPr>
          <w:p>
            <w:pPr>
              <w:jc w:val="right"/>
            </w:pPr>
            <w:r/>
            <w:r>
              <w:rPr>
                <w:rFonts w:hint="eastAsia"/>
                <w:color w:val="000000"/>
                <w:sz w:val="21"/>
              </w:rPr>
              <w:t>17.50</w:t>
            </w:r>
          </w:p>
        </w:tc>
        <w:tc>
          <w:tcPr>
            <w:tcW w:w="612" w:type="pct"/>
            <w:tcBorders>
              <w:top w:val="single" w:sz="4" w:space="0" w:color="010000"/>
            </w:tcBorders>
            <w:vAlign w:val="center"/>
          </w:tcPr>
          <w:p>
            <w:pPr>
              <w:jc w:val="right"/>
            </w:pPr>
            <w:r/>
            <w:r>
              <w:rPr>
                <w:rFonts w:hint="eastAsia"/>
                <w:color w:val="000000"/>
                <w:sz w:val="21"/>
              </w:rPr>
              <w:t>16.42</w:t>
            </w:r>
          </w:p>
        </w:tc>
        <w:tc>
          <w:tcPr>
            <w:tcW w:w="612" w:type="pct"/>
            <w:tcBorders>
              <w:top w:val="single" w:sz="4" w:space="0" w:color="010000"/>
            </w:tcBorders>
            <w:vAlign w:val="center"/>
          </w:tcPr>
          <w:p>
            <w:pPr>
              <w:jc w:val="right"/>
            </w:pPr>
            <w:r/>
            <w:r>
              <w:rPr>
                <w:rFonts w:hint="eastAsia"/>
                <w:color w:val="000000"/>
                <w:sz w:val="21"/>
              </w:rPr>
              <w:t>17.94</w:t>
            </w:r>
          </w:p>
        </w:tc>
        <w:tc>
          <w:tcPr>
            <w:tcW w:w="612" w:type="pct"/>
            <w:tcBorders>
              <w:top w:val="single" w:sz="4" w:space="0" w:color="010000"/>
            </w:tcBorders>
            <w:vAlign w:val="center"/>
          </w:tcPr>
          <w:p>
            <w:pPr>
              <w:jc w:val="right"/>
            </w:pPr>
            <w:r/>
            <w:r>
              <w:rPr>
                <w:rFonts w:hint="eastAsia"/>
                <w:color w:val="000000"/>
                <w:sz w:val="21"/>
              </w:rPr>
              <w:t>23.75</w:t>
            </w:r>
          </w:p>
        </w:tc>
        <w:tc>
          <w:tcPr>
            <w:tcW w:w="612" w:type="pct"/>
            <w:tcBorders>
              <w:top w:val="single" w:sz="4" w:space="0" w:color="010000"/>
            </w:tcBorders>
            <w:vAlign w:val="center"/>
          </w:tcPr>
          <w:p>
            <w:pPr>
              <w:jc w:val="right"/>
            </w:pPr>
            <w:r/>
            <w:r>
              <w:rPr>
                <w:rFonts w:hint="eastAsia"/>
                <w:color w:val="000000"/>
                <w:sz w:val="21"/>
              </w:rPr>
              <w:t>25.98</w:t>
            </w:r>
          </w:p>
        </w:tc>
      </w:tr>
      <w:tr>
        <w:trPr>
          <w:cantSplit/>
          <w:jc w:val="center"/>
        </w:trPr>
        <w:tc>
          <w:tcPr>
            <w:tcW w:w="816" w:type="pct"/>
            <w:tcBorders>
              <w:top w:val="single" w:sz="4" w:space="0" w:color="010000"/>
            </w:tcBorders>
            <w:vAlign w:val="center"/>
          </w:tcPr>
          <w:p>
            <w:pPr>
              <w:jc w:val="center"/>
            </w:pPr>
            <w:r/>
            <w:r>
              <w:rPr>
                <w:rFonts w:hint="eastAsia"/>
                <w:color w:val="000000"/>
                <w:sz w:val="21"/>
              </w:rPr>
              <w:t>存储半导体业务</w:t>
            </w:r>
          </w:p>
        </w:tc>
        <w:tc>
          <w:tcPr>
            <w:tcW w:w="1122" w:type="pct"/>
            <w:tcBorders>
              <w:top w:val="single" w:sz="4" w:space="0" w:color="010000"/>
            </w:tcBorders>
            <w:vAlign w:val="center"/>
          </w:tcPr>
          <w:p>
            <w:pPr>
              <w:jc w:val="left"/>
            </w:pPr>
            <w:r/>
            <w:r>
              <w:rPr>
                <w:rFonts w:hint="eastAsia"/>
                <w:color w:val="000000"/>
                <w:sz w:val="21"/>
              </w:rPr>
              <w:t>毛利率（%）</w:t>
            </w:r>
          </w:p>
        </w:tc>
        <w:tc>
          <w:tcPr>
            <w:tcW w:w="612" w:type="pct"/>
            <w:tcBorders>
              <w:top w:val="single" w:sz="4" w:space="0" w:color="010000"/>
            </w:tcBorders>
            <w:vAlign w:val="center"/>
          </w:tcPr>
          <w:p>
            <w:pPr>
              <w:jc w:val="right"/>
            </w:pPr>
            <w:r/>
            <w:r>
              <w:rPr>
                <w:rFonts w:hint="eastAsia"/>
                <w:color w:val="000000"/>
                <w:sz w:val="21"/>
              </w:rPr>
              <w:t>16.16</w:t>
            </w:r>
          </w:p>
        </w:tc>
        <w:tc>
          <w:tcPr>
            <w:tcW w:w="612" w:type="pct"/>
            <w:tcBorders>
              <w:top w:val="single" w:sz="4" w:space="0" w:color="010000"/>
            </w:tcBorders>
            <w:vAlign w:val="center"/>
          </w:tcPr>
          <w:p>
            <w:pPr>
              <w:jc w:val="right"/>
            </w:pPr>
            <w:r/>
            <w:r>
              <w:rPr>
                <w:rFonts w:hint="eastAsia"/>
                <w:color w:val="000000"/>
                <w:sz w:val="21"/>
              </w:rPr>
              <w:t>15.42</w:t>
            </w:r>
          </w:p>
        </w:tc>
        <w:tc>
          <w:tcPr>
            <w:tcW w:w="612" w:type="pct"/>
            <w:tcBorders>
              <w:top w:val="single" w:sz="4" w:space="0" w:color="010000"/>
            </w:tcBorders>
            <w:vAlign w:val="center"/>
          </w:tcPr>
          <w:p>
            <w:pPr>
              <w:jc w:val="right"/>
            </w:pPr>
            <w:r/>
            <w:r>
              <w:rPr>
                <w:rFonts w:hint="eastAsia"/>
                <w:color w:val="000000"/>
                <w:sz w:val="21"/>
              </w:rPr>
              <w:t>19.86</w:t>
            </w:r>
          </w:p>
        </w:tc>
        <w:tc>
          <w:tcPr>
            <w:tcW w:w="612" w:type="pct"/>
            <w:tcBorders>
              <w:top w:val="single" w:sz="4" w:space="0" w:color="010000"/>
            </w:tcBorders>
            <w:vAlign w:val="center"/>
          </w:tcPr>
          <w:p>
            <w:pPr>
              <w:jc w:val="right"/>
            </w:pPr>
            <w:r/>
            <w:r>
              <w:rPr>
                <w:rFonts w:hint="eastAsia"/>
                <w:color w:val="000000"/>
                <w:sz w:val="21"/>
              </w:rPr>
              <w:t>21.26</w:t>
            </w:r>
          </w:p>
        </w:tc>
        <w:tc>
          <w:tcPr>
            <w:tcW w:w="612" w:type="pct"/>
            <w:tcBorders>
              <w:top w:val="single" w:sz="4" w:space="0" w:color="010000"/>
            </w:tcBorders>
            <w:vAlign w:val="center"/>
          </w:tcPr>
          <w:p>
            <w:pPr>
              <w:jc w:val="right"/>
            </w:pPr>
            <w:r/>
            <w:r>
              <w:rPr>
                <w:rFonts w:hint="eastAsia"/>
                <w:color w:val="000000"/>
                <w:sz w:val="21"/>
              </w:rPr>
              <w:t>20.40</w:t>
            </w:r>
          </w:p>
        </w:tc>
      </w:tr>
      <w:tr>
        <w:trPr>
          <w:cantSplit/>
          <w:jc w:val="center"/>
        </w:trPr>
        <w:tc>
          <w:tcPr>
            <w:tcW w:w="816" w:type="pct"/>
            <w:tcBorders>
              <w:top w:val="single" w:sz="4" w:space="0" w:color="010000"/>
            </w:tcBorders>
            <w:vAlign w:val="center"/>
          </w:tcPr>
          <w:p>
            <w:pPr>
              <w:jc w:val="center"/>
            </w:pPr>
            <w:r/>
            <w:r>
              <w:rPr>
                <w:rFonts w:hint="eastAsia"/>
                <w:color w:val="000000"/>
                <w:sz w:val="21"/>
              </w:rPr>
              <w:t>高端制造</w:t>
            </w:r>
          </w:p>
        </w:tc>
        <w:tc>
          <w:tcPr>
            <w:tcW w:w="1122" w:type="pct"/>
            <w:tcBorders>
              <w:top w:val="single" w:sz="4" w:space="0" w:color="010000"/>
            </w:tcBorders>
            <w:vAlign w:val="center"/>
          </w:tcPr>
          <w:p>
            <w:pPr>
              <w:jc w:val="left"/>
            </w:pPr>
            <w:r/>
            <w:r>
              <w:rPr>
                <w:rFonts w:hint="eastAsia"/>
                <w:color w:val="000000"/>
                <w:sz w:val="21"/>
              </w:rPr>
              <w:t>营业收入（亿元）</w:t>
            </w:r>
          </w:p>
        </w:tc>
        <w:tc>
          <w:tcPr>
            <w:tcW w:w="612" w:type="pct"/>
            <w:tcBorders>
              <w:top w:val="single" w:sz="4" w:space="0" w:color="010000"/>
            </w:tcBorders>
            <w:vAlign w:val="center"/>
          </w:tcPr>
          <w:p>
            <w:pPr>
              <w:jc w:val="right"/>
            </w:pPr>
            <w:r/>
            <w:r>
              <w:rPr>
                <w:rFonts w:hint="eastAsia"/>
                <w:color w:val="000000"/>
                <w:sz w:val="21"/>
              </w:rPr>
              <w:t>121.44</w:t>
            </w:r>
          </w:p>
        </w:tc>
        <w:tc>
          <w:tcPr>
            <w:tcW w:w="612" w:type="pct"/>
            <w:tcBorders>
              <w:top w:val="single" w:sz="4" w:space="0" w:color="010000"/>
            </w:tcBorders>
            <w:vAlign w:val="center"/>
          </w:tcPr>
          <w:p>
            <w:pPr>
              <w:jc w:val="right"/>
            </w:pPr>
            <w:r/>
            <w:r>
              <w:rPr>
                <w:rFonts w:hint="eastAsia"/>
                <w:color w:val="000000"/>
                <w:sz w:val="21"/>
              </w:rPr>
              <w:t>115.94</w:t>
            </w:r>
          </w:p>
        </w:tc>
        <w:tc>
          <w:tcPr>
            <w:tcW w:w="612" w:type="pct"/>
            <w:tcBorders>
              <w:top w:val="single" w:sz="4" w:space="0" w:color="010000"/>
            </w:tcBorders>
            <w:vAlign w:val="center"/>
          </w:tcPr>
          <w:p>
            <w:pPr>
              <w:jc w:val="right"/>
            </w:pPr>
            <w:r/>
            <w:r>
              <w:rPr>
                <w:rFonts w:hint="eastAsia"/>
                <w:color w:val="000000"/>
                <w:sz w:val="21"/>
              </w:rPr>
              <w:t>91.22</w:t>
            </w:r>
          </w:p>
        </w:tc>
        <w:tc>
          <w:tcPr>
            <w:tcW w:w="612" w:type="pct"/>
            <w:tcBorders>
              <w:top w:val="single" w:sz="4" w:space="0" w:color="010000"/>
            </w:tcBorders>
            <w:vAlign w:val="center"/>
          </w:tcPr>
          <w:p>
            <w:pPr>
              <w:jc w:val="right"/>
            </w:pPr>
            <w:r/>
            <w:r>
              <w:rPr>
                <w:rFonts w:hint="eastAsia"/>
                <w:color w:val="000000"/>
                <w:sz w:val="21"/>
              </w:rPr>
              <w:t>82.92</w:t>
            </w:r>
          </w:p>
        </w:tc>
        <w:tc>
          <w:tcPr>
            <w:tcW w:w="612" w:type="pct"/>
            <w:tcBorders>
              <w:top w:val="single" w:sz="4" w:space="0" w:color="010000"/>
            </w:tcBorders>
            <w:vAlign w:val="center"/>
          </w:tcPr>
          <w:p>
            <w:pPr>
              <w:jc w:val="right"/>
            </w:pPr>
            <w:r/>
            <w:r>
              <w:rPr>
                <w:rFonts w:hint="eastAsia"/>
                <w:color w:val="000000"/>
                <w:sz w:val="21"/>
              </w:rPr>
              <w:t>85.35</w:t>
            </w:r>
          </w:p>
        </w:tc>
      </w:tr>
      <w:tr>
        <w:trPr>
          <w:cantSplit/>
          <w:jc w:val="center"/>
        </w:trPr>
        <w:tc>
          <w:tcPr>
            <w:tcW w:w="816" w:type="pct"/>
            <w:tcBorders>
              <w:top w:val="single" w:sz="4" w:space="0" w:color="010000"/>
            </w:tcBorders>
            <w:vAlign w:val="center"/>
          </w:tcPr>
          <w:p>
            <w:pPr>
              <w:jc w:val="center"/>
            </w:pPr>
            <w:r/>
            <w:r>
              <w:rPr>
                <w:rFonts w:hint="eastAsia"/>
                <w:color w:val="000000"/>
                <w:sz w:val="21"/>
              </w:rPr>
              <w:t>高端制造</w:t>
            </w:r>
          </w:p>
        </w:tc>
        <w:tc>
          <w:tcPr>
            <w:tcW w:w="1122" w:type="pct"/>
            <w:tcBorders>
              <w:top w:val="single" w:sz="4" w:space="0" w:color="010000"/>
            </w:tcBorders>
            <w:vAlign w:val="center"/>
          </w:tcPr>
          <w:p>
            <w:pPr>
              <w:jc w:val="left"/>
            </w:pPr>
            <w:r/>
            <w:r>
              <w:rPr>
                <w:rFonts w:hint="eastAsia"/>
                <w:color w:val="000000"/>
                <w:sz w:val="21"/>
              </w:rPr>
              <w:t>占营业收入比重（%）</w:t>
            </w:r>
          </w:p>
        </w:tc>
        <w:tc>
          <w:tcPr>
            <w:tcW w:w="612" w:type="pct"/>
            <w:tcBorders>
              <w:top w:val="single" w:sz="4" w:space="0" w:color="010000"/>
            </w:tcBorders>
            <w:vAlign w:val="center"/>
          </w:tcPr>
          <w:p>
            <w:pPr>
              <w:jc w:val="right"/>
            </w:pPr>
            <w:r/>
            <w:r>
              <w:rPr>
                <w:rFonts w:hint="eastAsia"/>
                <w:color w:val="000000"/>
                <w:sz w:val="21"/>
              </w:rPr>
              <w:t>73.65</w:t>
            </w:r>
          </w:p>
        </w:tc>
        <w:tc>
          <w:tcPr>
            <w:tcW w:w="612" w:type="pct"/>
            <w:tcBorders>
              <w:top w:val="single" w:sz="4" w:space="0" w:color="010000"/>
            </w:tcBorders>
            <w:vAlign w:val="center"/>
          </w:tcPr>
          <w:p>
            <w:pPr>
              <w:jc w:val="right"/>
            </w:pPr>
            <w:r/>
            <w:r>
              <w:rPr>
                <w:rFonts w:hint="eastAsia"/>
                <w:color w:val="000000"/>
                <w:sz w:val="21"/>
              </w:rPr>
              <w:t>71.93</w:t>
            </w:r>
          </w:p>
        </w:tc>
        <w:tc>
          <w:tcPr>
            <w:tcW w:w="612" w:type="pct"/>
            <w:tcBorders>
              <w:top w:val="single" w:sz="4" w:space="0" w:color="010000"/>
            </w:tcBorders>
            <w:vAlign w:val="center"/>
          </w:tcPr>
          <w:p>
            <w:pPr>
              <w:jc w:val="right"/>
            </w:pPr>
            <w:r/>
            <w:r>
              <w:rPr>
                <w:rFonts w:hint="eastAsia"/>
                <w:color w:val="000000"/>
                <w:sz w:val="21"/>
              </w:rPr>
              <w:t>63.95</w:t>
            </w:r>
          </w:p>
        </w:tc>
        <w:tc>
          <w:tcPr>
            <w:tcW w:w="612" w:type="pct"/>
            <w:tcBorders>
              <w:top w:val="single" w:sz="4" w:space="0" w:color="010000"/>
            </w:tcBorders>
            <w:vAlign w:val="center"/>
          </w:tcPr>
          <w:p>
            <w:pPr>
              <w:jc w:val="right"/>
            </w:pPr>
            <w:r/>
            <w:r>
              <w:rPr>
                <w:rFonts w:hint="eastAsia"/>
                <w:color w:val="000000"/>
                <w:sz w:val="21"/>
              </w:rPr>
              <w:t>55.93</w:t>
            </w:r>
          </w:p>
        </w:tc>
        <w:tc>
          <w:tcPr>
            <w:tcW w:w="612" w:type="pct"/>
            <w:tcBorders>
              <w:top w:val="single" w:sz="4" w:space="0" w:color="010000"/>
            </w:tcBorders>
            <w:vAlign w:val="center"/>
          </w:tcPr>
          <w:p>
            <w:pPr>
              <w:jc w:val="right"/>
            </w:pPr>
            <w:r/>
            <w:r>
              <w:rPr>
                <w:rFonts w:hint="eastAsia"/>
                <w:color w:val="000000"/>
                <w:sz w:val="21"/>
              </w:rPr>
              <w:t>54.20</w:t>
            </w:r>
          </w:p>
        </w:tc>
      </w:tr>
      <w:tr>
        <w:trPr>
          <w:cantSplit/>
          <w:jc w:val="center"/>
        </w:trPr>
        <w:tc>
          <w:tcPr>
            <w:tcW w:w="816" w:type="pct"/>
            <w:tcBorders>
              <w:top w:val="single" w:sz="4" w:space="0" w:color="010000"/>
            </w:tcBorders>
            <w:vAlign w:val="center"/>
          </w:tcPr>
          <w:p>
            <w:pPr>
              <w:jc w:val="center"/>
            </w:pPr>
            <w:r/>
            <w:r>
              <w:rPr>
                <w:rFonts w:hint="eastAsia"/>
                <w:color w:val="000000"/>
                <w:sz w:val="21"/>
              </w:rPr>
              <w:t>高端制造</w:t>
            </w:r>
          </w:p>
        </w:tc>
        <w:tc>
          <w:tcPr>
            <w:tcW w:w="1122" w:type="pct"/>
            <w:tcBorders>
              <w:top w:val="single" w:sz="4" w:space="0" w:color="010000"/>
            </w:tcBorders>
            <w:vAlign w:val="center"/>
          </w:tcPr>
          <w:p>
            <w:pPr>
              <w:jc w:val="left"/>
            </w:pPr>
            <w:r/>
            <w:r>
              <w:rPr>
                <w:rFonts w:hint="eastAsia"/>
                <w:color w:val="000000"/>
                <w:sz w:val="21"/>
              </w:rPr>
              <w:t>毛利率（%）</w:t>
            </w:r>
          </w:p>
        </w:tc>
        <w:tc>
          <w:tcPr>
            <w:tcW w:w="612" w:type="pct"/>
            <w:tcBorders>
              <w:top w:val="single" w:sz="4" w:space="0" w:color="010000"/>
            </w:tcBorders>
            <w:vAlign w:val="center"/>
          </w:tcPr>
          <w:p>
            <w:pPr>
              <w:jc w:val="right"/>
            </w:pPr>
            <w:r/>
            <w:r>
              <w:rPr>
                <w:rFonts w:hint="eastAsia"/>
                <w:color w:val="000000"/>
                <w:sz w:val="21"/>
              </w:rPr>
              <w:t>6.52</w:t>
            </w:r>
          </w:p>
        </w:tc>
        <w:tc>
          <w:tcPr>
            <w:tcW w:w="612" w:type="pct"/>
            <w:tcBorders>
              <w:top w:val="single" w:sz="4" w:space="0" w:color="010000"/>
            </w:tcBorders>
            <w:vAlign w:val="center"/>
          </w:tcPr>
          <w:p>
            <w:pPr>
              <w:jc w:val="right"/>
            </w:pPr>
            <w:r/>
            <w:r>
              <w:rPr>
                <w:rFonts w:hint="eastAsia"/>
                <w:color w:val="000000"/>
                <w:sz w:val="21"/>
              </w:rPr>
              <w:t>9.74</w:t>
            </w:r>
          </w:p>
        </w:tc>
        <w:tc>
          <w:tcPr>
            <w:tcW w:w="612" w:type="pct"/>
            <w:tcBorders>
              <w:top w:val="single" w:sz="4" w:space="0" w:color="010000"/>
            </w:tcBorders>
            <w:vAlign w:val="center"/>
          </w:tcPr>
          <w:p>
            <w:pPr>
              <w:jc w:val="right"/>
            </w:pPr>
            <w:r/>
            <w:r>
              <w:rPr>
                <w:rFonts w:hint="eastAsia"/>
                <w:color w:val="000000"/>
                <w:sz w:val="21"/>
              </w:rPr>
              <w:t>10.75</w:t>
            </w:r>
          </w:p>
        </w:tc>
        <w:tc>
          <w:tcPr>
            <w:tcW w:w="612" w:type="pct"/>
            <w:tcBorders>
              <w:top w:val="single" w:sz="4" w:space="0" w:color="010000"/>
            </w:tcBorders>
            <w:vAlign w:val="center"/>
          </w:tcPr>
          <w:p>
            <w:pPr>
              <w:jc w:val="right"/>
            </w:pPr>
            <w:r/>
            <w:r>
              <w:rPr>
                <w:rFonts w:hint="eastAsia"/>
                <w:color w:val="000000"/>
                <w:sz w:val="21"/>
              </w:rPr>
              <w:t>8.54</w:t>
            </w:r>
          </w:p>
        </w:tc>
        <w:tc>
          <w:tcPr>
            <w:tcW w:w="612" w:type="pct"/>
            <w:tcBorders>
              <w:top w:val="single" w:sz="4" w:space="0" w:color="010000"/>
            </w:tcBorders>
            <w:vAlign w:val="center"/>
          </w:tcPr>
          <w:p>
            <w:pPr>
              <w:jc w:val="right"/>
            </w:pPr>
            <w:r/>
            <w:r>
              <w:rPr>
                <w:rFonts w:hint="eastAsia"/>
                <w:color w:val="000000"/>
                <w:sz w:val="21"/>
              </w:rPr>
              <w:t>9.71</w:t>
            </w:r>
          </w:p>
        </w:tc>
      </w:tr>
      <w:tr>
        <w:trPr>
          <w:cantSplit/>
          <w:jc w:val="center"/>
        </w:trPr>
        <w:tc>
          <w:tcPr>
            <w:tcW w:w="816" w:type="pct"/>
            <w:tcBorders>
              <w:top w:val="single" w:sz="4" w:space="0" w:color="010000"/>
            </w:tcBorders>
            <w:vAlign w:val="center"/>
          </w:tcPr>
          <w:p>
            <w:pPr>
              <w:jc w:val="center"/>
            </w:pPr>
            <w:r/>
            <w:r>
              <w:rPr>
                <w:rFonts w:hint="eastAsia"/>
                <w:color w:val="000000"/>
                <w:sz w:val="21"/>
              </w:rPr>
              <w:t>计量智能终端</w:t>
            </w:r>
          </w:p>
        </w:tc>
        <w:tc>
          <w:tcPr>
            <w:tcW w:w="1122" w:type="pct"/>
            <w:tcBorders>
              <w:top w:val="single" w:sz="4" w:space="0" w:color="010000"/>
            </w:tcBorders>
            <w:vAlign w:val="center"/>
          </w:tcPr>
          <w:p>
            <w:pPr>
              <w:jc w:val="left"/>
            </w:pPr>
            <w:r/>
            <w:r>
              <w:rPr>
                <w:rFonts w:hint="eastAsia"/>
                <w:color w:val="000000"/>
                <w:sz w:val="21"/>
              </w:rPr>
              <w:t>营业收入（亿元）</w:t>
            </w:r>
          </w:p>
        </w:tc>
        <w:tc>
          <w:tcPr>
            <w:tcW w:w="612" w:type="pct"/>
            <w:tcBorders>
              <w:top w:val="single" w:sz="4" w:space="0" w:color="010000"/>
            </w:tcBorders>
            <w:vAlign w:val="center"/>
          </w:tcPr>
          <w:p>
            <w:pPr>
              <w:jc w:val="right"/>
            </w:pPr>
            <w:r/>
            <w:r>
              <w:rPr>
                <w:rFonts w:hint="eastAsia"/>
                <w:color w:val="000000"/>
                <w:sz w:val="21"/>
              </w:rPr>
              <w:t>13.32</w:t>
            </w:r>
          </w:p>
        </w:tc>
        <w:tc>
          <w:tcPr>
            <w:tcW w:w="612" w:type="pct"/>
            <w:tcBorders>
              <w:top w:val="single" w:sz="4" w:space="0" w:color="010000"/>
            </w:tcBorders>
            <w:vAlign w:val="center"/>
          </w:tcPr>
          <w:p>
            <w:pPr>
              <w:jc w:val="right"/>
            </w:pPr>
            <w:r/>
            <w:r>
              <w:rPr>
                <w:rFonts w:hint="eastAsia"/>
                <w:color w:val="000000"/>
                <w:sz w:val="21"/>
              </w:rPr>
              <w:t>17.94</w:t>
            </w:r>
          </w:p>
        </w:tc>
        <w:tc>
          <w:tcPr>
            <w:tcW w:w="612" w:type="pct"/>
            <w:tcBorders>
              <w:top w:val="single" w:sz="4" w:space="0" w:color="010000"/>
            </w:tcBorders>
            <w:vAlign w:val="center"/>
          </w:tcPr>
          <w:p>
            <w:pPr>
              <w:jc w:val="right"/>
            </w:pPr>
            <w:r/>
            <w:r>
              <w:rPr>
                <w:rFonts w:hint="eastAsia"/>
                <w:color w:val="000000"/>
                <w:sz w:val="21"/>
              </w:rPr>
              <w:t>25.45</w:t>
            </w:r>
          </w:p>
        </w:tc>
        <w:tc>
          <w:tcPr>
            <w:tcW w:w="612" w:type="pct"/>
            <w:tcBorders>
              <w:top w:val="single" w:sz="4" w:space="0" w:color="010000"/>
            </w:tcBorders>
            <w:vAlign w:val="center"/>
          </w:tcPr>
          <w:p>
            <w:pPr>
              <w:jc w:val="right"/>
            </w:pPr>
            <w:r/>
            <w:r>
              <w:rPr>
                <w:rFonts w:hint="eastAsia"/>
                <w:color w:val="000000"/>
                <w:sz w:val="21"/>
              </w:rPr>
              <w:t>29.35</w:t>
            </w:r>
          </w:p>
        </w:tc>
        <w:tc>
          <w:tcPr>
            <w:tcW w:w="612" w:type="pct"/>
            <w:tcBorders>
              <w:top w:val="single" w:sz="4" w:space="0" w:color="010000"/>
            </w:tcBorders>
            <w:vAlign w:val="center"/>
          </w:tcPr>
          <w:p>
            <w:pPr>
              <w:jc w:val="right"/>
            </w:pPr>
            <w:r/>
            <w:r>
              <w:rPr>
                <w:rFonts w:hint="eastAsia"/>
                <w:color w:val="000000"/>
                <w:sz w:val="21"/>
              </w:rPr>
              <w:t>30.21</w:t>
            </w:r>
          </w:p>
        </w:tc>
      </w:tr>
      <w:tr>
        <w:trPr>
          <w:cantSplit/>
          <w:jc w:val="center"/>
        </w:trPr>
        <w:tc>
          <w:tcPr>
            <w:tcW w:w="816" w:type="pct"/>
            <w:tcBorders>
              <w:top w:val="single" w:sz="4" w:space="0" w:color="010000"/>
            </w:tcBorders>
            <w:vAlign w:val="center"/>
          </w:tcPr>
          <w:p>
            <w:pPr>
              <w:jc w:val="center"/>
            </w:pPr>
            <w:r/>
            <w:r>
              <w:rPr>
                <w:rFonts w:hint="eastAsia"/>
                <w:color w:val="000000"/>
                <w:sz w:val="21"/>
              </w:rPr>
              <w:t>计量智能终端</w:t>
            </w:r>
          </w:p>
        </w:tc>
        <w:tc>
          <w:tcPr>
            <w:tcW w:w="1122" w:type="pct"/>
            <w:tcBorders>
              <w:top w:val="single" w:sz="4" w:space="0" w:color="010000"/>
            </w:tcBorders>
            <w:vAlign w:val="center"/>
          </w:tcPr>
          <w:p>
            <w:pPr>
              <w:jc w:val="left"/>
            </w:pPr>
            <w:r/>
            <w:r>
              <w:rPr>
                <w:rFonts w:hint="eastAsia"/>
                <w:color w:val="000000"/>
                <w:sz w:val="21"/>
              </w:rPr>
              <w:t>占营业收入比重（%）</w:t>
            </w:r>
          </w:p>
        </w:tc>
        <w:tc>
          <w:tcPr>
            <w:tcW w:w="612" w:type="pct"/>
            <w:tcBorders>
              <w:top w:val="single" w:sz="4" w:space="0" w:color="010000"/>
            </w:tcBorders>
            <w:vAlign w:val="center"/>
          </w:tcPr>
          <w:p>
            <w:pPr>
              <w:jc w:val="right"/>
            </w:pPr>
            <w:r/>
            <w:r>
              <w:rPr>
                <w:rFonts w:hint="eastAsia"/>
                <w:color w:val="000000"/>
                <w:sz w:val="21"/>
              </w:rPr>
              <w:t>8.08</w:t>
            </w:r>
          </w:p>
        </w:tc>
        <w:tc>
          <w:tcPr>
            <w:tcW w:w="612" w:type="pct"/>
            <w:tcBorders>
              <w:top w:val="single" w:sz="4" w:space="0" w:color="010000"/>
            </w:tcBorders>
            <w:vAlign w:val="center"/>
          </w:tcPr>
          <w:p>
            <w:pPr>
              <w:jc w:val="right"/>
            </w:pPr>
            <w:r/>
            <w:r>
              <w:rPr>
                <w:rFonts w:hint="eastAsia"/>
                <w:color w:val="000000"/>
                <w:sz w:val="21"/>
              </w:rPr>
              <w:t>11.13</w:t>
            </w:r>
          </w:p>
        </w:tc>
        <w:tc>
          <w:tcPr>
            <w:tcW w:w="612" w:type="pct"/>
            <w:tcBorders>
              <w:top w:val="single" w:sz="4" w:space="0" w:color="010000"/>
            </w:tcBorders>
            <w:vAlign w:val="center"/>
          </w:tcPr>
          <w:p>
            <w:pPr>
              <w:jc w:val="right"/>
            </w:pPr>
            <w:r/>
            <w:r>
              <w:rPr>
                <w:rFonts w:hint="eastAsia"/>
                <w:color w:val="000000"/>
                <w:sz w:val="21"/>
              </w:rPr>
              <w:t>17.84</w:t>
            </w:r>
          </w:p>
        </w:tc>
        <w:tc>
          <w:tcPr>
            <w:tcW w:w="612" w:type="pct"/>
            <w:tcBorders>
              <w:top w:val="single" w:sz="4" w:space="0" w:color="010000"/>
            </w:tcBorders>
            <w:vAlign w:val="center"/>
          </w:tcPr>
          <w:p>
            <w:pPr>
              <w:jc w:val="right"/>
            </w:pPr>
            <w:r/>
            <w:r>
              <w:rPr>
                <w:rFonts w:hint="eastAsia"/>
                <w:color w:val="000000"/>
                <w:sz w:val="21"/>
              </w:rPr>
              <w:t>19.80</w:t>
            </w:r>
          </w:p>
        </w:tc>
        <w:tc>
          <w:tcPr>
            <w:tcW w:w="612" w:type="pct"/>
            <w:tcBorders>
              <w:top w:val="single" w:sz="4" w:space="0" w:color="010000"/>
            </w:tcBorders>
            <w:vAlign w:val="center"/>
          </w:tcPr>
          <w:p>
            <w:pPr>
              <w:jc w:val="right"/>
            </w:pPr>
            <w:r/>
            <w:r>
              <w:rPr>
                <w:rFonts w:hint="eastAsia"/>
                <w:color w:val="000000"/>
                <w:sz w:val="21"/>
              </w:rPr>
              <w:t>19.18</w:t>
            </w:r>
          </w:p>
        </w:tc>
      </w:tr>
      <w:tr>
        <w:trPr>
          <w:cantSplit/>
          <w:jc w:val="center"/>
        </w:trPr>
        <w:tc>
          <w:tcPr>
            <w:tcW w:w="816" w:type="pct"/>
            <w:tcBorders>
              <w:top w:val="single" w:sz="4" w:space="0" w:color="010000"/>
            </w:tcBorders>
            <w:vAlign w:val="center"/>
          </w:tcPr>
          <w:p>
            <w:pPr>
              <w:jc w:val="center"/>
            </w:pPr>
            <w:r/>
            <w:r>
              <w:rPr>
                <w:rFonts w:hint="eastAsia"/>
                <w:color w:val="000000"/>
                <w:sz w:val="21"/>
              </w:rPr>
              <w:t>计量智能终端</w:t>
            </w:r>
          </w:p>
        </w:tc>
        <w:tc>
          <w:tcPr>
            <w:tcW w:w="1122" w:type="pct"/>
            <w:tcBorders>
              <w:top w:val="single" w:sz="4" w:space="0" w:color="010000"/>
            </w:tcBorders>
            <w:vAlign w:val="center"/>
          </w:tcPr>
          <w:p>
            <w:pPr>
              <w:jc w:val="left"/>
            </w:pPr>
            <w:r/>
            <w:r>
              <w:rPr>
                <w:rFonts w:hint="eastAsia"/>
                <w:color w:val="000000"/>
                <w:sz w:val="21"/>
              </w:rPr>
              <w:t>毛利率（%）</w:t>
            </w:r>
          </w:p>
        </w:tc>
        <w:tc>
          <w:tcPr>
            <w:tcW w:w="612" w:type="pct"/>
            <w:tcBorders>
              <w:top w:val="single" w:sz="4" w:space="0" w:color="010000"/>
            </w:tcBorders>
            <w:vAlign w:val="center"/>
          </w:tcPr>
          <w:p>
            <w:pPr>
              <w:jc w:val="right"/>
            </w:pPr>
            <w:r/>
            <w:r>
              <w:rPr>
                <w:rFonts w:hint="eastAsia"/>
                <w:color w:val="000000"/>
                <w:sz w:val="21"/>
              </w:rPr>
              <w:t>22.07</w:t>
            </w:r>
          </w:p>
        </w:tc>
        <w:tc>
          <w:tcPr>
            <w:tcW w:w="612" w:type="pct"/>
            <w:tcBorders>
              <w:top w:val="single" w:sz="4" w:space="0" w:color="010000"/>
            </w:tcBorders>
            <w:vAlign w:val="center"/>
          </w:tcPr>
          <w:p>
            <w:pPr>
              <w:jc w:val="right"/>
            </w:pPr>
            <w:r/>
            <w:r>
              <w:rPr>
                <w:rFonts w:hint="eastAsia"/>
                <w:color w:val="000000"/>
                <w:sz w:val="21"/>
              </w:rPr>
              <w:t>20.29</w:t>
            </w:r>
          </w:p>
        </w:tc>
        <w:tc>
          <w:tcPr>
            <w:tcW w:w="612" w:type="pct"/>
            <w:tcBorders>
              <w:top w:val="single" w:sz="4" w:space="0" w:color="010000"/>
            </w:tcBorders>
            <w:vAlign w:val="center"/>
          </w:tcPr>
          <w:p>
            <w:pPr>
              <w:jc w:val="right"/>
            </w:pPr>
            <w:r/>
            <w:r>
              <w:rPr>
                <w:rFonts w:hint="eastAsia"/>
                <w:color w:val="000000"/>
                <w:sz w:val="21"/>
              </w:rPr>
              <w:t>33.82</w:t>
            </w:r>
          </w:p>
        </w:tc>
        <w:tc>
          <w:tcPr>
            <w:tcW w:w="612" w:type="pct"/>
            <w:tcBorders>
              <w:top w:val="single" w:sz="4" w:space="0" w:color="010000"/>
            </w:tcBorders>
            <w:vAlign w:val="center"/>
          </w:tcPr>
          <w:p>
            <w:pPr>
              <w:jc w:val="right"/>
            </w:pPr>
            <w:r/>
            <w:r>
              <w:rPr>
                <w:rFonts w:hint="eastAsia"/>
                <w:color w:val="000000"/>
                <w:sz w:val="21"/>
              </w:rPr>
              <w:t>35.96</w:t>
            </w:r>
          </w:p>
        </w:tc>
        <w:tc>
          <w:tcPr>
            <w:tcW w:w="612" w:type="pct"/>
            <w:tcBorders>
              <w:top w:val="single" w:sz="4" w:space="0" w:color="010000"/>
            </w:tcBorders>
            <w:vAlign w:val="center"/>
          </w:tcPr>
          <w:p>
            <w:pPr>
              <w:jc w:val="right"/>
            </w:pPr>
            <w:r/>
            <w:r>
              <w:rPr>
                <w:rFonts w:hint="eastAsia"/>
                <w:color w:val="000000"/>
                <w:sz w:val="21"/>
              </w:rPr>
              <w:t>39.26</w:t>
            </w:r>
          </w:p>
        </w:tc>
      </w:tr>
      <w:tr>
        <w:trPr>
          <w:cantSplit/>
          <w:jc w:val="center"/>
        </w:trPr>
        <w:tc>
          <w:tcPr>
            <w:tcW w:w="816" w:type="pct"/>
            <w:tcBorders>
              <w:top w:val="single" w:sz="4" w:space="0" w:color="010000"/>
            </w:tcBorders>
            <w:vAlign w:val="center"/>
          </w:tcPr>
          <w:p>
            <w:pPr>
              <w:jc w:val="center"/>
            </w:pPr>
            <w:r/>
            <w:r>
              <w:rPr>
                <w:rFonts w:hint="eastAsia"/>
                <w:color w:val="000000"/>
                <w:sz w:val="21"/>
              </w:rPr>
              <w:t>合计</w:t>
            </w:r>
          </w:p>
        </w:tc>
        <w:tc>
          <w:tcPr>
            <w:tcW w:w="1122" w:type="pct"/>
            <w:tcBorders>
              <w:top w:val="single" w:sz="4" w:space="0" w:color="010000"/>
            </w:tcBorders>
            <w:vAlign w:val="center"/>
          </w:tcPr>
          <w:p>
            <w:pPr>
              <w:jc w:val="left"/>
            </w:pPr>
            <w:r/>
            <w:r>
              <w:rPr>
                <w:rFonts w:hint="eastAsia"/>
                <w:color w:val="000000"/>
                <w:sz w:val="21"/>
              </w:rPr>
              <w:t>营业总收入（亿元）</w:t>
            </w:r>
          </w:p>
        </w:tc>
        <w:tc>
          <w:tcPr>
            <w:tcW w:w="612" w:type="pct"/>
            <w:tcBorders>
              <w:top w:val="single" w:sz="4" w:space="0" w:color="010000"/>
            </w:tcBorders>
            <w:vAlign w:val="center"/>
          </w:tcPr>
          <w:p>
            <w:pPr>
              <w:jc w:val="right"/>
            </w:pPr>
            <w:r/>
            <w:r>
              <w:rPr>
                <w:rFonts w:hint="eastAsia"/>
                <w:color w:val="000000"/>
                <w:sz w:val="21"/>
              </w:rPr>
              <w:t>164.88</w:t>
            </w:r>
          </w:p>
        </w:tc>
        <w:tc>
          <w:tcPr>
            <w:tcW w:w="612" w:type="pct"/>
            <w:tcBorders>
              <w:top w:val="single" w:sz="4" w:space="0" w:color="010000"/>
            </w:tcBorders>
            <w:vAlign w:val="center"/>
          </w:tcPr>
          <w:p>
            <w:pPr>
              <w:jc w:val="right"/>
            </w:pPr>
            <w:r/>
            <w:r>
              <w:rPr>
                <w:rFonts w:hint="eastAsia"/>
                <w:color w:val="000000"/>
                <w:sz w:val="21"/>
              </w:rPr>
              <w:t>161.18</w:t>
            </w:r>
          </w:p>
        </w:tc>
        <w:tc>
          <w:tcPr>
            <w:tcW w:w="612" w:type="pct"/>
            <w:tcBorders>
              <w:top w:val="single" w:sz="4" w:space="0" w:color="010000"/>
            </w:tcBorders>
            <w:vAlign w:val="center"/>
          </w:tcPr>
          <w:p>
            <w:pPr>
              <w:jc w:val="right"/>
            </w:pPr>
            <w:r/>
            <w:r>
              <w:rPr>
                <w:rFonts w:hint="eastAsia"/>
                <w:color w:val="000000"/>
                <w:sz w:val="21"/>
              </w:rPr>
              <w:t>142.65</w:t>
            </w:r>
          </w:p>
        </w:tc>
        <w:tc>
          <w:tcPr>
            <w:tcW w:w="612" w:type="pct"/>
            <w:tcBorders>
              <w:top w:val="single" w:sz="4" w:space="0" w:color="010000"/>
            </w:tcBorders>
            <w:vAlign w:val="center"/>
          </w:tcPr>
          <w:p>
            <w:pPr>
              <w:jc w:val="right"/>
            </w:pPr>
            <w:r/>
            <w:r>
              <w:rPr>
                <w:rFonts w:hint="eastAsia"/>
                <w:color w:val="000000"/>
                <w:sz w:val="21"/>
              </w:rPr>
              <w:t>148.27</w:t>
            </w:r>
          </w:p>
        </w:tc>
        <w:tc>
          <w:tcPr>
            <w:tcW w:w="612" w:type="pct"/>
            <w:tcBorders>
              <w:top w:val="single" w:sz="4" w:space="0" w:color="010000"/>
            </w:tcBorders>
            <w:vAlign w:val="center"/>
          </w:tcPr>
          <w:p>
            <w:pPr>
              <w:jc w:val="right"/>
            </w:pPr>
            <w:r/>
            <w:r>
              <w:rPr>
                <w:rFonts w:hint="eastAsia"/>
                <w:color w:val="000000"/>
                <w:sz w:val="21"/>
              </w:rPr>
              <w:t>157.47</w:t>
            </w:r>
          </w:p>
        </w:tc>
      </w:tr>
      <w:tr>
        <w:trPr>
          <w:cantSplit/>
          <w:jc w:val="center"/>
        </w:trPr>
        <w:tc>
          <w:tcPr>
            <w:tcW w:w="816" w:type="pct"/>
            <w:tcBorders>
              <w:top w:val="single" w:sz="4" w:space="0" w:color="010000"/>
            </w:tcBorders>
            <w:vAlign w:val="center"/>
          </w:tcPr>
          <w:p>
            <w:pPr>
              <w:jc w:val="center"/>
            </w:pPr>
            <w:r/>
            <w:r>
              <w:rPr>
                <w:rFonts w:hint="eastAsia"/>
                <w:color w:val="000000"/>
                <w:sz w:val="21"/>
              </w:rPr>
              <w:t>合计</w:t>
            </w:r>
          </w:p>
        </w:tc>
        <w:tc>
          <w:tcPr>
            <w:tcW w:w="1122" w:type="pct"/>
            <w:tcBorders>
              <w:top w:val="single" w:sz="4" w:space="0" w:color="010000"/>
            </w:tcBorders>
            <w:vAlign w:val="center"/>
          </w:tcPr>
          <w:p>
            <w:pPr>
              <w:jc w:val="left"/>
            </w:pPr>
            <w:r/>
            <w:r>
              <w:rPr>
                <w:rFonts w:hint="eastAsia"/>
                <w:color w:val="000000"/>
                <w:sz w:val="21"/>
              </w:rPr>
              <w:t>综合毛利率（%）</w:t>
            </w:r>
          </w:p>
        </w:tc>
        <w:tc>
          <w:tcPr>
            <w:tcW w:w="612" w:type="pct"/>
            <w:tcBorders>
              <w:top w:val="single" w:sz="4" w:space="0" w:color="010000"/>
            </w:tcBorders>
            <w:vAlign w:val="center"/>
          </w:tcPr>
          <w:p>
            <w:pPr>
              <w:jc w:val="right"/>
            </w:pPr>
            <w:r/>
            <w:r>
              <w:rPr>
                <w:rFonts w:hint="eastAsia"/>
                <w:color w:val="000000"/>
                <w:sz w:val="21"/>
              </w:rPr>
              <w:t>9.64</w:t>
            </w:r>
          </w:p>
        </w:tc>
        <w:tc>
          <w:tcPr>
            <w:tcW w:w="612" w:type="pct"/>
            <w:tcBorders>
              <w:top w:val="single" w:sz="4" w:space="0" w:color="010000"/>
            </w:tcBorders>
            <w:vAlign w:val="center"/>
          </w:tcPr>
          <w:p>
            <w:pPr>
              <w:jc w:val="right"/>
            </w:pPr>
            <w:r/>
            <w:r>
              <w:rPr>
                <w:rFonts w:hint="eastAsia"/>
                <w:color w:val="000000"/>
                <w:sz w:val="21"/>
              </w:rPr>
              <w:t>12.02</w:t>
            </w:r>
          </w:p>
        </w:tc>
        <w:tc>
          <w:tcPr>
            <w:tcW w:w="612" w:type="pct"/>
            <w:tcBorders>
              <w:top w:val="single" w:sz="4" w:space="0" w:color="010000"/>
            </w:tcBorders>
            <w:vAlign w:val="center"/>
          </w:tcPr>
          <w:p>
            <w:pPr>
              <w:jc w:val="right"/>
            </w:pPr>
            <w:r/>
            <w:r>
              <w:rPr>
                <w:rFonts w:hint="eastAsia"/>
                <w:color w:val="000000"/>
                <w:sz w:val="21"/>
              </w:rPr>
              <w:t>16.65</w:t>
            </w:r>
          </w:p>
        </w:tc>
        <w:tc>
          <w:tcPr>
            <w:tcW w:w="612" w:type="pct"/>
            <w:tcBorders>
              <w:top w:val="single" w:sz="4" w:space="0" w:color="010000"/>
            </w:tcBorders>
            <w:vAlign w:val="center"/>
          </w:tcPr>
          <w:p>
            <w:pPr>
              <w:jc w:val="right"/>
            </w:pPr>
            <w:r/>
            <w:r>
              <w:rPr>
                <w:rFonts w:hint="eastAsia"/>
                <w:color w:val="000000"/>
                <w:sz w:val="21"/>
              </w:rPr>
              <w:t>16.98</w:t>
            </w:r>
          </w:p>
        </w:tc>
        <w:tc>
          <w:tcPr>
            <w:tcW w:w="612" w:type="pct"/>
            <w:tcBorders>
              <w:top w:val="single" w:sz="4" w:space="0" w:color="010000"/>
            </w:tcBorders>
            <w:vAlign w:val="center"/>
          </w:tcPr>
          <w:p>
            <w:pPr>
              <w:jc w:val="right"/>
            </w:pPr>
            <w:r/>
            <w:r>
              <w:rPr>
                <w:rFonts w:hint="eastAsia"/>
                <w:color w:val="000000"/>
                <w:sz w:val="21"/>
              </w:rPr>
              <w:t>18.32</w:t>
            </w:r>
          </w:p>
        </w:tc>
      </w:tr>
    </w:tbl>
    <w:p>
      <w:pPr>
        <w:pStyle w:val="a6"/>
        <w:jc w:val="center"/>
      </w:pPr>
      <w:r>
        <w:rPr>
          <w:rFonts w:hint="eastAsia"/>
          <w:sz w:val="11"/>
          <w:szCs w:val="11"/>
        </w:rPr>
        <w:t>数据来源：Wind整理成果，本报告整理</w:t>
      </w:r>
    </w:p>
    <w:p>
      <w:pPr>
        <w:pStyle w:val="a0"/>
      </w:pPr>
      <w:r>
        <w:rPr>
          <w:rFonts w:hint="eastAsia"/>
        </w:rPr>
        <w:t>从五年区间看，存储半导体业务收入由2021年的28.85亿元增至2025年的40.91亿元，占营业收入比重由17.50%升至25.98%；同期高端制造收入由121.44亿元降至85.35亿元，占比由73.65%降至54.20%。2024年与2025年，存储半导体业务收入同比分别增长37.62%与16.16%，同期高端制造分别为-9.09%与2.93%。</w:t>
      </w:r>
    </w:p>
    <w:p>
      <w:pPr>
        <w:pStyle w:val="3"/>
        <w:numPr>
          <w:ilvl w:val="0"/>
          <w:numId w:val="0"/>
        </w:numPr>
        <w:spacing w:before="156" w:after="156"/>
      </w:pPr>
      <w:bookmarkStart w:id="1004" w:name="_Toc900004"/>
      <w:r>
        <w:rPr>
          <w:rFonts w:hint="eastAsia"/>
        </w:rPr>
        <w:t>8.2 产业链定位与经营主体</w:t>
      </w:r>
      <w:bookmarkEnd w:id="1004"/>
    </w:p>
    <w:p>
      <w:pPr>
        <w:pStyle w:val="a0"/>
      </w:pPr>
      <w:r>
        <w:rPr>
          <w:rFonts w:hint="eastAsia"/>
        </w:rPr>
        <w:t>公司存储封测业务由两家主体承担。沛顿科技（深圳）有限公司成立于2004年7月2日，注册资本17.48亿元，为深科技全资子公司，主营高端存储芯片封装和测试服务。合肥沛顿存储科技有限公司成立于2020年10月30日，注册资本30.60亿元，深科技持股55.88%。</w:t>
      </w:r>
    </w:p>
    <w:p>
      <w:pPr>
        <w:keepNext/>
        <w:jc w:val="center"/>
      </w:pPr>
      <w:r>
        <w:rPr>
          <w:rFonts w:hint="eastAsia"/>
          <w:b/>
          <w:sz w:val="21"/>
        </w:rPr>
        <w:t>表4  深科技主要控股子公司2025年经营数据</w:t>
      </w:r>
    </w:p>
    <w:tbl>
      <w:tblPr>
        <w:tblW w:w="5352" w:type="pct"/>
        <w:jc w:val="center"/>
        <w:tblBorders>
          <w:top w:val="single" w:sz="12" w:space="0" w:color="010000"/>
          <w:left w:val="single" w:sz="12" w:space="0" w:color="010000"/>
          <w:bottom w:val="single" w:sz="12" w:space="0" w:color="010000"/>
          <w:right w:val="single" w:sz="12" w:space="0" w:color="010000"/>
          <w:insideH w:val="single" w:sz="4" w:space="0" w:color="010000"/>
          <w:insideV w:val="single" w:sz="4" w:space="0" w:color="010000"/>
        </w:tblBorders>
        <w:tblLook w:firstColumn="1" w:firstRow="1" w:lastColumn="0" w:lastRow="0" w:noHBand="0" w:noVBand="1" w:val="04A0"/>
      </w:tblPr>
      <w:tblGrid>
        <w:gridCol w:w="1661"/>
        <w:gridCol w:w="1661"/>
        <w:gridCol w:w="1661"/>
        <w:gridCol w:w="1661"/>
        <w:gridCol w:w="1661"/>
      </w:tblGrid>
      <w:tr>
        <w:trPr>
          <w:cantSplit/>
          <w:tblHeader/>
          <w:jc w:val="center"/>
        </w:trPr>
        <w:tc>
          <w:tcPr>
            <w:tcW w:w="900" w:type="pct"/>
            <w:tcBorders>
              <w:top w:val="single" w:sz="12" w:space="0" w:color="010000"/>
              <w:bottom w:val="single" w:sz="4" w:space="0" w:color="010000"/>
            </w:tcBorders>
            <w:vAlign w:val="center"/>
          </w:tcPr>
          <w:p>
            <w:pPr>
              <w:keepNext/>
              <w:jc w:val="center"/>
            </w:pPr>
            <w:r/>
            <w:r>
              <w:rPr>
                <w:rFonts w:hint="eastAsia"/>
                <w:b/>
                <w:color w:val="000000"/>
                <w:sz w:val="21"/>
              </w:rPr>
              <w:t>公司名称</w:t>
            </w:r>
          </w:p>
        </w:tc>
        <w:tc>
          <w:tcPr>
            <w:tcW w:w="2100" w:type="pct"/>
            <w:tcBorders>
              <w:top w:val="single" w:sz="12" w:space="0" w:color="010000"/>
              <w:bottom w:val="single" w:sz="4" w:space="0" w:color="010000"/>
            </w:tcBorders>
            <w:vAlign w:val="center"/>
          </w:tcPr>
          <w:p>
            <w:pPr>
              <w:keepNext/>
              <w:jc w:val="center"/>
            </w:pPr>
            <w:r/>
            <w:r>
              <w:rPr>
                <w:rFonts w:hint="eastAsia"/>
                <w:b/>
                <w:color w:val="000000"/>
                <w:sz w:val="21"/>
              </w:rPr>
              <w:t>主要业务</w:t>
            </w:r>
          </w:p>
        </w:tc>
        <w:tc>
          <w:tcPr>
            <w:tcW w:w="700" w:type="pct"/>
            <w:tcBorders>
              <w:top w:val="single" w:sz="12" w:space="0" w:color="010000"/>
              <w:bottom w:val="single" w:sz="4" w:space="0" w:color="010000"/>
            </w:tcBorders>
            <w:vAlign w:val="center"/>
          </w:tcPr>
          <w:p>
            <w:pPr>
              <w:keepNext/>
              <w:jc w:val="center"/>
            </w:pPr>
            <w:r/>
            <w:r>
              <w:rPr>
                <w:rFonts w:hint="eastAsia"/>
                <w:b/>
                <w:color w:val="000000"/>
                <w:sz w:val="21"/>
              </w:rPr>
              <w:t>营业收入（亿元）</w:t>
            </w:r>
          </w:p>
        </w:tc>
        <w:tc>
          <w:tcPr>
            <w:tcW w:w="650" w:type="pct"/>
            <w:tcBorders>
              <w:top w:val="single" w:sz="12" w:space="0" w:color="010000"/>
              <w:bottom w:val="single" w:sz="4" w:space="0" w:color="010000"/>
            </w:tcBorders>
            <w:vAlign w:val="center"/>
          </w:tcPr>
          <w:p>
            <w:pPr>
              <w:keepNext/>
              <w:jc w:val="center"/>
            </w:pPr>
            <w:r/>
            <w:r>
              <w:rPr>
                <w:rFonts w:hint="eastAsia"/>
                <w:b/>
                <w:color w:val="000000"/>
                <w:sz w:val="21"/>
              </w:rPr>
              <w:t>净利润（亿元）</w:t>
            </w:r>
          </w:p>
        </w:tc>
        <w:tc>
          <w:tcPr>
            <w:tcW w:w="650" w:type="pct"/>
            <w:tcBorders>
              <w:top w:val="single" w:sz="12" w:space="0" w:color="010000"/>
              <w:bottom w:val="single" w:sz="4" w:space="0" w:color="010000"/>
            </w:tcBorders>
            <w:vAlign w:val="center"/>
          </w:tcPr>
          <w:p>
            <w:pPr>
              <w:keepNext/>
              <w:jc w:val="center"/>
            </w:pPr>
            <w:r/>
            <w:r>
              <w:rPr>
                <w:rFonts w:hint="eastAsia"/>
                <w:b/>
                <w:color w:val="000000"/>
                <w:sz w:val="21"/>
              </w:rPr>
              <w:t>净利率（%）</w:t>
            </w:r>
          </w:p>
        </w:tc>
      </w:tr>
      <w:tr>
        <w:trPr>
          <w:cantSplit/>
          <w:jc w:val="center"/>
        </w:trPr>
        <w:tc>
          <w:tcPr>
            <w:tcW w:w="900" w:type="pct"/>
            <w:tcBorders>
              <w:top w:val="single" w:sz="4" w:space="0" w:color="010000"/>
            </w:tcBorders>
            <w:vAlign w:val="center"/>
          </w:tcPr>
          <w:p>
            <w:pPr>
              <w:jc w:val="center"/>
            </w:pPr>
            <w:r/>
            <w:r>
              <w:rPr>
                <w:rFonts w:hint="eastAsia"/>
                <w:color w:val="000000"/>
                <w:sz w:val="21"/>
              </w:rPr>
              <w:t>深科技东莞</w:t>
            </w:r>
          </w:p>
        </w:tc>
        <w:tc>
          <w:tcPr>
            <w:tcW w:w="2100" w:type="pct"/>
            <w:tcBorders>
              <w:top w:val="single" w:sz="4" w:space="0" w:color="010000"/>
            </w:tcBorders>
            <w:vAlign w:val="center"/>
          </w:tcPr>
          <w:p>
            <w:pPr>
              <w:jc w:val="left"/>
            </w:pPr>
            <w:r/>
            <w:r>
              <w:rPr>
                <w:rFonts w:hint="eastAsia"/>
                <w:color w:val="000000"/>
                <w:sz w:val="21"/>
              </w:rPr>
              <w:t>从事电子产品的研发、制造和销售</w:t>
            </w:r>
          </w:p>
        </w:tc>
        <w:tc>
          <w:tcPr>
            <w:tcW w:w="700" w:type="pct"/>
            <w:tcBorders>
              <w:top w:val="single" w:sz="4" w:space="0" w:color="010000"/>
            </w:tcBorders>
            <w:vAlign w:val="center"/>
          </w:tcPr>
          <w:p>
            <w:pPr>
              <w:jc w:val="right"/>
            </w:pPr>
            <w:r/>
            <w:r>
              <w:rPr>
                <w:rFonts w:hint="eastAsia"/>
                <w:color w:val="000000"/>
                <w:sz w:val="21"/>
              </w:rPr>
              <w:t>83.74</w:t>
            </w:r>
          </w:p>
        </w:tc>
        <w:tc>
          <w:tcPr>
            <w:tcW w:w="650" w:type="pct"/>
            <w:tcBorders>
              <w:top w:val="single" w:sz="4" w:space="0" w:color="010000"/>
            </w:tcBorders>
            <w:vAlign w:val="center"/>
          </w:tcPr>
          <w:p>
            <w:pPr>
              <w:jc w:val="right"/>
            </w:pPr>
            <w:r/>
            <w:r>
              <w:rPr>
                <w:rFonts w:hint="eastAsia"/>
                <w:color w:val="000000"/>
                <w:sz w:val="21"/>
              </w:rPr>
              <w:t>1.60</w:t>
            </w:r>
          </w:p>
        </w:tc>
        <w:tc>
          <w:tcPr>
            <w:tcW w:w="650" w:type="pct"/>
            <w:tcBorders>
              <w:top w:val="single" w:sz="4" w:space="0" w:color="010000"/>
            </w:tcBorders>
            <w:vAlign w:val="center"/>
          </w:tcPr>
          <w:p>
            <w:pPr>
              <w:jc w:val="right"/>
            </w:pPr>
            <w:r/>
            <w:r>
              <w:rPr>
                <w:rFonts w:hint="eastAsia"/>
                <w:color w:val="000000"/>
                <w:sz w:val="21"/>
              </w:rPr>
              <w:t>1.91</w:t>
            </w:r>
          </w:p>
        </w:tc>
      </w:tr>
      <w:tr>
        <w:trPr>
          <w:cantSplit/>
          <w:jc w:val="center"/>
        </w:trPr>
        <w:tc>
          <w:tcPr>
            <w:tcW w:w="900" w:type="pct"/>
            <w:tcBorders>
              <w:top w:val="single" w:sz="4" w:space="0" w:color="010000"/>
            </w:tcBorders>
            <w:vAlign w:val="center"/>
          </w:tcPr>
          <w:p>
            <w:pPr>
              <w:jc w:val="center"/>
            </w:pPr>
            <w:r/>
            <w:r>
              <w:rPr>
                <w:rFonts w:hint="eastAsia"/>
                <w:color w:val="000000"/>
                <w:sz w:val="21"/>
              </w:rPr>
              <w:t>深科技香港</w:t>
            </w:r>
          </w:p>
        </w:tc>
        <w:tc>
          <w:tcPr>
            <w:tcW w:w="2100" w:type="pct"/>
            <w:tcBorders>
              <w:top w:val="single" w:sz="4" w:space="0" w:color="010000"/>
            </w:tcBorders>
            <w:vAlign w:val="center"/>
          </w:tcPr>
          <w:p>
            <w:pPr>
              <w:jc w:val="left"/>
            </w:pPr>
            <w:r/>
            <w:r>
              <w:rPr>
                <w:rFonts w:hint="eastAsia"/>
                <w:color w:val="000000"/>
                <w:sz w:val="21"/>
              </w:rPr>
              <w:t>商业贸易</w:t>
            </w:r>
          </w:p>
        </w:tc>
        <w:tc>
          <w:tcPr>
            <w:tcW w:w="700" w:type="pct"/>
            <w:tcBorders>
              <w:top w:val="single" w:sz="4" w:space="0" w:color="010000"/>
            </w:tcBorders>
            <w:vAlign w:val="center"/>
          </w:tcPr>
          <w:p>
            <w:pPr>
              <w:jc w:val="right"/>
            </w:pPr>
            <w:r/>
            <w:r>
              <w:rPr>
                <w:rFonts w:hint="eastAsia"/>
                <w:color w:val="000000"/>
                <w:sz w:val="21"/>
              </w:rPr>
              <w:t>73.93</w:t>
            </w:r>
          </w:p>
        </w:tc>
        <w:tc>
          <w:tcPr>
            <w:tcW w:w="650" w:type="pct"/>
            <w:tcBorders>
              <w:top w:val="single" w:sz="4" w:space="0" w:color="010000"/>
            </w:tcBorders>
            <w:vAlign w:val="center"/>
          </w:tcPr>
          <w:p>
            <w:pPr>
              <w:jc w:val="right"/>
            </w:pPr>
            <w:r/>
            <w:r>
              <w:rPr>
                <w:rFonts w:hint="eastAsia"/>
                <w:color w:val="000000"/>
                <w:sz w:val="21"/>
              </w:rPr>
              <w:t>-2.44</w:t>
            </w:r>
          </w:p>
        </w:tc>
        <w:tc>
          <w:tcPr>
            <w:tcW w:w="650" w:type="pct"/>
            <w:tcBorders>
              <w:top w:val="single" w:sz="4" w:space="0" w:color="010000"/>
            </w:tcBorders>
            <w:vAlign w:val="center"/>
          </w:tcPr>
          <w:p>
            <w:pPr>
              <w:jc w:val="right"/>
            </w:pPr>
            <w:r/>
            <w:r>
              <w:rPr>
                <w:rFonts w:hint="eastAsia"/>
                <w:color w:val="000000"/>
                <w:sz w:val="21"/>
              </w:rPr>
              <w:t>-3.29</w:t>
            </w:r>
          </w:p>
        </w:tc>
      </w:tr>
      <w:tr>
        <w:trPr>
          <w:cantSplit/>
          <w:jc w:val="center"/>
        </w:trPr>
        <w:tc>
          <w:tcPr>
            <w:tcW w:w="900" w:type="pct"/>
            <w:tcBorders>
              <w:top w:val="single" w:sz="4" w:space="0" w:color="010000"/>
            </w:tcBorders>
            <w:vAlign w:val="center"/>
          </w:tcPr>
          <w:p>
            <w:pPr>
              <w:jc w:val="center"/>
            </w:pPr>
            <w:r/>
            <w:r>
              <w:rPr>
                <w:rFonts w:hint="eastAsia"/>
                <w:color w:val="000000"/>
                <w:sz w:val="21"/>
              </w:rPr>
              <w:t>深圳沛顿</w:t>
            </w:r>
          </w:p>
        </w:tc>
        <w:tc>
          <w:tcPr>
            <w:tcW w:w="2100" w:type="pct"/>
            <w:tcBorders>
              <w:top w:val="single" w:sz="4" w:space="0" w:color="010000"/>
            </w:tcBorders>
            <w:vAlign w:val="center"/>
          </w:tcPr>
          <w:p>
            <w:pPr>
              <w:jc w:val="left"/>
            </w:pPr>
            <w:r/>
            <w:r>
              <w:rPr>
                <w:rFonts w:hint="eastAsia"/>
                <w:color w:val="000000"/>
                <w:sz w:val="21"/>
              </w:rPr>
              <w:t>内存芯片制造及芯片封装、测试等</w:t>
            </w:r>
          </w:p>
        </w:tc>
        <w:tc>
          <w:tcPr>
            <w:tcW w:w="700" w:type="pct"/>
            <w:tcBorders>
              <w:top w:val="single" w:sz="4" w:space="0" w:color="010000"/>
            </w:tcBorders>
            <w:vAlign w:val="center"/>
          </w:tcPr>
          <w:p>
            <w:pPr>
              <w:jc w:val="right"/>
            </w:pPr>
            <w:r/>
            <w:r>
              <w:rPr>
                <w:rFonts w:hint="eastAsia"/>
                <w:color w:val="000000"/>
                <w:sz w:val="21"/>
              </w:rPr>
              <w:t>46.35</w:t>
            </w:r>
          </w:p>
        </w:tc>
        <w:tc>
          <w:tcPr>
            <w:tcW w:w="650" w:type="pct"/>
            <w:tcBorders>
              <w:top w:val="single" w:sz="4" w:space="0" w:color="010000"/>
            </w:tcBorders>
            <w:vAlign w:val="center"/>
          </w:tcPr>
          <w:p>
            <w:pPr>
              <w:jc w:val="right"/>
            </w:pPr>
            <w:r/>
            <w:r>
              <w:rPr>
                <w:rFonts w:hint="eastAsia"/>
                <w:color w:val="000000"/>
                <w:sz w:val="21"/>
              </w:rPr>
              <w:t>1.75</w:t>
            </w:r>
          </w:p>
        </w:tc>
        <w:tc>
          <w:tcPr>
            <w:tcW w:w="650" w:type="pct"/>
            <w:tcBorders>
              <w:top w:val="single" w:sz="4" w:space="0" w:color="010000"/>
            </w:tcBorders>
            <w:vAlign w:val="center"/>
          </w:tcPr>
          <w:p>
            <w:pPr>
              <w:jc w:val="right"/>
            </w:pPr>
            <w:r/>
            <w:r>
              <w:rPr>
                <w:rFonts w:hint="eastAsia"/>
                <w:color w:val="000000"/>
                <w:sz w:val="21"/>
              </w:rPr>
              <w:t>3.78</w:t>
            </w:r>
          </w:p>
        </w:tc>
      </w:tr>
      <w:tr>
        <w:trPr>
          <w:cantSplit/>
          <w:jc w:val="center"/>
        </w:trPr>
        <w:tc>
          <w:tcPr>
            <w:tcW w:w="900" w:type="pct"/>
            <w:tcBorders>
              <w:top w:val="single" w:sz="4" w:space="0" w:color="010000"/>
            </w:tcBorders>
            <w:vAlign w:val="center"/>
          </w:tcPr>
          <w:p>
            <w:pPr>
              <w:jc w:val="center"/>
            </w:pPr>
            <w:r/>
            <w:r>
              <w:rPr>
                <w:rFonts w:hint="eastAsia"/>
                <w:color w:val="000000"/>
                <w:sz w:val="21"/>
              </w:rPr>
              <w:t>深科技马来西亚</w:t>
            </w:r>
          </w:p>
        </w:tc>
        <w:tc>
          <w:tcPr>
            <w:tcW w:w="2100" w:type="pct"/>
            <w:tcBorders>
              <w:top w:val="single" w:sz="4" w:space="0" w:color="010000"/>
            </w:tcBorders>
            <w:vAlign w:val="center"/>
          </w:tcPr>
          <w:p>
            <w:pPr>
              <w:jc w:val="left"/>
            </w:pPr>
            <w:r/>
            <w:r>
              <w:rPr>
                <w:rFonts w:hint="eastAsia"/>
                <w:color w:val="000000"/>
                <w:sz w:val="21"/>
              </w:rPr>
              <w:t>开发、设计、生产电脑硬盘用线路板等电子部件</w:t>
            </w:r>
          </w:p>
        </w:tc>
        <w:tc>
          <w:tcPr>
            <w:tcW w:w="700" w:type="pct"/>
            <w:tcBorders>
              <w:top w:val="single" w:sz="4" w:space="0" w:color="010000"/>
            </w:tcBorders>
            <w:vAlign w:val="center"/>
          </w:tcPr>
          <w:p>
            <w:pPr>
              <w:jc w:val="right"/>
            </w:pPr>
            <w:r/>
            <w:r>
              <w:rPr>
                <w:rFonts w:hint="eastAsia"/>
                <w:color w:val="000000"/>
                <w:sz w:val="21"/>
              </w:rPr>
              <w:t>34.21</w:t>
            </w:r>
          </w:p>
        </w:tc>
        <w:tc>
          <w:tcPr>
            <w:tcW w:w="650" w:type="pct"/>
            <w:tcBorders>
              <w:top w:val="single" w:sz="4" w:space="0" w:color="010000"/>
            </w:tcBorders>
            <w:vAlign w:val="center"/>
          </w:tcPr>
          <w:p>
            <w:pPr>
              <w:jc w:val="right"/>
            </w:pPr>
            <w:r/>
            <w:r>
              <w:rPr>
                <w:rFonts w:hint="eastAsia"/>
                <w:color w:val="000000"/>
                <w:sz w:val="21"/>
              </w:rPr>
              <w:t>1.22</w:t>
            </w:r>
          </w:p>
        </w:tc>
        <w:tc>
          <w:tcPr>
            <w:tcW w:w="650" w:type="pct"/>
            <w:tcBorders>
              <w:top w:val="single" w:sz="4" w:space="0" w:color="010000"/>
            </w:tcBorders>
            <w:vAlign w:val="center"/>
          </w:tcPr>
          <w:p>
            <w:pPr>
              <w:jc w:val="right"/>
            </w:pPr>
            <w:r/>
            <w:r>
              <w:rPr>
                <w:rFonts w:hint="eastAsia"/>
                <w:color w:val="000000"/>
                <w:sz w:val="21"/>
              </w:rPr>
              <w:t>3.58</w:t>
            </w:r>
          </w:p>
        </w:tc>
      </w:tr>
      <w:tr>
        <w:trPr>
          <w:cantSplit/>
          <w:jc w:val="center"/>
        </w:trPr>
        <w:tc>
          <w:tcPr>
            <w:tcW w:w="900" w:type="pct"/>
            <w:tcBorders>
              <w:top w:val="single" w:sz="4" w:space="0" w:color="010000"/>
            </w:tcBorders>
            <w:vAlign w:val="center"/>
          </w:tcPr>
          <w:p>
            <w:pPr>
              <w:jc w:val="center"/>
            </w:pPr>
            <w:r/>
            <w:r>
              <w:rPr>
                <w:rFonts w:hint="eastAsia"/>
                <w:color w:val="000000"/>
                <w:sz w:val="21"/>
              </w:rPr>
              <w:t>深科技苏州</w:t>
            </w:r>
          </w:p>
        </w:tc>
        <w:tc>
          <w:tcPr>
            <w:tcW w:w="2100" w:type="pct"/>
            <w:tcBorders>
              <w:top w:val="single" w:sz="4" w:space="0" w:color="010000"/>
            </w:tcBorders>
            <w:vAlign w:val="center"/>
          </w:tcPr>
          <w:p>
            <w:pPr>
              <w:jc w:val="left"/>
            </w:pPr>
            <w:r/>
            <w:r>
              <w:rPr>
                <w:rFonts w:hint="eastAsia"/>
                <w:color w:val="000000"/>
                <w:sz w:val="21"/>
              </w:rPr>
              <w:t>开发、设计、生产大容量磁盘驱动器磁头、电脑硬盘用线路板等电子部件</w:t>
            </w:r>
          </w:p>
        </w:tc>
        <w:tc>
          <w:tcPr>
            <w:tcW w:w="700" w:type="pct"/>
            <w:tcBorders>
              <w:top w:val="single" w:sz="4" w:space="0" w:color="010000"/>
            </w:tcBorders>
            <w:vAlign w:val="center"/>
          </w:tcPr>
          <w:p>
            <w:pPr>
              <w:jc w:val="right"/>
            </w:pPr>
            <w:r/>
            <w:r>
              <w:rPr>
                <w:rFonts w:hint="eastAsia"/>
                <w:color w:val="000000"/>
                <w:sz w:val="21"/>
              </w:rPr>
              <w:t>30.70</w:t>
            </w:r>
          </w:p>
        </w:tc>
        <w:tc>
          <w:tcPr>
            <w:tcW w:w="650" w:type="pct"/>
            <w:tcBorders>
              <w:top w:val="single" w:sz="4" w:space="0" w:color="010000"/>
            </w:tcBorders>
            <w:vAlign w:val="center"/>
          </w:tcPr>
          <w:p>
            <w:pPr>
              <w:jc w:val="right"/>
            </w:pPr>
            <w:r/>
            <w:r>
              <w:rPr>
                <w:rFonts w:hint="eastAsia"/>
                <w:color w:val="000000"/>
                <w:sz w:val="21"/>
              </w:rPr>
              <w:t>0.69</w:t>
            </w:r>
          </w:p>
        </w:tc>
        <w:tc>
          <w:tcPr>
            <w:tcW w:w="650" w:type="pct"/>
            <w:tcBorders>
              <w:top w:val="single" w:sz="4" w:space="0" w:color="010000"/>
            </w:tcBorders>
            <w:vAlign w:val="center"/>
          </w:tcPr>
          <w:p>
            <w:pPr>
              <w:jc w:val="right"/>
            </w:pPr>
            <w:r/>
            <w:r>
              <w:rPr>
                <w:rFonts w:hint="eastAsia"/>
                <w:color w:val="000000"/>
                <w:sz w:val="21"/>
              </w:rPr>
              <w:t>2.24</w:t>
            </w:r>
          </w:p>
        </w:tc>
      </w:tr>
      <w:tr>
        <w:trPr>
          <w:cantSplit/>
          <w:jc w:val="center"/>
        </w:trPr>
        <w:tc>
          <w:tcPr>
            <w:tcW w:w="900" w:type="pct"/>
            <w:tcBorders>
              <w:top w:val="single" w:sz="4" w:space="0" w:color="010000"/>
            </w:tcBorders>
            <w:vAlign w:val="center"/>
          </w:tcPr>
          <w:p>
            <w:pPr>
              <w:jc w:val="center"/>
            </w:pPr>
            <w:r/>
            <w:r>
              <w:rPr>
                <w:rFonts w:hint="eastAsia"/>
                <w:color w:val="000000"/>
                <w:sz w:val="21"/>
              </w:rPr>
              <w:t>深科技成都（开发科技）</w:t>
            </w:r>
          </w:p>
        </w:tc>
        <w:tc>
          <w:tcPr>
            <w:tcW w:w="2100" w:type="pct"/>
            <w:tcBorders>
              <w:top w:val="single" w:sz="4" w:space="0" w:color="010000"/>
            </w:tcBorders>
            <w:vAlign w:val="center"/>
          </w:tcPr>
          <w:p>
            <w:pPr>
              <w:jc w:val="left"/>
            </w:pPr>
            <w:r/>
            <w:r>
              <w:rPr>
                <w:rFonts w:hint="eastAsia"/>
                <w:color w:val="000000"/>
                <w:sz w:val="21"/>
              </w:rPr>
              <w:t>从事智能电表等相关电力计量业务</w:t>
            </w:r>
          </w:p>
        </w:tc>
        <w:tc>
          <w:tcPr>
            <w:tcW w:w="700" w:type="pct"/>
            <w:tcBorders>
              <w:top w:val="single" w:sz="4" w:space="0" w:color="010000"/>
            </w:tcBorders>
            <w:vAlign w:val="center"/>
          </w:tcPr>
          <w:p>
            <w:pPr>
              <w:jc w:val="right"/>
            </w:pPr>
            <w:r/>
            <w:r>
              <w:rPr>
                <w:rFonts w:hint="eastAsia"/>
                <w:color w:val="000000"/>
                <w:sz w:val="21"/>
              </w:rPr>
              <w:t>30.22</w:t>
            </w:r>
          </w:p>
        </w:tc>
        <w:tc>
          <w:tcPr>
            <w:tcW w:w="650" w:type="pct"/>
            <w:tcBorders>
              <w:top w:val="single" w:sz="4" w:space="0" w:color="010000"/>
            </w:tcBorders>
            <w:vAlign w:val="center"/>
          </w:tcPr>
          <w:p>
            <w:pPr>
              <w:jc w:val="right"/>
            </w:pPr>
            <w:r/>
            <w:r>
              <w:rPr>
                <w:rFonts w:hint="eastAsia"/>
                <w:color w:val="000000"/>
                <w:sz w:val="21"/>
              </w:rPr>
              <w:t>7.07</w:t>
            </w:r>
          </w:p>
        </w:tc>
        <w:tc>
          <w:tcPr>
            <w:tcW w:w="650" w:type="pct"/>
            <w:tcBorders>
              <w:top w:val="single" w:sz="4" w:space="0" w:color="010000"/>
            </w:tcBorders>
            <w:vAlign w:val="center"/>
          </w:tcPr>
          <w:p>
            <w:pPr>
              <w:jc w:val="right"/>
            </w:pPr>
            <w:r/>
            <w:r>
              <w:rPr>
                <w:rFonts w:hint="eastAsia"/>
                <w:color w:val="000000"/>
                <w:sz w:val="21"/>
              </w:rPr>
              <w:t>23.40</w:t>
            </w:r>
          </w:p>
        </w:tc>
      </w:tr>
      <w:tr>
        <w:trPr>
          <w:cantSplit/>
          <w:jc w:val="center"/>
        </w:trPr>
        <w:tc>
          <w:tcPr>
            <w:tcW w:w="900" w:type="pct"/>
            <w:tcBorders>
              <w:top w:val="single" w:sz="4" w:space="0" w:color="010000"/>
            </w:tcBorders>
            <w:vAlign w:val="center"/>
          </w:tcPr>
          <w:p>
            <w:pPr>
              <w:jc w:val="center"/>
            </w:pPr>
            <w:r/>
            <w:r>
              <w:rPr>
                <w:rFonts w:hint="eastAsia"/>
                <w:color w:val="000000"/>
                <w:sz w:val="21"/>
              </w:rPr>
              <w:t>深科技精密</w:t>
            </w:r>
          </w:p>
        </w:tc>
        <w:tc>
          <w:tcPr>
            <w:tcW w:w="2100" w:type="pct"/>
            <w:tcBorders>
              <w:top w:val="single" w:sz="4" w:space="0" w:color="010000"/>
            </w:tcBorders>
            <w:vAlign w:val="center"/>
          </w:tcPr>
          <w:p>
            <w:pPr>
              <w:jc w:val="left"/>
            </w:pPr>
            <w:r/>
            <w:r>
              <w:rPr>
                <w:rFonts w:hint="eastAsia"/>
                <w:color w:val="000000"/>
                <w:sz w:val="21"/>
              </w:rPr>
              <w:t>从事硬盘盘基片的开发、研制、生产和销售等</w:t>
            </w:r>
          </w:p>
        </w:tc>
        <w:tc>
          <w:tcPr>
            <w:tcW w:w="700" w:type="pct"/>
            <w:tcBorders>
              <w:top w:val="single" w:sz="4" w:space="0" w:color="010000"/>
            </w:tcBorders>
            <w:vAlign w:val="center"/>
          </w:tcPr>
          <w:p>
            <w:pPr>
              <w:jc w:val="right"/>
            </w:pPr>
            <w:r/>
            <w:r>
              <w:rPr>
                <w:rFonts w:hint="eastAsia"/>
                <w:color w:val="000000"/>
                <w:sz w:val="21"/>
              </w:rPr>
              <w:t>9.47</w:t>
            </w:r>
          </w:p>
        </w:tc>
        <w:tc>
          <w:tcPr>
            <w:tcW w:w="650" w:type="pct"/>
            <w:tcBorders>
              <w:top w:val="single" w:sz="4" w:space="0" w:color="010000"/>
            </w:tcBorders>
            <w:vAlign w:val="center"/>
          </w:tcPr>
          <w:p>
            <w:pPr>
              <w:jc w:val="right"/>
            </w:pPr>
            <w:r/>
            <w:r>
              <w:rPr>
                <w:rFonts w:hint="eastAsia"/>
                <w:color w:val="000000"/>
                <w:sz w:val="21"/>
              </w:rPr>
              <w:t>2.15</w:t>
            </w:r>
          </w:p>
        </w:tc>
        <w:tc>
          <w:tcPr>
            <w:tcW w:w="650" w:type="pct"/>
            <w:tcBorders>
              <w:top w:val="single" w:sz="4" w:space="0" w:color="010000"/>
            </w:tcBorders>
            <w:vAlign w:val="center"/>
          </w:tcPr>
          <w:p>
            <w:pPr>
              <w:jc w:val="right"/>
            </w:pPr>
            <w:r/>
            <w:r>
              <w:rPr>
                <w:rFonts w:hint="eastAsia"/>
                <w:color w:val="000000"/>
                <w:sz w:val="21"/>
              </w:rPr>
              <w:t>22.75</w:t>
            </w:r>
          </w:p>
        </w:tc>
      </w:tr>
    </w:tbl>
    <w:p>
      <w:pPr>
        <w:pStyle w:val="a6"/>
        <w:jc w:val="center"/>
      </w:pPr>
      <w:r>
        <w:rPr>
          <w:rFonts w:hint="eastAsia"/>
          <w:sz w:val="11"/>
          <w:szCs w:val="11"/>
        </w:rPr>
        <w:t>资料来源：深科技2025年年度报告，本报告整理。注：上表为子公司单体报表口径，包含合并范围内部交易，与合并报表的分产品收入不可直接比较。净利率为按净利润除以营业收入计算，非年报直接披露值。合肥沛顿存储未达年报主要子公司列示标准，未在表中列示。</w:t>
      </w:r>
    </w:p>
    <w:p>
      <w:pPr>
        <w:keepNext/>
        <w:jc w:val="center"/>
      </w:pPr>
      <w:r>
        <w:drawing>
          <wp:inline xmlns:a="http://schemas.openxmlformats.org/drawingml/2006/main" xmlns:pic="http://schemas.openxmlformats.org/drawingml/2006/picture">
            <wp:extent cx="5074920" cy="2331335"/>
            <wp:docPr id="2" name="Picture 2"/>
            <wp:cNvGraphicFramePr>
              <a:graphicFrameLocks noChangeAspect="1"/>
            </wp:cNvGraphicFramePr>
            <a:graphic>
              <a:graphicData uri="http://schemas.openxmlformats.org/drawingml/2006/picture">
                <pic:pic>
                  <pic:nvPicPr>
                    <pic:cNvPr id="0" name="fig_subs.png"/>
                    <pic:cNvPicPr/>
                  </pic:nvPicPr>
                  <pic:blipFill>
                    <a:blip r:embed="rId17"/>
                    <a:stretch>
                      <a:fillRect/>
                    </a:stretch>
                  </pic:blipFill>
                  <pic:spPr>
                    <a:xfrm>
                      <a:off x="0" y="0"/>
                      <a:ext cx="5074920" cy="2331335"/>
                    </a:xfrm>
                    <a:prstGeom prst="rect"/>
                  </pic:spPr>
                </pic:pic>
              </a:graphicData>
            </a:graphic>
          </wp:inline>
        </w:drawing>
      </w:r>
    </w:p>
    <w:p>
      <w:pPr>
        <w:jc w:val="center"/>
      </w:pPr>
      <w:r>
        <w:rPr>
          <w:rFonts w:hint="eastAsia"/>
          <w:b/>
          <w:sz w:val="21"/>
        </w:rPr>
        <w:t>图2  深科技主要控股子公司营业收入与净利率（2025年）</w:t>
      </w:r>
    </w:p>
    <w:p>
      <w:pPr>
        <w:pStyle w:val="a6"/>
        <w:jc w:val="center"/>
      </w:pPr>
      <w:r>
        <w:rPr>
          <w:rFonts w:hint="eastAsia"/>
          <w:sz w:val="11"/>
          <w:szCs w:val="11"/>
        </w:rPr>
        <w:t>资料来源：深科技2025年年度报告，本报告整理</w:t>
      </w:r>
    </w:p>
    <w:p>
      <w:pPr>
        <w:pStyle w:val="a0"/>
      </w:pPr>
      <w:r>
        <w:rPr>
          <w:rFonts w:hint="eastAsia"/>
        </w:rPr>
        <w:t>按子公司单体口径，深圳沛顿2025年实现营业收入46.35亿元、净利润1.75亿元，净利率3.78%；同期深科技成都（开发科技）营业收入30.22亿元、净利润7.07亿元，净利率23.40%；深科技精密营业收入9.47亿元、净利润2.15亿元，净利率22.75%。公司当年归母净利润为11.36亿元。</w:t>
      </w:r>
    </w:p>
    <w:p>
      <w:pPr>
        <w:pStyle w:val="a0"/>
      </w:pPr>
      <w:r>
        <w:rPr>
          <w:rFonts w:hint="eastAsia"/>
        </w:rPr>
        <w:t>资本化方面，公司控股子公司开发科技于2025年3月28日在北京证券交易所上市，全额行使超额配售选择权后发行3,848.6667万股，募集资金总额11.69亿元，保荐机构为华泰联合证券。</w:t>
      </w:r>
    </w:p>
    <w:p>
      <w:pPr>
        <w:pStyle w:val="3"/>
        <w:numPr>
          <w:ilvl w:val="0"/>
          <w:numId w:val="0"/>
        </w:numPr>
        <w:spacing w:before="156" w:after="156"/>
      </w:pPr>
      <w:bookmarkStart w:id="1005" w:name="_Toc900005"/>
      <w:r>
        <w:rPr>
          <w:rFonts w:hint="eastAsia"/>
        </w:rPr>
        <w:t>8.3 关注要点</w:t>
      </w:r>
      <w:bookmarkEnd w:id="1005"/>
    </w:p>
    <w:p>
      <w:pPr>
        <w:pStyle w:val="a0"/>
      </w:pPr>
      <w:r>
        <w:rPr>
          <w:rFonts w:hint="eastAsia"/>
        </w:rPr>
        <w:t>第一，存储半导体业务的内部构成。该科目同时包含存储芯片封测与硬盘磁头、盘基片两类业务，年报未披露拆分，且两者所处产业环节与景气方向不同。需了解2025年40.91亿元收入中封测业务的具体占比，以及磁头、盘基片业务的规划。</w:t>
      </w:r>
    </w:p>
    <w:p>
      <w:pPr>
        <w:pStyle w:val="a0"/>
      </w:pPr>
      <w:r>
        <w:rPr>
          <w:rFonts w:hint="eastAsia"/>
        </w:rPr>
        <w:t>第二，销售量与营业收入的增速差异。2025年公司销售量15.57亿个，同比增长46.63%；生产量15.65亿个，同比增长46.87%；同期营业收入同比增长6.21%。年报未就该差异作出说明，需了解其成因及在各业务板块之间的分布。</w:t>
      </w:r>
    </w:p>
    <w:p>
      <w:pPr>
        <w:pStyle w:val="a0"/>
      </w:pPr>
      <w:r>
        <w:rPr>
          <w:rFonts w:hint="eastAsia"/>
        </w:rPr>
        <w:t>第三，存储涨价向封测环节的传导。2025年DXI指数由年初的44,822点上行至年末的466,011点，同期深圳沛顿净利率为3.78%，存储半导体业务毛利率为20.40%，较2024年的21.26%略有下降。需了解封测环节在本轮价格上行中的定价机制与成本传导方式。</w:t>
      </w:r>
    </w:p>
    <w:p>
      <w:pPr>
        <w:keepNext/>
        <w:jc w:val="center"/>
      </w:pPr>
      <w:r>
        <w:drawing>
          <wp:inline xmlns:a="http://schemas.openxmlformats.org/drawingml/2006/main" xmlns:pic="http://schemas.openxmlformats.org/drawingml/2006/picture">
            <wp:extent cx="5074920" cy="2334463"/>
            <wp:docPr id="3" name="Picture 3"/>
            <wp:cNvGraphicFramePr>
              <a:graphicFrameLocks noChangeAspect="1"/>
            </wp:cNvGraphicFramePr>
            <a:graphic>
              <a:graphicData uri="http://schemas.openxmlformats.org/drawingml/2006/picture">
                <pic:pic>
                  <pic:nvPicPr>
                    <pic:cNvPr id="0" name="fig_dxi.png"/>
                    <pic:cNvPicPr/>
                  </pic:nvPicPr>
                  <pic:blipFill>
                    <a:blip r:embed="rId18"/>
                    <a:stretch>
                      <a:fillRect/>
                    </a:stretch>
                  </pic:blipFill>
                  <pic:spPr>
                    <a:xfrm>
                      <a:off x="0" y="0"/>
                      <a:ext cx="5074920" cy="2334463"/>
                    </a:xfrm>
                    <a:prstGeom prst="rect"/>
                  </pic:spPr>
                </pic:pic>
              </a:graphicData>
            </a:graphic>
          </wp:inline>
        </w:drawing>
      </w:r>
    </w:p>
    <w:p>
      <w:pPr>
        <w:jc w:val="center"/>
      </w:pPr>
      <w:r>
        <w:rPr>
          <w:rFonts w:hint="eastAsia"/>
          <w:b/>
          <w:sz w:val="21"/>
        </w:rPr>
        <w:t>图3  DXI指数走势（2020年1月—2026年8月）</w:t>
      </w:r>
    </w:p>
    <w:p>
      <w:pPr>
        <w:pStyle w:val="a6"/>
        <w:jc w:val="center"/>
      </w:pPr>
      <w:r>
        <w:rPr>
          <w:rFonts w:hint="eastAsia"/>
          <w:sz w:val="11"/>
          <w:szCs w:val="11"/>
        </w:rPr>
        <w:t>数据来源：DRAMexchange，Wind整理成果，本报告整理。注：指标ID S5617348，日频，单位为点；纵轴采用对数刻度。</w:t>
      </w:r>
    </w:p>
    <w:p>
      <w:pPr>
        <w:pStyle w:val="a0"/>
      </w:pPr>
      <w:r>
        <w:rPr>
          <w:rFonts w:hint="eastAsia"/>
        </w:rPr>
        <w:t>第四，扩产项目的回报周期与行业周期的匹配。两个新建项目的税前投资回收期分别为8.63年与8.84年，公司同时提示扩产后资产负债率预计提升4%至5%。需了解项目的产能爬坡节奏、客户订单锁定情况与折旧政策。</w:t>
      </w:r>
    </w:p>
    <w:p>
      <w:pPr>
        <w:pStyle w:val="a0"/>
      </w:pPr>
      <w:r>
        <w:rPr>
          <w:rFonts w:hint="eastAsia"/>
        </w:rPr>
        <w:t>第五，客户结构。2025年公司前五名客户合计销售金额90.16亿元，占年度销售总额57.25%，其中第一大客户销售额32.19亿元，占比20.44%。年报以序号匿名列示，未披露客户名称。需了解存储封测业务的客户构成与主要客户的合作年限、结算方式。</w:t>
      </w:r>
    </w:p>
    <w:p>
      <w:pPr>
        <w:pStyle w:val="a0"/>
      </w:pPr>
      <w:r>
        <w:rPr>
          <w:rFonts w:hint="eastAsia"/>
        </w:rPr>
        <w:t>第六，产能与设备。2026年5月的两个项目合计新增封测设备约510台（套），其中深圳沛顿约185台（套）、合肥沛顿存储约325台（套），深圳沛顿项目设备投资6.04亿元。需了解设备来源、国产化比例与交付周期。</w:t>
      </w:r>
    </w:p>
    <w:p>
      <w:pPr>
        <w:pStyle w:val="3"/>
        <w:numPr>
          <w:ilvl w:val="0"/>
          <w:numId w:val="0"/>
        </w:numPr>
        <w:spacing w:before="156" w:after="156"/>
      </w:pPr>
      <w:bookmarkStart w:id="1006" w:name="_Toc900006"/>
      <w:r>
        <w:rPr>
          <w:rFonts w:hint="eastAsia"/>
        </w:rPr>
        <w:t>8.4 初步判断</w:t>
      </w:r>
      <w:bookmarkEnd w:id="1006"/>
    </w:p>
    <w:p>
      <w:pPr>
        <w:pStyle w:val="a0"/>
      </w:pPr>
      <w:r>
        <w:rPr>
          <w:rFonts w:hint="eastAsia"/>
        </w:rPr>
        <w:t>深科技在存储封测环节具备明确的经营主体与持续的产能投入：存储半导体业务收入五年增长41.8%，占营业收入比重提升8.48个百分点；2025年11月至2026年5月连续两轮扩产合计投资22.10亿元；承担合肥项目的合肥沛顿存储引入国家集成电路产业投资基金二期作为持股31.05%的股东。</w:t>
      </w:r>
    </w:p>
    <w:p>
      <w:pPr>
        <w:pStyle w:val="a0"/>
      </w:pPr>
      <w:r>
        <w:rPr>
          <w:rFonts w:hint="eastAsia"/>
        </w:rPr>
        <w:t>同时，公司当前的利润结构与存储业务的收入结构并不一致。2025年归母净利润11.36亿元，其中深科技成都（开发科技）单体净利润7.07亿元；承担存储封测的深圳沛顿单体净利润1.75亿元，净利率3.78%。存储业务是公司近两年收入增长的主要来源，但尚未成为利润的主要来源。</w:t>
      </w:r>
    </w:p>
    <w:p>
      <w:pPr>
        <w:pStyle w:val="a0"/>
      </w:pPr>
      <w:r>
        <w:rPr>
          <w:rFonts w:hint="eastAsia"/>
        </w:rPr>
        <w:t>上述两点构成后续跟进的基本方向：一是本轮存储价格上行能否传导至封测环节的盈利水平，二是22.10亿元扩产形成的产能在2027年前后释放时所对应的市场环境。</w:t>
      </w:r>
    </w:p>
    <w:sectPr w:rsidR="004A0C46">
      <w:pgSz w:w="11906" w:h="16838"/>
      <w:pgMar w:top="1440" w:right="1800" w:bottom="1440" w:left="1800" w:header="720" w:footer="72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406E93" w14:textId="77777777" w:rsidR="00587D39" w:rsidRDefault="00587D39">
      <w:r>
        <w:separator/>
      </w:r>
    </w:p>
  </w:endnote>
  <w:endnote w:type="continuationSeparator" w:id="0">
    <w:p w14:paraId="4850330F" w14:textId="77777777" w:rsidR="00587D39" w:rsidRDefault="00587D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84E0A" w14:textId="459487C3" w:rsidR="004A0C46" w:rsidRDefault="004A0C46" w:rsidP="000E155A">
    <w:pPr>
      <w:pStyle w:val="a8"/>
      <w:jc w:val="center"/>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0811145"/>
      <w:docPartObj>
        <w:docPartGallery w:val="Page Numbers (Bottom of Page)"/>
        <w:docPartUnique/>
      </w:docPartObj>
    </w:sdtPr>
    <w:sdtEndPr>
      <w:rPr>
        <w:rFonts w:ascii="Times New Roman" w:eastAsia="宋体" w:hAnsi="Times New Roman"/>
        <w:sz w:val="21"/>
        <w:szCs w:val="21"/>
      </w:rPr>
    </w:sdtEndPr>
    <w:sdtContent>
      <w:p w14:paraId="72B0EFA0" w14:textId="77777777" w:rsidR="000E155A" w:rsidRPr="000E155A" w:rsidRDefault="000E155A" w:rsidP="000E155A">
        <w:pPr>
          <w:pStyle w:val="a8"/>
          <w:jc w:val="center"/>
          <w:rPr>
            <w:rFonts w:ascii="Times New Roman" w:eastAsia="宋体" w:hAnsi="Times New Roman" w:hint="eastAsia"/>
            <w:sz w:val="21"/>
            <w:szCs w:val="21"/>
          </w:rPr>
        </w:pPr>
        <w:r w:rsidRPr="000E155A">
          <w:rPr>
            <w:rFonts w:ascii="Times New Roman" w:eastAsia="宋体" w:hAnsi="Times New Roman"/>
            <w:sz w:val="21"/>
            <w:szCs w:val="21"/>
          </w:rPr>
          <w:fldChar w:fldCharType="begin"/>
        </w:r>
        <w:r w:rsidRPr="000E155A">
          <w:rPr>
            <w:rFonts w:ascii="Times New Roman" w:eastAsia="宋体" w:hAnsi="Times New Roman"/>
            <w:sz w:val="21"/>
            <w:szCs w:val="21"/>
          </w:rPr>
          <w:instrText>PAGE   \* MERGEFORMAT</w:instrText>
        </w:r>
        <w:r w:rsidRPr="000E155A">
          <w:rPr>
            <w:rFonts w:ascii="Times New Roman" w:eastAsia="宋体" w:hAnsi="Times New Roman"/>
            <w:sz w:val="21"/>
            <w:szCs w:val="21"/>
          </w:rPr>
          <w:fldChar w:fldCharType="separate"/>
        </w:r>
        <w:r w:rsidRPr="000E155A">
          <w:rPr>
            <w:rFonts w:ascii="Times New Roman" w:eastAsia="宋体" w:hAnsi="Times New Roman"/>
            <w:sz w:val="21"/>
            <w:szCs w:val="21"/>
            <w:lang w:val="zh-CN"/>
          </w:rPr>
          <w:t>2</w:t>
        </w:r>
        <w:r w:rsidRPr="000E155A">
          <w:rPr>
            <w:rFonts w:ascii="Times New Roman" w:eastAsia="宋体" w:hAnsi="Times New Roman"/>
            <w:sz w:val="21"/>
            <w:szCs w:val="21"/>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D5E1C9" w14:textId="77777777" w:rsidR="00587D39" w:rsidRDefault="00587D39">
      <w:r>
        <w:separator/>
      </w:r>
    </w:p>
  </w:footnote>
  <w:footnote w:type="continuationSeparator" w:id="0">
    <w:p w14:paraId="50F506F9" w14:textId="77777777" w:rsidR="00587D39" w:rsidRDefault="00587D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B79DB93"/>
    <w:multiLevelType w:val="singleLevel"/>
    <w:tmpl w:val="05D40FFA"/>
    <w:lvl w:ilvl="0">
      <w:start w:val="1"/>
      <w:numFmt w:val="chineseCounting"/>
      <w:suff w:val="nothing"/>
      <w:lvlText w:val="%1、"/>
      <w:lvlJc w:val="left"/>
      <w:rPr>
        <w:rFonts w:hint="eastAsia"/>
      </w:rPr>
    </w:lvl>
  </w:abstractNum>
  <w:abstractNum w:abstractNumId="1" w15:restartNumberingAfterBreak="0">
    <w:nsid w:val="211E2CC6"/>
    <w:multiLevelType w:val="multilevel"/>
    <w:tmpl w:val="54FE1F4C"/>
    <w:lvl w:ilvl="0">
      <w:start w:val="1"/>
      <w:numFmt w:val="chineseCounting"/>
      <w:lvlRestart w:val="0"/>
      <w:pStyle w:val="1"/>
      <w:suff w:val="space"/>
      <w:lvlText w:val="第%1节"/>
      <w:lvlJc w:val="left"/>
      <w:pPr>
        <w:ind w:left="0" w:firstLine="0"/>
      </w:pPr>
      <w:rPr>
        <w:rFonts w:ascii="黑体" w:eastAsia="黑体" w:hAnsi="黑体" w:hint="eastAsia"/>
        <w:b w:val="0"/>
        <w:i w:val="0"/>
        <w:sz w:val="32"/>
      </w:rPr>
    </w:lvl>
    <w:lvl w:ilvl="1">
      <w:start w:val="1"/>
      <w:numFmt w:val="chineseCounting"/>
      <w:pStyle w:val="2"/>
      <w:suff w:val="nothing"/>
      <w:lvlText w:val="%2、"/>
      <w:lvlJc w:val="left"/>
      <w:pPr>
        <w:ind w:left="0" w:firstLine="0"/>
      </w:pPr>
      <w:rPr>
        <w:rFonts w:hint="default"/>
        <w:b w:val="0"/>
        <w:i w:val="0"/>
        <w:sz w:val="28"/>
      </w:rPr>
    </w:lvl>
    <w:lvl w:ilvl="2">
      <w:start w:val="1"/>
      <w:numFmt w:val="chineseCounting"/>
      <w:pStyle w:val="3"/>
      <w:suff w:val="nothing"/>
      <w:lvlText w:val="（%3）"/>
      <w:lvlJc w:val="left"/>
      <w:pPr>
        <w:ind w:left="0" w:firstLine="0"/>
      </w:pPr>
      <w:rPr>
        <w:rFonts w:ascii="Times New Roman" w:hAnsi="Times New Roman" w:cs="Times New Roman" w:hint="default"/>
        <w:b w:val="0"/>
        <w:bCs w:val="0"/>
        <w:i w:val="0"/>
        <w:iCs w:val="0"/>
        <w:caps w:val="0"/>
        <w:smallCaps w:val="0"/>
        <w:strike w:val="0"/>
        <w:dstrike w:val="0"/>
        <w:outline w:val="0"/>
        <w:shadow w:val="0"/>
        <w:emboss w:val="0"/>
        <w:imprint w:val="0"/>
        <w:vanish w:val="0"/>
        <w:spacing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4"/>
      <w:suff w:val="nothing"/>
      <w:lvlText w:val="%4、"/>
      <w:lvlJc w:val="left"/>
      <w:pPr>
        <w:ind w:left="0" w:firstLine="0"/>
      </w:pPr>
      <w:rPr>
        <w:rFonts w:ascii="Times New Roman" w:hAnsi="Times New Roman" w:cs="Times New Roman" w:hint="default"/>
        <w:b/>
        <w:i w:val="0"/>
        <w:sz w:val="24"/>
      </w:rPr>
    </w:lvl>
    <w:lvl w:ilvl="4">
      <w:start w:val="1"/>
      <w:numFmt w:val="decimal"/>
      <w:pStyle w:val="5"/>
      <w:suff w:val="nothing"/>
      <w:lvlText w:val="（%5）"/>
      <w:lvlJc w:val="left"/>
      <w:pPr>
        <w:ind w:left="0" w:firstLine="0"/>
      </w:pPr>
      <w:rPr>
        <w:rFonts w:hint="default"/>
        <w:b w:val="0"/>
        <w:bCs w:val="0"/>
        <w:i w:val="0"/>
        <w:iCs w:val="0"/>
        <w:caps w:val="0"/>
        <w:smallCaps w:val="0"/>
        <w:strike w:val="0"/>
        <w:dstrike w:val="0"/>
        <w:outline w:val="0"/>
        <w:shadow w:val="0"/>
        <w:emboss w:val="0"/>
        <w:imprint w:val="0"/>
        <w:noProof w:val="0"/>
        <w:vanish w:val="0"/>
        <w:spacing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6"/>
      <w:suff w:val="nothing"/>
      <w:lvlText w:val="%6）"/>
      <w:lvlJc w:val="left"/>
      <w:pPr>
        <w:ind w:left="0" w:firstLine="0"/>
      </w:pPr>
      <w:rPr>
        <w:rFonts w:ascii="Times New Roman" w:hAnsi="Times New Roman" w:cs="Times New Roman" w:hint="default"/>
        <w:b w:val="0"/>
        <w:i w:val="0"/>
        <w:sz w:val="24"/>
        <w:u w:val="none"/>
        <w:em w:val="none"/>
      </w:rPr>
    </w:lvl>
    <w:lvl w:ilvl="6">
      <w:start w:val="1"/>
      <w:numFmt w:val="decimalEnclosedCircle"/>
      <w:pStyle w:val="7"/>
      <w:suff w:val="nothing"/>
      <w:lvlText w:val="%7"/>
      <w:lvlJc w:val="left"/>
      <w:pPr>
        <w:ind w:left="0" w:firstLine="0"/>
      </w:pPr>
      <w:rPr>
        <w:rFonts w:ascii="Times New Roman" w:hAnsi="Times New Roman" w:cs="Times New Roman" w:hint="default"/>
        <w:b w:val="0"/>
        <w:i w:val="0"/>
        <w:sz w:val="24"/>
        <w:lang w:val="en-US"/>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4CFD45B3"/>
    <w:multiLevelType w:val="multilevel"/>
    <w:tmpl w:val="4718CA14"/>
    <w:lvl w:ilvl="0">
      <w:start w:val="1"/>
      <w:numFmt w:val="chineseCounting"/>
      <w:lvlRestart w:val="0"/>
      <w:suff w:val="space"/>
      <w:lvlText w:val="第%1节"/>
      <w:lvlJc w:val="left"/>
      <w:pPr>
        <w:ind w:left="0" w:firstLine="0"/>
      </w:pPr>
      <w:rPr>
        <w:rFonts w:ascii="黑体" w:eastAsia="黑体" w:hAnsi="黑体" w:hint="eastAsia"/>
        <w:b w:val="0"/>
        <w:i w:val="0"/>
        <w:sz w:val="32"/>
      </w:rPr>
    </w:lvl>
    <w:lvl w:ilvl="1">
      <w:start w:val="1"/>
      <w:numFmt w:val="chineseCounting"/>
      <w:suff w:val="nothing"/>
      <w:lvlText w:val="%2、"/>
      <w:lvlJc w:val="left"/>
      <w:pPr>
        <w:ind w:left="0" w:firstLine="0"/>
      </w:pPr>
      <w:rPr>
        <w:rFonts w:ascii="黑体" w:eastAsia="黑体" w:hAnsi="黑体" w:hint="eastAsia"/>
        <w:b w:val="0"/>
        <w:sz w:val="28"/>
      </w:rPr>
    </w:lvl>
    <w:lvl w:ilvl="2">
      <w:start w:val="1"/>
      <w:numFmt w:val="chineseCounting"/>
      <w:suff w:val="nothing"/>
      <w:lvlText w:val="（%3）"/>
      <w:lvlJc w:val="left"/>
      <w:pPr>
        <w:ind w:left="0" w:firstLine="0"/>
      </w:pPr>
      <w:rPr>
        <w:rFonts w:ascii="Times New Roman" w:hAnsi="Times New Roman" w:cs="Times New Roman"/>
        <w:b w:val="0"/>
        <w:sz w:val="24"/>
      </w:rPr>
    </w:lvl>
    <w:lvl w:ilvl="3">
      <w:start w:val="1"/>
      <w:numFmt w:val="decimal"/>
      <w:suff w:val="nothing"/>
      <w:lvlText w:val="%4、"/>
      <w:lvlJc w:val="left"/>
      <w:pPr>
        <w:ind w:left="0" w:firstLine="0"/>
      </w:pPr>
      <w:rPr>
        <w:rFonts w:ascii="Times New Roman" w:hAnsi="Times New Roman" w:cs="Times New Roman"/>
        <w:b/>
        <w:sz w:val="24"/>
      </w:rPr>
    </w:lvl>
    <w:lvl w:ilvl="4">
      <w:start w:val="1"/>
      <w:numFmt w:val="decimal"/>
      <w:suff w:val="nothing"/>
      <w:lvlText w:val="（%5）"/>
      <w:lvlJc w:val="left"/>
      <w:pPr>
        <w:ind w:left="0" w:firstLine="0"/>
      </w:pPr>
      <w:rPr>
        <w:rFonts w:ascii="Times New Roman" w:hAnsi="Times New Roman" w:cs="Times New Roman"/>
        <w:b w:val="0"/>
        <w:sz w:val="24"/>
      </w:rPr>
    </w:lvl>
    <w:lvl w:ilvl="5">
      <w:start w:val="1"/>
      <w:numFmt w:val="decimal"/>
      <w:suff w:val="nothing"/>
      <w:lvlText w:val="%6）"/>
      <w:lvlJc w:val="left"/>
      <w:pPr>
        <w:ind w:left="0" w:firstLine="0"/>
      </w:pPr>
      <w:rPr>
        <w:rFonts w:ascii="Times New Roman" w:hAnsi="Times New Roman" w:cs="Times New Roman"/>
        <w:b w:val="0"/>
        <w:sz w:val="24"/>
      </w:rPr>
    </w:lvl>
    <w:lvl w:ilvl="6">
      <w:start w:val="1"/>
      <w:numFmt w:val="decimalEnclosedCircle"/>
      <w:suff w:val="nothing"/>
      <w:lvlText w:val="%7"/>
      <w:lvlJc w:val="left"/>
      <w:pPr>
        <w:ind w:left="0" w:firstLine="0"/>
      </w:pPr>
      <w:rPr>
        <w:rFonts w:ascii="Times New Roman" w:hAnsi="Times New Roman" w:cs="Times New Roman"/>
        <w:b w:val="0"/>
        <w:sz w:val="24"/>
      </w:r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16cid:durableId="1009019390">
    <w:abstractNumId w:val="0"/>
  </w:num>
  <w:num w:numId="2" w16cid:durableId="748382803">
    <w:abstractNumId w:val="1"/>
  </w:num>
  <w:num w:numId="3" w16cid:durableId="1148666522">
    <w:abstractNumId w:val="1"/>
  </w:num>
  <w:num w:numId="4" w16cid:durableId="1149790210">
    <w:abstractNumId w:val="1"/>
  </w:num>
  <w:num w:numId="5" w16cid:durableId="1733045307">
    <w:abstractNumId w:val="1"/>
  </w:num>
  <w:num w:numId="6" w16cid:durableId="138157883">
    <w:abstractNumId w:val="1"/>
  </w:num>
  <w:num w:numId="7" w16cid:durableId="1450584076">
    <w:abstractNumId w:val="1"/>
  </w:num>
  <w:num w:numId="8" w16cid:durableId="4719513">
    <w:abstractNumId w:val="1"/>
  </w:num>
  <w:num w:numId="9" w16cid:durableId="408430222">
    <w:abstractNumId w:val="2"/>
  </w:num>
  <w:num w:numId="10" w16cid:durableId="1237394881">
    <w:abstractNumId w:val="1"/>
  </w:num>
  <w:num w:numId="11" w16cid:durableId="653611128">
    <w:abstractNumId w:val="1"/>
  </w:num>
  <w:num w:numId="12" w16cid:durableId="1363748588">
    <w:abstractNumId w:val="1"/>
  </w:num>
  <w:num w:numId="13" w16cid:durableId="1630043532">
    <w:abstractNumId w:val="1"/>
  </w:num>
  <w:num w:numId="14" w16cid:durableId="972950653">
    <w:abstractNumId w:val="1"/>
  </w:num>
  <w:num w:numId="15" w16cid:durableId="1214850664">
    <w:abstractNumId w:val="1"/>
  </w:num>
  <w:num w:numId="16" w16cid:durableId="370418407">
    <w:abstractNumId w:val="1"/>
  </w:num>
  <w:num w:numId="17" w16cid:durableId="597367823">
    <w:abstractNumId w:val="1"/>
  </w:num>
  <w:num w:numId="18" w16cid:durableId="1243833782">
    <w:abstractNumId w:val="1"/>
  </w:num>
  <w:num w:numId="19" w16cid:durableId="1207722889">
    <w:abstractNumId w:val="1"/>
  </w:num>
  <w:num w:numId="20" w16cid:durableId="1554660264">
    <w:abstractNumId w:val="1"/>
  </w:num>
  <w:num w:numId="21" w16cid:durableId="1780833768">
    <w:abstractNumId w:val="1"/>
  </w:num>
  <w:num w:numId="22" w16cid:durableId="1908758277">
    <w:abstractNumId w:val="1"/>
  </w:num>
  <w:num w:numId="23" w16cid:durableId="1026911488">
    <w:abstractNumId w:val="1"/>
  </w:num>
  <w:num w:numId="24" w16cid:durableId="661542715">
    <w:abstractNumId w:val="1"/>
  </w:num>
  <w:num w:numId="25" w16cid:durableId="485240193">
    <w:abstractNumId w:val="1"/>
  </w:num>
  <w:num w:numId="26" w16cid:durableId="1799104121">
    <w:abstractNumId w:val="1"/>
  </w:num>
  <w:num w:numId="27" w16cid:durableId="1695225271">
    <w:abstractNumId w:val="1"/>
  </w:num>
  <w:num w:numId="28" w16cid:durableId="171526905">
    <w:abstractNumId w:val="1"/>
  </w:num>
  <w:num w:numId="29" w16cid:durableId="1766533285">
    <w:abstractNumId w:val="1"/>
  </w:num>
  <w:num w:numId="30" w16cid:durableId="816261382">
    <w:abstractNumId w:val="1"/>
  </w:num>
  <w:num w:numId="31" w16cid:durableId="438379917">
    <w:abstractNumId w:val="1"/>
  </w:num>
  <w:num w:numId="32" w16cid:durableId="19406082">
    <w:abstractNumId w:val="1"/>
  </w:num>
  <w:num w:numId="33" w16cid:durableId="248007036">
    <w:abstractNumId w:val="1"/>
  </w:num>
  <w:num w:numId="34" w16cid:durableId="1127120554">
    <w:abstractNumId w:val="1"/>
  </w:num>
  <w:num w:numId="35" w16cid:durableId="996304787">
    <w:abstractNumId w:val="1"/>
  </w:num>
  <w:num w:numId="36" w16cid:durableId="501506145">
    <w:abstractNumId w:val="1"/>
  </w:num>
  <w:num w:numId="37" w16cid:durableId="545683955">
    <w:abstractNumId w:val="1"/>
  </w:num>
  <w:num w:numId="38" w16cid:durableId="1273778634">
    <w:abstractNumId w:val="1"/>
  </w:num>
  <w:num w:numId="39" w16cid:durableId="845708765">
    <w:abstractNumId w:val="1"/>
  </w:num>
  <w:num w:numId="40" w16cid:durableId="426122848">
    <w:abstractNumId w:val="1"/>
  </w:num>
  <w:num w:numId="41" w16cid:durableId="856576277">
    <w:abstractNumId w:val="1"/>
  </w:num>
  <w:num w:numId="42" w16cid:durableId="20719239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embedSystemFonts/>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420"/>
  <w:drawingGridVerticalSpacing w:val="156"/>
  <w:noPunctuationKerning/>
  <w:characterSpacingControl w:val="compressPunctuation"/>
  <w:updateFields w:val="true"/>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ACFBC7B2"/>
    <w:rsid w:val="00085726"/>
    <w:rsid w:val="000E155A"/>
    <w:rsid w:val="000F283C"/>
    <w:rsid w:val="0011270F"/>
    <w:rsid w:val="001349C6"/>
    <w:rsid w:val="001950A1"/>
    <w:rsid w:val="0039617E"/>
    <w:rsid w:val="004378BA"/>
    <w:rsid w:val="004A0C46"/>
    <w:rsid w:val="004F7178"/>
    <w:rsid w:val="00555E6A"/>
    <w:rsid w:val="00587D39"/>
    <w:rsid w:val="00592284"/>
    <w:rsid w:val="005E7246"/>
    <w:rsid w:val="00662F6D"/>
    <w:rsid w:val="00670B1C"/>
    <w:rsid w:val="00795354"/>
    <w:rsid w:val="007E5EB5"/>
    <w:rsid w:val="00A34D1B"/>
    <w:rsid w:val="00AE02CD"/>
    <w:rsid w:val="00E419C7"/>
    <w:rsid w:val="00EC0E9A"/>
    <w:rsid w:val="00F27C6B"/>
    <w:rsid w:val="00FF56FE"/>
    <w:rsid w:val="29F9C83D"/>
    <w:rsid w:val="33F53DC0"/>
    <w:rsid w:val="353FEB1E"/>
    <w:rsid w:val="3DF3A5E0"/>
    <w:rsid w:val="3FCF0B00"/>
    <w:rsid w:val="3FF54F6B"/>
    <w:rsid w:val="3FFCB0C0"/>
    <w:rsid w:val="5717597D"/>
    <w:rsid w:val="5CBF3D48"/>
    <w:rsid w:val="5F7BA9D3"/>
    <w:rsid w:val="64DFFEC1"/>
    <w:rsid w:val="69B5CEB2"/>
    <w:rsid w:val="69FF8DFA"/>
    <w:rsid w:val="6EFB830B"/>
    <w:rsid w:val="77CDD5AC"/>
    <w:rsid w:val="7BFB9EEF"/>
    <w:rsid w:val="7C772AB6"/>
    <w:rsid w:val="7EF8F3DE"/>
    <w:rsid w:val="7F3BEA07"/>
    <w:rsid w:val="7FDD237B"/>
    <w:rsid w:val="ACFBC7B2"/>
    <w:rsid w:val="BAD50396"/>
    <w:rsid w:val="BDBEA619"/>
    <w:rsid w:val="BFB6F836"/>
    <w:rsid w:val="BFFBB6BF"/>
    <w:rsid w:val="DCFF672D"/>
    <w:rsid w:val="DF9FA881"/>
    <w:rsid w:val="DFFC800C"/>
    <w:rsid w:val="EC255AAB"/>
    <w:rsid w:val="EDB96F0D"/>
    <w:rsid w:val="EFFF2415"/>
    <w:rsid w:val="FB9D90C9"/>
    <w:rsid w:val="FCBD6A06"/>
    <w:rsid w:val="FDD2248A"/>
    <w:rsid w:val="FEE5C490"/>
    <w:rsid w:val="FF6EC6C0"/>
    <w:rsid w:val="FFA594DA"/>
    <w:rsid w:val="FFAEF88F"/>
    <w:rsid w:val="FFCB1C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0C6BCC"/>
  <w15:docId w15:val="{9B25C5D5-99CB-4FAB-AF7E-478891F1D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1" w:qFormat="1"/>
    <w:lsdException w:name="heading 2"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2" w:unhideWhenUsed="1" w:qFormat="1"/>
    <w:lsdException w:name="heading 8" w:semiHidden="1" w:unhideWhenUsed="1" w:qFormat="1"/>
    <w:lsdException w:name="heading 9" w:semiHidden="1" w:unhideWhenUsed="1" w:qFormat="1"/>
    <w:lsdException w:name="toc 1" w:uiPriority="39"/>
    <w:lsdException w:name="toc 2" w:uiPriority="39"/>
    <w:lsdException w:name="Normal Indent" w:qFormat="1"/>
    <w:lsdException w:name="foot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62F6D"/>
    <w:pPr>
      <w:widowControl w:val="0"/>
      <w:jc w:val="both"/>
    </w:pPr>
    <w:rPr>
      <w:kern w:val="2"/>
    </w:rPr>
  </w:style>
  <w:style w:type="paragraph" w:styleId="1">
    <w:name w:val="heading 1"/>
    <w:next w:val="a0"/>
    <w:link w:val="10"/>
    <w:autoRedefine/>
    <w:uiPriority w:val="1"/>
    <w:qFormat/>
    <w:rsid w:val="000E155A"/>
    <w:pPr>
      <w:keepNext/>
      <w:keepLines/>
      <w:pageBreakBefore/>
      <w:numPr>
        <w:numId w:val="16"/>
      </w:numPr>
      <w:spacing w:beforeLines="50" w:before="50" w:afterLines="50" w:after="50" w:line="360" w:lineRule="auto"/>
      <w:jc w:val="center"/>
      <w:outlineLvl w:val="0"/>
    </w:pPr>
    <w:rPr>
      <w:rFonts w:eastAsia="黑体"/>
      <w:bCs/>
      <w:sz w:val="32"/>
      <w:szCs w:val="44"/>
    </w:rPr>
  </w:style>
  <w:style w:type="paragraph" w:styleId="2">
    <w:name w:val="heading 2"/>
    <w:next w:val="a0"/>
    <w:link w:val="20"/>
    <w:autoRedefine/>
    <w:uiPriority w:val="1"/>
    <w:qFormat/>
    <w:rsid w:val="000E155A"/>
    <w:pPr>
      <w:keepNext/>
      <w:keepLines/>
      <w:numPr>
        <w:ilvl w:val="1"/>
        <w:numId w:val="16"/>
      </w:numPr>
      <w:spacing w:beforeLines="50" w:before="50" w:afterLines="50" w:line="360" w:lineRule="auto"/>
      <w:jc w:val="both"/>
      <w:outlineLvl w:val="1"/>
    </w:pPr>
    <w:rPr>
      <w:rFonts w:eastAsia="黑体"/>
      <w:bCs/>
      <w:kern w:val="2"/>
      <w:sz w:val="28"/>
      <w:szCs w:val="32"/>
    </w:rPr>
  </w:style>
  <w:style w:type="paragraph" w:styleId="3">
    <w:name w:val="heading 3"/>
    <w:next w:val="a0"/>
    <w:link w:val="30"/>
    <w:autoRedefine/>
    <w:uiPriority w:val="1"/>
    <w:qFormat/>
    <w:rsid w:val="000F283C"/>
    <w:pPr>
      <w:keepNext/>
      <w:keepLines/>
      <w:numPr>
        <w:ilvl w:val="2"/>
        <w:numId w:val="16"/>
      </w:numPr>
      <w:spacing w:beforeLines="50" w:before="50" w:afterLines="50" w:line="360" w:lineRule="auto"/>
      <w:jc w:val="both"/>
      <w:outlineLvl w:val="2"/>
    </w:pPr>
    <w:rPr>
      <w:rFonts w:eastAsia="黑体"/>
      <w:bCs/>
      <w:color w:val="000000"/>
      <w:sz w:val="24"/>
      <w:szCs w:val="24"/>
      <w:lang w:eastAsia="ar-SA"/>
    </w:rPr>
  </w:style>
  <w:style w:type="paragraph" w:styleId="4">
    <w:name w:val="heading 4"/>
    <w:next w:val="a0"/>
    <w:link w:val="40"/>
    <w:autoRedefine/>
    <w:uiPriority w:val="1"/>
    <w:qFormat/>
    <w:rsid w:val="000E155A"/>
    <w:pPr>
      <w:keepNext/>
      <w:keepLines/>
      <w:numPr>
        <w:ilvl w:val="3"/>
        <w:numId w:val="16"/>
      </w:numPr>
      <w:spacing w:beforeLines="50" w:before="50" w:afterLines="50" w:after="50" w:line="360" w:lineRule="auto"/>
      <w:jc w:val="both"/>
      <w:outlineLvl w:val="3"/>
    </w:pPr>
    <w:rPr>
      <w:b/>
      <w:bCs/>
      <w:kern w:val="2"/>
      <w:szCs w:val="28"/>
    </w:rPr>
  </w:style>
  <w:style w:type="paragraph" w:styleId="5">
    <w:name w:val="heading 5"/>
    <w:next w:val="a0"/>
    <w:link w:val="50"/>
    <w:autoRedefine/>
    <w:uiPriority w:val="1"/>
    <w:qFormat/>
    <w:rsid w:val="000E155A"/>
    <w:pPr>
      <w:keepNext/>
      <w:keepLines/>
      <w:numPr>
        <w:ilvl w:val="4"/>
        <w:numId w:val="16"/>
      </w:numPr>
      <w:spacing w:beforeLines="50" w:before="50" w:afterLines="50" w:after="50" w:line="360" w:lineRule="auto"/>
      <w:outlineLvl w:val="4"/>
    </w:pPr>
    <w:rPr>
      <w:bCs/>
      <w:kern w:val="2"/>
      <w:szCs w:val="28"/>
    </w:rPr>
  </w:style>
  <w:style w:type="paragraph" w:styleId="6">
    <w:name w:val="heading 6"/>
    <w:next w:val="a0"/>
    <w:link w:val="60"/>
    <w:autoRedefine/>
    <w:uiPriority w:val="1"/>
    <w:qFormat/>
    <w:rsid w:val="000E155A"/>
    <w:pPr>
      <w:numPr>
        <w:ilvl w:val="5"/>
        <w:numId w:val="16"/>
      </w:numPr>
      <w:spacing w:beforeLines="50" w:before="50" w:afterLines="50" w:after="50" w:line="360" w:lineRule="auto"/>
      <w:jc w:val="both"/>
      <w:outlineLvl w:val="5"/>
    </w:pPr>
    <w:rPr>
      <w:bCs/>
      <w:kern w:val="2"/>
      <w:szCs w:val="24"/>
    </w:rPr>
  </w:style>
  <w:style w:type="paragraph" w:styleId="7">
    <w:name w:val="heading 7"/>
    <w:next w:val="a0"/>
    <w:link w:val="70"/>
    <w:autoRedefine/>
    <w:uiPriority w:val="2"/>
    <w:unhideWhenUsed/>
    <w:qFormat/>
    <w:rsid w:val="000E155A"/>
    <w:pPr>
      <w:keepNext/>
      <w:keepLines/>
      <w:numPr>
        <w:ilvl w:val="6"/>
        <w:numId w:val="16"/>
      </w:numPr>
      <w:spacing w:beforeLines="50" w:before="50" w:afterLines="50" w:after="50" w:line="360" w:lineRule="auto"/>
      <w:outlineLvl w:val="6"/>
    </w:pPr>
    <w:rPr>
      <w:bCs/>
      <w:kern w:val="2"/>
      <w:szCs w:val="24"/>
    </w:rPr>
  </w:style>
  <w:style w:type="character" w:default="1" w:styleId="a1">
    <w:name w:val="Default Paragraph Font"/>
    <w:uiPriority w:val="1"/>
    <w:semiHidden/>
    <w:unhideWhenUsed/>
  </w:style>
  <w:style w:type="table" w:default="1" w:styleId="a2">
    <w:name w:val="Normal Table"/>
    <w:uiPriority w:val="99"/>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styleId="a4">
    <w:name w:val="Table Grid"/>
    <w:basedOn w:val="a2"/>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1"/>
    <w:link w:val="1"/>
    <w:uiPriority w:val="1"/>
    <w:rsid w:val="000E155A"/>
    <w:rPr>
      <w:rFonts w:eastAsia="黑体"/>
      <w:bCs/>
      <w:sz w:val="32"/>
      <w:szCs w:val="44"/>
    </w:rPr>
  </w:style>
  <w:style w:type="paragraph" w:styleId="TOC">
    <w:name w:val="TOC Heading"/>
    <w:basedOn w:val="1"/>
    <w:next w:val="a"/>
    <w:uiPriority w:val="39"/>
    <w:unhideWhenUsed/>
    <w:qFormat/>
    <w:rsid w:val="000E155A"/>
    <w:pPr>
      <w:pageBreakBefore w:val="0"/>
      <w:numPr>
        <w:numId w:val="0"/>
      </w:numPr>
      <w:snapToGrid w:val="0"/>
      <w:spacing w:beforeLines="0" w:before="240" w:afterLines="0" w:after="0" w:line="259" w:lineRule="auto"/>
      <w:outlineLvl w:val="9"/>
    </w:pPr>
    <w:rPr>
      <w:bCs w:val="0"/>
      <w:szCs w:val="32"/>
    </w:rPr>
  </w:style>
  <w:style w:type="paragraph" w:styleId="TOC1">
    <w:name w:val="toc 1"/>
    <w:basedOn w:val="a"/>
    <w:next w:val="a"/>
    <w:autoRedefine/>
    <w:uiPriority w:val="39"/>
    <w:unhideWhenUsed/>
    <w:rsid w:val="00AE02CD"/>
    <w:pPr>
      <w:tabs>
        <w:tab w:val="right" w:leader="dot" w:pos="8299"/>
      </w:tabs>
    </w:pPr>
    <w:rPr>
      <w:rFonts w:cs="宋体"/>
      <w:b/>
      <w:bCs/>
      <w:noProof/>
    </w:rPr>
  </w:style>
  <w:style w:type="paragraph" w:styleId="TOC2">
    <w:name w:val="toc 2"/>
    <w:basedOn w:val="a"/>
    <w:next w:val="a"/>
    <w:autoRedefine/>
    <w:uiPriority w:val="39"/>
    <w:unhideWhenUsed/>
    <w:rsid w:val="000E155A"/>
    <w:pPr>
      <w:ind w:leftChars="200" w:left="420"/>
    </w:pPr>
    <w:rPr>
      <w:rFonts w:eastAsia="黑体"/>
    </w:rPr>
  </w:style>
  <w:style w:type="character" w:styleId="a5">
    <w:name w:val="Hyperlink"/>
    <w:basedOn w:val="a1"/>
    <w:uiPriority w:val="99"/>
    <w:unhideWhenUsed/>
    <w:rsid w:val="00085726"/>
    <w:rPr>
      <w:color w:val="0026E5" w:themeColor="hyperlink"/>
      <w:u w:val="single"/>
    </w:rPr>
  </w:style>
  <w:style w:type="paragraph" w:customStyle="1" w:styleId="11">
    <w:name w:val="样式1"/>
    <w:basedOn w:val="a"/>
    <w:qFormat/>
    <w:rsid w:val="000E155A"/>
    <w:pPr>
      <w:widowControl/>
      <w:spacing w:before="156" w:after="156" w:line="360" w:lineRule="auto"/>
      <w:ind w:firstLine="480"/>
    </w:pPr>
    <w:rPr>
      <w:rFonts w:ascii="宋体" w:hAnsi="宋体" w:cs="宋体"/>
      <w:szCs w:val="21"/>
    </w:rPr>
  </w:style>
  <w:style w:type="paragraph" w:styleId="a0">
    <w:name w:val="Normal Indent"/>
    <w:autoRedefine/>
    <w:qFormat/>
    <w:rsid w:val="000F283C"/>
    <w:pPr>
      <w:spacing w:beforeLines="50" w:before="50" w:line="360" w:lineRule="auto"/>
      <w:ind w:firstLineChars="200" w:firstLine="200"/>
      <w:jc w:val="both"/>
    </w:pPr>
    <w:rPr>
      <w:rFonts w:eastAsia="Times New Roman"/>
      <w:kern w:val="2"/>
      <w:sz w:val="24"/>
      <w:szCs w:val="23"/>
    </w:rPr>
  </w:style>
  <w:style w:type="character" w:customStyle="1" w:styleId="20">
    <w:name w:val="标题 2 字符"/>
    <w:basedOn w:val="a1"/>
    <w:link w:val="2"/>
    <w:uiPriority w:val="1"/>
    <w:rsid w:val="000E155A"/>
    <w:rPr>
      <w:rFonts w:eastAsia="黑体"/>
      <w:bCs/>
      <w:kern w:val="2"/>
      <w:sz w:val="28"/>
      <w:szCs w:val="32"/>
    </w:rPr>
  </w:style>
  <w:style w:type="character" w:customStyle="1" w:styleId="30">
    <w:name w:val="标题 3 字符"/>
    <w:basedOn w:val="a1"/>
    <w:link w:val="3"/>
    <w:uiPriority w:val="1"/>
    <w:rsid w:val="000F283C"/>
    <w:rPr>
      <w:rFonts w:eastAsia="黑体"/>
      <w:bCs/>
      <w:color w:val="000000"/>
      <w:sz w:val="24"/>
      <w:szCs w:val="24"/>
      <w:lang w:eastAsia="ar-SA"/>
    </w:rPr>
  </w:style>
  <w:style w:type="character" w:customStyle="1" w:styleId="40">
    <w:name w:val="标题 4 字符"/>
    <w:basedOn w:val="a1"/>
    <w:link w:val="4"/>
    <w:uiPriority w:val="1"/>
    <w:rsid w:val="000E155A"/>
    <w:rPr>
      <w:b/>
      <w:bCs/>
      <w:kern w:val="2"/>
      <w:szCs w:val="28"/>
    </w:rPr>
  </w:style>
  <w:style w:type="character" w:customStyle="1" w:styleId="50">
    <w:name w:val="标题 5 字符"/>
    <w:basedOn w:val="a1"/>
    <w:link w:val="5"/>
    <w:uiPriority w:val="1"/>
    <w:rsid w:val="000E155A"/>
    <w:rPr>
      <w:bCs/>
      <w:kern w:val="2"/>
      <w:szCs w:val="28"/>
    </w:rPr>
  </w:style>
  <w:style w:type="character" w:customStyle="1" w:styleId="60">
    <w:name w:val="标题 6 字符"/>
    <w:basedOn w:val="a1"/>
    <w:link w:val="6"/>
    <w:uiPriority w:val="1"/>
    <w:rsid w:val="000E155A"/>
    <w:rPr>
      <w:bCs/>
      <w:kern w:val="2"/>
      <w:szCs w:val="24"/>
    </w:rPr>
  </w:style>
  <w:style w:type="character" w:customStyle="1" w:styleId="70">
    <w:name w:val="标题 7 字符"/>
    <w:basedOn w:val="a1"/>
    <w:link w:val="7"/>
    <w:uiPriority w:val="2"/>
    <w:rsid w:val="000E155A"/>
    <w:rPr>
      <w:bCs/>
      <w:kern w:val="2"/>
      <w:szCs w:val="24"/>
    </w:rPr>
  </w:style>
  <w:style w:type="paragraph" w:customStyle="1" w:styleId="a6">
    <w:name w:val="表格后说明"/>
    <w:next w:val="a0"/>
    <w:autoRedefine/>
    <w:uiPriority w:val="3"/>
    <w:qFormat/>
    <w:rsid w:val="00F27C6B"/>
    <w:pPr>
      <w:jc w:val="both"/>
    </w:pPr>
    <w:rPr>
      <w:kern w:val="2"/>
      <w:sz w:val="21"/>
      <w:szCs w:val="28"/>
    </w:rPr>
  </w:style>
  <w:style w:type="paragraph" w:customStyle="1" w:styleId="a7">
    <w:name w:val="表格前单位"/>
    <w:next w:val="a0"/>
    <w:autoRedefine/>
    <w:uiPriority w:val="2"/>
    <w:qFormat/>
    <w:rsid w:val="000E155A"/>
    <w:pPr>
      <w:keepNext/>
      <w:jc w:val="right"/>
    </w:pPr>
    <w:rPr>
      <w:kern w:val="2"/>
      <w:szCs w:val="24"/>
    </w:rPr>
  </w:style>
  <w:style w:type="paragraph" w:styleId="a8">
    <w:name w:val="footer"/>
    <w:basedOn w:val="a"/>
    <w:link w:val="a9"/>
    <w:uiPriority w:val="99"/>
    <w:unhideWhenUsed/>
    <w:rsid w:val="000E155A"/>
    <w:pPr>
      <w:widowControl/>
      <w:tabs>
        <w:tab w:val="center" w:pos="4680"/>
        <w:tab w:val="right" w:pos="9360"/>
      </w:tabs>
      <w:jc w:val="left"/>
    </w:pPr>
    <w:rPr>
      <w:rFonts w:asciiTheme="minorHAnsi" w:eastAsiaTheme="minorEastAsia" w:hAnsiTheme="minorHAnsi"/>
      <w:kern w:val="0"/>
      <w:sz w:val="22"/>
      <w:szCs w:val="22"/>
    </w:rPr>
  </w:style>
  <w:style w:type="character" w:customStyle="1" w:styleId="a9">
    <w:name w:val="页脚 字符"/>
    <w:basedOn w:val="a1"/>
    <w:link w:val="a8"/>
    <w:uiPriority w:val="99"/>
    <w:rsid w:val="000E155A"/>
    <w:rPr>
      <w:rFonts w:asciiTheme="minorHAnsi" w:eastAsiaTheme="minorEastAsia" w:hAnsiTheme="minorHAnsi"/>
      <w:sz w:val="22"/>
      <w:szCs w:val="22"/>
    </w:rPr>
  </w:style>
  <w:style w:type="paragraph" w:styleId="aa">
    <w:name w:val="header"/>
    <w:basedOn w:val="a"/>
    <w:link w:val="ab"/>
    <w:rsid w:val="000E155A"/>
    <w:pPr>
      <w:tabs>
        <w:tab w:val="center" w:pos="4153"/>
        <w:tab w:val="right" w:pos="8306"/>
      </w:tabs>
      <w:snapToGrid w:val="0"/>
      <w:jc w:val="center"/>
    </w:pPr>
    <w:rPr>
      <w:sz w:val="18"/>
      <w:szCs w:val="18"/>
    </w:rPr>
  </w:style>
  <w:style w:type="character" w:customStyle="1" w:styleId="ab">
    <w:name w:val="页眉 字符"/>
    <w:basedOn w:val="a1"/>
    <w:link w:val="aa"/>
    <w:rsid w:val="000E155A"/>
    <w:rPr>
      <w:kern w:val="2"/>
      <w:sz w:val="18"/>
      <w:szCs w:val="18"/>
    </w:rPr>
  </w:style>
  <w:style w:type="paragraph" w:styleId="ac">
    <w:name w:val="Body Text Indent"/>
    <w:basedOn w:val="a"/>
    <w:link w:val="ad"/>
    <w:rsid w:val="000F283C"/>
    <w:pPr>
      <w:spacing w:after="120"/>
      <w:ind w:leftChars="200" w:left="420"/>
    </w:pPr>
  </w:style>
  <w:style w:type="character" w:customStyle="1" w:styleId="ad">
    <w:name w:val="正文文本缩进 字符"/>
    <w:basedOn w:val="a1"/>
    <w:link w:val="ac"/>
    <w:rsid w:val="000F283C"/>
    <w:rPr>
      <w:kern w:val="2"/>
    </w:rPr>
  </w:style>
  <w:style w:type="paragraph" w:styleId="12">
    <w:name w:val="index 1"/>
    <w:basedOn w:val="a"/>
    <w:next w:val="a"/>
    <w:autoRedefine/>
    <w:rsid w:val="000F283C"/>
  </w:style>
  <w:style w:type="paragraph" w:styleId="ae">
    <w:name w:val="index heading"/>
    <w:basedOn w:val="a"/>
    <w:next w:val="12"/>
    <w:rsid w:val="000F283C"/>
    <w:rPr>
      <w:rFonts w:asciiTheme="majorHAnsi" w:eastAsiaTheme="majorEastAsia" w:hAnsiTheme="majorHAnsi" w:cstheme="majorBidi"/>
      <w:b/>
      <w:bCs/>
    </w:rPr>
  </w:style>
  <w:style w:type="character" w:styleId="af">
    <w:name w:val="Strong"/>
    <w:basedOn w:val="a1"/>
    <w:qFormat/>
    <w:rsid w:val="00670B1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ntTable" Target="fontTable.xml"/><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9B6E4C-15A4-441E-96C7-705407B4C1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21</Pages>
  <Words>2508</Words>
  <Characters>14298</Characters>
  <Application>Microsoft Office Word</Application>
  <DocSecurity>0</DocSecurity>
  <Lines>119</Lines>
  <Paragraphs>33</Paragraphs>
  <ScaleCrop>false</ScaleCrop>
  <Company/>
  <LinksUpToDate>false</LinksUpToDate>
  <CharactersWithSpaces>16773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Wayne</dc:creator>
  <cp:lastModifiedBy>jack chan</cp:lastModifiedBy>
  <cp:revision>19</cp:revision>
  <dcterms:created xsi:type="dcterms:W3CDTF">2026-08-07T18:08:00Z</dcterms:created>
  <dcterms:modified xsi:type="dcterms:W3CDTF">2026-08-07T03:23:00Z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2052-6.2.0.8299</vt:lpwstr>
  </property>
  <property fmtid="{D5CDD505-2E9C-101B-9397-08002B2CF9AE}" pid="3" name="ICV">
    <vt:lpwstr>764EF9BCEDFD4B753EE5746A73860050_43</vt:lpwstr>
  </property>
</Properties>
</file>