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7"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_Toc900037 \h </w:instrText>
            </w:r>
            <w:r>
              <w:rPr>
                <w:webHidden/>
                <w:noProof/>
                <w:sz w:val="24"/>
                <w:szCs w:val="24"/>
              </w:rPr>
              <w:fldChar w:fldCharType="separate"/>
            </w:r>
            <w:r>
              <w:rPr>
                <w:webHidden/>
                <w:noProof/>
                <w:sz w:val="24"/>
                <w:szCs w:val="24"/>
              </w:rPr>
              <w:t>37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7.1 券商谱系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44</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484"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72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419"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484" w:type="pct"/>
            <w:tcBorders>
              <w:top w:val="single" w:sz="4" w:space="0" w:color="010000"/>
            </w:tcBorders>
            <w:vAlign w:val="center"/>
          </w:tcPr>
          <w:p>
            <w:pPr>
              <w:jc w:val="left"/>
            </w:pPr>
            <w:r/>
            <w:r>
              <w:rPr>
                <w:rFonts w:hint="eastAsia"/>
                <w:color w:val="000000"/>
                <w:sz w:val="21"/>
              </w:rPr>
              <w:t>09880.HK</w:t>
            </w:r>
          </w:p>
        </w:tc>
        <w:tc>
          <w:tcPr>
            <w:tcW w:w="726" w:type="pct"/>
            <w:tcBorders>
              <w:top w:val="single" w:sz="4" w:space="0" w:color="010000"/>
            </w:tcBorders>
            <w:vAlign w:val="center"/>
          </w:tcPr>
          <w:p>
            <w:pPr>
              <w:jc w:val="left"/>
            </w:pPr>
            <w:r/>
            <w:r>
              <w:rPr>
                <w:rFonts w:hint="eastAsia"/>
                <w:color w:val="000000"/>
                <w:sz w:val="21"/>
              </w:rPr>
              <w:t>港交所，2023年12月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484" w:type="pct"/>
            <w:tcBorders>
              <w:top w:val="single" w:sz="4" w:space="0" w:color="010000"/>
            </w:tcBorders>
            <w:vAlign w:val="center"/>
          </w:tcPr>
          <w:p>
            <w:pPr>
              <w:jc w:val="left"/>
            </w:pPr>
            <w:r/>
            <w:r>
              <w:rPr>
                <w:rFonts w:hint="eastAsia"/>
                <w:color w:val="000000"/>
                <w:sz w:val="21"/>
              </w:rPr>
              <w:t>02432.HK</w:t>
            </w:r>
          </w:p>
        </w:tc>
        <w:tc>
          <w:tcPr>
            <w:tcW w:w="726" w:type="pct"/>
            <w:tcBorders>
              <w:top w:val="single" w:sz="4" w:space="0" w:color="010000"/>
            </w:tcBorders>
            <w:vAlign w:val="center"/>
          </w:tcPr>
          <w:p>
            <w:pPr>
              <w:jc w:val="left"/>
            </w:pPr>
            <w:r/>
            <w:r>
              <w:rPr>
                <w:rFonts w:hint="eastAsia"/>
                <w:color w:val="000000"/>
                <w:sz w:val="21"/>
              </w:rPr>
              <w:t>港交所，2024年12月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484" w:type="pct"/>
            <w:tcBorders>
              <w:top w:val="single" w:sz="4" w:space="0" w:color="010000"/>
            </w:tcBorders>
            <w:vAlign w:val="center"/>
          </w:tcPr>
          <w:p>
            <w:pPr>
              <w:jc w:val="left"/>
            </w:pPr>
            <w:r/>
            <w:r>
              <w:rPr>
                <w:rFonts w:hint="eastAsia"/>
                <w:color w:val="000000"/>
                <w:sz w:val="21"/>
              </w:rPr>
              <w:t>688017.SH</w:t>
            </w:r>
          </w:p>
        </w:tc>
        <w:tc>
          <w:tcPr>
            <w:tcW w:w="726" w:type="pct"/>
            <w:tcBorders>
              <w:top w:val="single" w:sz="4" w:space="0" w:color="010000"/>
            </w:tcBorders>
            <w:vAlign w:val="center"/>
          </w:tcPr>
          <w:p>
            <w:pPr>
              <w:jc w:val="left"/>
            </w:pPr>
            <w:r/>
            <w:r>
              <w:rPr>
                <w:rFonts w:hint="eastAsia"/>
                <w:color w:val="000000"/>
                <w:sz w:val="21"/>
              </w:rPr>
              <w:t>上交所科创板，2020年8月</w:t>
            </w:r>
          </w:p>
        </w:tc>
        <w:tc>
          <w:tcPr>
            <w:tcW w:w="806" w:type="pct"/>
            <w:tcBorders>
              <w:top w:val="single" w:sz="4" w:space="0" w:color="010000"/>
            </w:tcBorders>
            <w:vAlign w:val="center"/>
          </w:tcPr>
          <w:p>
            <w:pPr>
              <w:jc w:val="left"/>
            </w:pPr>
            <w:r/>
            <w:r>
              <w:rPr>
                <w:rFonts w:hint="eastAsia"/>
                <w:color w:val="000000"/>
                <w:sz w:val="21"/>
              </w:rPr>
              <w:t>国泰君安（保荐承销）</w:t>
            </w:r>
          </w:p>
        </w:tc>
        <w:tc>
          <w:tcPr>
            <w:tcW w:w="2419"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484" w:type="pct"/>
            <w:tcBorders>
              <w:top w:val="single" w:sz="4" w:space="0" w:color="010000"/>
            </w:tcBorders>
            <w:vAlign w:val="center"/>
          </w:tcPr>
          <w:p>
            <w:pPr>
              <w:jc w:val="left"/>
            </w:pPr>
            <w:r/>
            <w:r>
              <w:rPr>
                <w:rFonts w:hint="eastAsia"/>
                <w:color w:val="000000"/>
                <w:sz w:val="21"/>
              </w:rPr>
              <w:t>688160.SH</w:t>
            </w:r>
          </w:p>
        </w:tc>
        <w:tc>
          <w:tcPr>
            <w:tcW w:w="726" w:type="pct"/>
            <w:tcBorders>
              <w:top w:val="single" w:sz="4" w:space="0" w:color="010000"/>
            </w:tcBorders>
            <w:vAlign w:val="center"/>
          </w:tcPr>
          <w:p>
            <w:pPr>
              <w:jc w:val="left"/>
            </w:pPr>
            <w:r/>
            <w:r>
              <w:rPr>
                <w:rFonts w:hint="eastAsia"/>
                <w:color w:val="000000"/>
                <w:sz w:val="21"/>
              </w:rPr>
              <w:t>上交所科创板，2020年11月</w:t>
            </w:r>
          </w:p>
        </w:tc>
        <w:tc>
          <w:tcPr>
            <w:tcW w:w="806" w:type="pct"/>
            <w:tcBorders>
              <w:top w:val="single" w:sz="4" w:space="0" w:color="010000"/>
            </w:tcBorders>
            <w:vAlign w:val="center"/>
          </w:tcPr>
          <w:p>
            <w:pPr>
              <w:jc w:val="left"/>
            </w:pPr>
            <w:r/>
            <w:r>
              <w:rPr>
                <w:rFonts w:hint="eastAsia"/>
                <w:color w:val="000000"/>
                <w:sz w:val="21"/>
              </w:rPr>
              <w:t>海通证券（保荐承销）</w:t>
            </w:r>
          </w:p>
        </w:tc>
        <w:tc>
          <w:tcPr>
            <w:tcW w:w="2419"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484" w:type="pct"/>
            <w:tcBorders>
              <w:top w:val="single" w:sz="4" w:space="0" w:color="010000"/>
            </w:tcBorders>
            <w:vAlign w:val="center"/>
          </w:tcPr>
          <w:p>
            <w:pPr>
              <w:jc w:val="left"/>
            </w:pPr>
            <w:r/>
            <w:r>
              <w:rPr>
                <w:rFonts w:hint="eastAsia"/>
                <w:color w:val="000000"/>
                <w:sz w:val="21"/>
              </w:rPr>
              <w:t>01236.HK</w:t>
            </w:r>
          </w:p>
        </w:tc>
        <w:tc>
          <w:tcPr>
            <w:tcW w:w="726" w:type="pct"/>
            <w:tcBorders>
              <w:top w:val="single" w:sz="4" w:space="0" w:color="010000"/>
            </w:tcBorders>
            <w:vAlign w:val="center"/>
          </w:tcPr>
          <w:p>
            <w:pPr>
              <w:jc w:val="left"/>
            </w:pPr>
            <w:r/>
            <w:r>
              <w:rPr>
                <w:rFonts w:hint="eastAsia"/>
                <w:color w:val="000000"/>
                <w:sz w:val="21"/>
              </w:rPr>
              <w:t>港交所，2026年5月11日</w:t>
            </w:r>
          </w:p>
        </w:tc>
        <w:tc>
          <w:tcPr>
            <w:tcW w:w="806" w:type="pct"/>
            <w:tcBorders>
              <w:top w:val="single" w:sz="4" w:space="0" w:color="010000"/>
            </w:tcBorders>
            <w:vAlign w:val="center"/>
          </w:tcPr>
          <w:p>
            <w:pPr>
              <w:jc w:val="left"/>
            </w:pPr>
            <w:r/>
            <w:r>
              <w:rPr>
                <w:rFonts w:hint="eastAsia"/>
                <w:color w:val="000000"/>
                <w:sz w:val="21"/>
              </w:rPr>
              <w:t>海通国际＋国泰君安国际（联席保荐）</w:t>
            </w:r>
          </w:p>
        </w:tc>
        <w:tc>
          <w:tcPr>
            <w:tcW w:w="2419"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484" w:type="pct"/>
            <w:tcBorders>
              <w:top w:val="single" w:sz="4" w:space="0" w:color="010000"/>
            </w:tcBorders>
            <w:vAlign w:val="center"/>
          </w:tcPr>
          <w:p>
            <w:pPr>
              <w:jc w:val="left"/>
            </w:pPr>
            <w:r/>
            <w:r>
              <w:rPr>
                <w:rFonts w:hint="eastAsia"/>
                <w:color w:val="000000"/>
                <w:sz w:val="21"/>
              </w:rPr>
              <w:t>03752.HK</w:t>
            </w:r>
          </w:p>
        </w:tc>
        <w:tc>
          <w:tcPr>
            <w:tcW w:w="726" w:type="pct"/>
            <w:tcBorders>
              <w:top w:val="single" w:sz="4" w:space="0" w:color="010000"/>
            </w:tcBorders>
            <w:vAlign w:val="center"/>
          </w:tcPr>
          <w:p>
            <w:pPr>
              <w:jc w:val="left"/>
            </w:pPr>
            <w:r/>
            <w:r>
              <w:rPr>
                <w:rFonts w:hint="eastAsia"/>
                <w:color w:val="000000"/>
                <w:sz w:val="21"/>
              </w:rPr>
              <w:t>港交所，2026年7月9日</w:t>
            </w:r>
          </w:p>
        </w:tc>
        <w:tc>
          <w:tcPr>
            <w:tcW w:w="806" w:type="pct"/>
            <w:tcBorders>
              <w:top w:val="single" w:sz="4" w:space="0" w:color="010000"/>
            </w:tcBorders>
            <w:vAlign w:val="center"/>
          </w:tcPr>
          <w:p>
            <w:pPr>
              <w:jc w:val="left"/>
            </w:pPr>
            <w:r/>
            <w:r>
              <w:rPr>
                <w:rFonts w:hint="eastAsia"/>
                <w:color w:val="000000"/>
                <w:sz w:val="21"/>
              </w:rPr>
              <w:t>中金公司＋国泰君安国际（联席保荐）</w:t>
            </w:r>
          </w:p>
        </w:tc>
        <w:tc>
          <w:tcPr>
            <w:tcW w:w="2419"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484" w:type="pct"/>
            <w:tcBorders>
              <w:top w:val="single" w:sz="4" w:space="0" w:color="010000"/>
            </w:tcBorders>
            <w:vAlign w:val="center"/>
          </w:tcPr>
          <w:p>
            <w:pPr>
              <w:jc w:val="left"/>
            </w:pPr>
            <w:r/>
            <w:r>
              <w:rPr>
                <w:rFonts w:hint="eastAsia"/>
                <w:color w:val="000000"/>
                <w:sz w:val="21"/>
              </w:rPr>
              <w:t>920211.BJ</w:t>
            </w:r>
          </w:p>
        </w:tc>
        <w:tc>
          <w:tcPr>
            <w:tcW w:w="726" w:type="pct"/>
            <w:tcBorders>
              <w:top w:val="single" w:sz="4" w:space="0" w:color="010000"/>
            </w:tcBorders>
            <w:vAlign w:val="center"/>
          </w:tcPr>
          <w:p>
            <w:pPr>
              <w:jc w:val="left"/>
            </w:pPr>
            <w:r/>
            <w:r>
              <w:rPr>
                <w:rFonts w:hint="eastAsia"/>
                <w:color w:val="000000"/>
                <w:sz w:val="21"/>
              </w:rPr>
              <w:t>北交所，2026年6月5日</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419"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484" w:type="pct"/>
            <w:tcBorders>
              <w:top w:val="single" w:sz="4" w:space="0" w:color="010000"/>
            </w:tcBorders>
            <w:vAlign w:val="center"/>
          </w:tcPr>
          <w:p>
            <w:pPr>
              <w:jc w:val="left"/>
            </w:pPr>
            <w:r/>
            <w:r>
              <w:rPr>
                <w:rFonts w:hint="eastAsia"/>
                <w:color w:val="000000"/>
                <w:sz w:val="21"/>
              </w:rPr>
              <w:t>301696.SZ</w:t>
            </w:r>
          </w:p>
        </w:tc>
        <w:tc>
          <w:tcPr>
            <w:tcW w:w="726" w:type="pct"/>
            <w:tcBorders>
              <w:top w:val="single" w:sz="4" w:space="0" w:color="010000"/>
            </w:tcBorders>
            <w:vAlign w:val="center"/>
          </w:tcPr>
          <w:p>
            <w:pPr>
              <w:jc w:val="left"/>
            </w:pPr>
            <w:r/>
            <w:r>
              <w:rPr>
                <w:rFonts w:hint="eastAsia"/>
                <w:color w:val="000000"/>
                <w:sz w:val="21"/>
              </w:rPr>
              <w:t>深交所创业板，2026年4月10日</w:t>
            </w:r>
          </w:p>
        </w:tc>
        <w:tc>
          <w:tcPr>
            <w:tcW w:w="806" w:type="pct"/>
            <w:tcBorders>
              <w:top w:val="single" w:sz="4" w:space="0" w:color="010000"/>
            </w:tcBorders>
            <w:vAlign w:val="center"/>
          </w:tcPr>
          <w:p>
            <w:pPr>
              <w:jc w:val="left"/>
            </w:pPr>
            <w:r/>
            <w:r>
              <w:rPr>
                <w:rFonts w:hint="eastAsia"/>
                <w:color w:val="000000"/>
                <w:sz w:val="21"/>
              </w:rPr>
              <w:t>国泰海通（保荐承销）</w:t>
            </w:r>
          </w:p>
        </w:tc>
        <w:tc>
          <w:tcPr>
            <w:tcW w:w="2419"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484" w:type="pct"/>
            <w:tcBorders>
              <w:top w:val="single" w:sz="4" w:space="0" w:color="010000"/>
            </w:tcBorders>
            <w:vAlign w:val="center"/>
          </w:tcPr>
          <w:p>
            <w:pPr>
              <w:jc w:val="left"/>
            </w:pPr>
            <w:r/>
            <w:r>
              <w:rPr>
                <w:rFonts w:hint="eastAsia"/>
                <w:color w:val="000000"/>
                <w:sz w:val="21"/>
              </w:rPr>
              <w:t>02692.HK</w:t>
            </w:r>
          </w:p>
        </w:tc>
        <w:tc>
          <w:tcPr>
            <w:tcW w:w="726" w:type="pct"/>
            <w:tcBorders>
              <w:top w:val="single" w:sz="4" w:space="0" w:color="010000"/>
            </w:tcBorders>
            <w:vAlign w:val="center"/>
          </w:tcPr>
          <w:p>
            <w:pPr>
              <w:jc w:val="left"/>
            </w:pPr>
            <w:r/>
            <w:r>
              <w:rPr>
                <w:rFonts w:hint="eastAsia"/>
                <w:color w:val="000000"/>
                <w:sz w:val="21"/>
              </w:rPr>
              <w:t>港交所，2026年3月9日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微型传动系统与灵巧手模组。发行价71.28港元/股，香港公开发售认购1,536.76倍，净募资约18.28亿港元，基石投资者含高瓴；上市后一度破发。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484" w:type="pct"/>
            <w:tcBorders>
              <w:top w:val="single" w:sz="4" w:space="0" w:color="010000"/>
            </w:tcBorders>
            <w:vAlign w:val="center"/>
          </w:tcPr>
          <w:p>
            <w:pPr>
              <w:jc w:val="left"/>
            </w:pPr>
            <w:r/>
            <w:r>
              <w:rPr>
                <w:rFonts w:hint="eastAsia"/>
                <w:color w:val="000000"/>
                <w:sz w:val="21"/>
              </w:rPr>
              <w:t>03952.HK</w:t>
            </w:r>
          </w:p>
        </w:tc>
        <w:tc>
          <w:tcPr>
            <w:tcW w:w="726" w:type="pct"/>
            <w:tcBorders>
              <w:top w:val="single" w:sz="4" w:space="0" w:color="010000"/>
            </w:tcBorders>
            <w:vAlign w:val="center"/>
          </w:tcPr>
          <w:p>
            <w:pPr>
              <w:jc w:val="left"/>
            </w:pPr>
            <w:r/>
            <w:r>
              <w:rPr>
                <w:rFonts w:hint="eastAsia"/>
                <w:color w:val="000000"/>
                <w:sz w:val="21"/>
              </w:rPr>
              <w:t>港交所，2026年6月30日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484" w:type="pct"/>
            <w:tcBorders>
              <w:top w:val="single" w:sz="4" w:space="0" w:color="010000"/>
            </w:tcBorders>
            <w:vAlign w:val="center"/>
          </w:tcPr>
          <w:p>
            <w:pPr>
              <w:jc w:val="left"/>
            </w:pPr>
            <w:r/>
            <w:r>
              <w:rPr>
                <w:rFonts w:hint="eastAsia"/>
                <w:color w:val="000000"/>
                <w:sz w:val="21"/>
              </w:rPr>
              <w:t>688836.SH</w:t>
            </w:r>
          </w:p>
        </w:tc>
        <w:tc>
          <w:tcPr>
            <w:tcW w:w="726" w:type="pct"/>
            <w:tcBorders>
              <w:top w:val="single" w:sz="4" w:space="0" w:color="010000"/>
            </w:tcBorders>
            <w:vAlign w:val="center"/>
          </w:tcPr>
          <w:p>
            <w:pPr>
              <w:jc w:val="left"/>
            </w:pPr>
            <w:r/>
            <w:r>
              <w:rPr>
                <w:rFonts w:hint="eastAsia"/>
                <w:color w:val="000000"/>
                <w:sz w:val="21"/>
              </w:rPr>
              <w:t>上交所科创板，2026年7月2日注册生效</w:t>
            </w:r>
          </w:p>
        </w:tc>
        <w:tc>
          <w:tcPr>
            <w:tcW w:w="806" w:type="pct"/>
            <w:tcBorders>
              <w:top w:val="single" w:sz="4" w:space="0" w:color="010000"/>
            </w:tcBorders>
            <w:vAlign w:val="center"/>
          </w:tcPr>
          <w:p>
            <w:pPr>
              <w:jc w:val="left"/>
            </w:pPr>
            <w:r/>
            <w:r>
              <w:rPr>
                <w:rFonts w:hint="eastAsia"/>
                <w:color w:val="000000"/>
                <w:sz w:val="21"/>
              </w:rPr>
              <w:t>中信证券（保荐承销）</w:t>
            </w:r>
          </w:p>
        </w:tc>
        <w:tc>
          <w:tcPr>
            <w:tcW w:w="2419"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报告经复核后补充三瑞智能、兆威机电、来福谐波三家，并订正绿的谐波与步科股份的保荐机构归属。</w:t>
      </w:r>
    </w:p>
    <w:p>
      <w:pPr>
        <w:pStyle w:val="3"/>
        <w:numPr>
          <w:ilvl w:val="0"/>
          <w:numId w:val="0"/>
        </w:numPr>
        <w:spacing w:before="156" w:after="156"/>
      </w:pPr>
      <w:bookmarkStart w:id="1032" w:name="_Toc900032"/>
      <w:r>
        <w:rPr>
          <w:rFonts w:hint="eastAsia"/>
        </w:rPr>
        <w:t>6.2 在审、已受理或已递表的企业</w:t>
      </w:r>
      <w:bookmarkEnd w:id="1032"/>
    </w:p>
    <w:p>
      <w:pPr>
        <w:keepNext/>
        <w:jc w:val="center"/>
      </w:pPr>
      <w:r>
        <w:rPr>
          <w:rFonts w:hint="eastAsia"/>
          <w:b/>
          <w:sz w:val="21"/>
        </w:rPr>
        <w:t>表10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3" w:name="_Toc900033"/>
      <w:r>
        <w:rPr>
          <w:rFonts w:hint="eastAsia"/>
        </w:rPr>
        <w:t>6.3 辅导备案或已完成股改的企业</w:t>
      </w:r>
      <w:bookmarkEnd w:id="1033"/>
    </w:p>
    <w:p>
      <w:pPr>
        <w:keepNext/>
        <w:jc w:val="center"/>
      </w:pPr>
      <w:r>
        <w:rPr>
          <w:rFonts w:hint="eastAsia"/>
          <w:b/>
          <w:sz w:val="21"/>
        </w:rPr>
        <w:t>表11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636" w:type="pct"/>
            <w:tcBorders>
              <w:top w:val="single" w:sz="12" w:space="0" w:color="010000"/>
              <w:bottom w:val="single" w:sz="4" w:space="0" w:color="010000"/>
            </w:tcBorders>
            <w:vAlign w:val="center"/>
          </w:tcPr>
          <w:p>
            <w:pPr>
              <w:keepNext/>
              <w:jc w:val="center"/>
            </w:pPr>
            <w:r/>
            <w:r>
              <w:rPr>
                <w:rFonts w:hint="eastAsia"/>
                <w:b/>
                <w:color w:val="000000"/>
                <w:sz w:val="21"/>
              </w:rPr>
              <w:t>辅导机构</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636" w:type="pct"/>
            <w:tcBorders>
              <w:top w:val="single" w:sz="4" w:space="0" w:color="010000"/>
            </w:tcBorders>
            <w:vAlign w:val="center"/>
          </w:tcPr>
          <w:p>
            <w:pPr>
              <w:jc w:val="left"/>
            </w:pPr>
            <w:r/>
            <w:r>
              <w:rPr>
                <w:rFonts w:hint="eastAsia"/>
                <w:color w:val="000000"/>
                <w:sz w:val="21"/>
              </w:rPr>
              <w:t>纽氏达特</w:t>
            </w:r>
          </w:p>
        </w:tc>
        <w:tc>
          <w:tcPr>
            <w:tcW w:w="1182" w:type="pct"/>
            <w:tcBorders>
              <w:top w:val="single" w:sz="4" w:space="0" w:color="010000"/>
            </w:tcBorders>
            <w:vAlign w:val="center"/>
          </w:tcPr>
          <w:p>
            <w:pPr>
              <w:jc w:val="left"/>
            </w:pPr>
            <w:r/>
            <w:r>
              <w:rPr>
                <w:rFonts w:hint="eastAsia"/>
                <w:color w:val="000000"/>
                <w:sz w:val="21"/>
              </w:rPr>
              <w:t>2025年12月3日辅导备案</w:t>
            </w:r>
          </w:p>
        </w:tc>
        <w:tc>
          <w:tcPr>
            <w:tcW w:w="636" w:type="pct"/>
            <w:tcBorders>
              <w:top w:val="single" w:sz="4" w:space="0" w:color="010000"/>
            </w:tcBorders>
            <w:vAlign w:val="center"/>
          </w:tcPr>
          <w:p>
            <w:pPr>
              <w:jc w:val="left"/>
            </w:pPr>
            <w:r/>
            <w:r>
              <w:rPr>
                <w:rFonts w:hint="eastAsia"/>
                <w:color w:val="000000"/>
                <w:sz w:val="21"/>
              </w:rPr>
              <w:t>东方证券</w:t>
            </w:r>
          </w:p>
        </w:tc>
        <w:tc>
          <w:tcPr>
            <w:tcW w:w="2545"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636" w:type="pct"/>
            <w:tcBorders>
              <w:top w:val="single" w:sz="4" w:space="0" w:color="010000"/>
            </w:tcBorders>
            <w:vAlign w:val="center"/>
          </w:tcPr>
          <w:p>
            <w:pPr>
              <w:jc w:val="left"/>
            </w:pPr>
            <w:r/>
            <w:r>
              <w:rPr>
                <w:rFonts w:hint="eastAsia"/>
                <w:color w:val="000000"/>
                <w:sz w:val="21"/>
              </w:rPr>
              <w:t>天链机器人</w:t>
            </w:r>
          </w:p>
        </w:tc>
        <w:tc>
          <w:tcPr>
            <w:tcW w:w="1182" w:type="pct"/>
            <w:tcBorders>
              <w:top w:val="single" w:sz="4" w:space="0" w:color="010000"/>
            </w:tcBorders>
            <w:vAlign w:val="center"/>
          </w:tcPr>
          <w:p>
            <w:pPr>
              <w:jc w:val="left"/>
            </w:pPr>
            <w:r/>
            <w:r>
              <w:rPr>
                <w:rFonts w:hint="eastAsia"/>
                <w:color w:val="000000"/>
                <w:sz w:val="21"/>
              </w:rPr>
              <w:t>科创板辅导中（第四期）</w:t>
            </w:r>
          </w:p>
        </w:tc>
        <w:tc>
          <w:tcPr>
            <w:tcW w:w="636" w:type="pct"/>
            <w:tcBorders>
              <w:top w:val="single" w:sz="4" w:space="0" w:color="010000"/>
            </w:tcBorders>
            <w:vAlign w:val="center"/>
          </w:tcPr>
          <w:p>
            <w:pPr>
              <w:jc w:val="left"/>
            </w:pPr>
            <w:r/>
            <w:r>
              <w:rPr>
                <w:rFonts w:hint="eastAsia"/>
                <w:color w:val="000000"/>
                <w:sz w:val="21"/>
              </w:rPr>
              <w:t>华安证券</w:t>
            </w:r>
          </w:p>
        </w:tc>
        <w:tc>
          <w:tcPr>
            <w:tcW w:w="2545"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636" w:type="pct"/>
            <w:tcBorders>
              <w:top w:val="single" w:sz="4" w:space="0" w:color="010000"/>
            </w:tcBorders>
            <w:vAlign w:val="center"/>
          </w:tcPr>
          <w:p>
            <w:pPr>
              <w:jc w:val="left"/>
            </w:pPr>
            <w:r/>
            <w:r>
              <w:rPr>
                <w:rFonts w:hint="eastAsia"/>
                <w:color w:val="000000"/>
                <w:sz w:val="21"/>
              </w:rPr>
              <w:t>傅利叶智能</w:t>
            </w:r>
          </w:p>
        </w:tc>
        <w:tc>
          <w:tcPr>
            <w:tcW w:w="1182" w:type="pct"/>
            <w:tcBorders>
              <w:top w:val="single" w:sz="4" w:space="0" w:color="010000"/>
            </w:tcBorders>
            <w:vAlign w:val="center"/>
          </w:tcPr>
          <w:p>
            <w:pPr>
              <w:jc w:val="left"/>
            </w:pPr>
            <w:r/>
            <w:r>
              <w:rPr>
                <w:rFonts w:hint="eastAsia"/>
                <w:color w:val="000000"/>
                <w:sz w:val="21"/>
              </w:rPr>
              <w:t>完成E轮融资与股改，已启动科创板辅导准备与申报</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636" w:type="pct"/>
            <w:tcBorders>
              <w:top w:val="single" w:sz="4" w:space="0" w:color="010000"/>
            </w:tcBorders>
            <w:vAlign w:val="center"/>
          </w:tcPr>
          <w:p>
            <w:pPr>
              <w:jc w:val="left"/>
            </w:pPr>
            <w:r/>
            <w:r>
              <w:rPr>
                <w:rFonts w:hint="eastAsia"/>
                <w:color w:val="000000"/>
                <w:sz w:val="21"/>
              </w:rPr>
              <w:t>银河通用</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已完成股改，最新一轮被视为Pre-IPO轮，计划2026年下半年递交港股申请</w:t>
            </w:r>
          </w:p>
        </w:tc>
        <w:tc>
          <w:tcPr>
            <w:tcW w:w="636"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2545" w:type="pct"/>
            <w:tcBorders>
              <w:top w:val="single" w:sz="4" w:space="0" w:color="010000"/>
            </w:tcBorders>
            <w:vAlign w:val="center"/>
          </w:tcPr>
          <w:p>
            <w:pPr>
              <w:jc w:val="left"/>
            </w:pPr>
            <w:r/>
            <w:r>
              <w:rPr>
                <w:rFonts w:hint="eastAsia"/>
                <w:color w:val="000000"/>
                <w:sz w:val="21"/>
              </w:rPr>
              <w:t>轮式双臂人形机器人及具身智能大模型。2026年3月完成25亿元D轮（国家大基金参与），累计融资超70亿元，估值约260亿元。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星海图</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已完成股改，最新一轮被视为Pre-IPO轮，计划2026年四季度上市</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具身智能整机及模型，估值超100亿元。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松延动力</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636" w:type="pct"/>
            <w:tcBorders>
              <w:top w:val="single" w:sz="4" w:space="0" w:color="010000"/>
            </w:tcBorders>
            <w:vAlign w:val="center"/>
          </w:tcPr>
          <w:p>
            <w:pPr>
              <w:jc w:val="left"/>
            </w:pPr>
            <w:r/>
            <w:r>
              <w:rPr>
                <w:rFonts w:hint="eastAsia"/>
                <w:color w:val="000000"/>
                <w:sz w:val="21"/>
              </w:rPr>
              <w:t>众擎机器人</w:t>
            </w:r>
          </w:p>
        </w:tc>
        <w:tc>
          <w:tcPr>
            <w:tcW w:w="1182" w:type="pct"/>
            <w:tcBorders>
              <w:top w:val="single" w:sz="4" w:space="0" w:color="010000"/>
            </w:tcBorders>
            <w:vAlign w:val="center"/>
          </w:tcPr>
          <w:p>
            <w:pPr>
              <w:jc w:val="left"/>
            </w:pPr>
            <w:r/>
            <w:r>
              <w:rPr>
                <w:rFonts w:hint="eastAsia"/>
                <w:color w:val="000000"/>
                <w:sz w:val="21"/>
              </w:rPr>
              <w:t>已完成股改，明确上市计划</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PM01等中小尺寸双足人形机器人，PM01售价8.8万元；与多伦科技签署2,000台三年期框架协议；估值超100亿元。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智平方</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AGI原生通用智能机器人。2026年2月完成超10亿元B轮（国泰海通等参投），估值超100亿元；2026年6月完成50亿元新融资，估值超200亿元。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星动纪元</w:t>
            </w:r>
          </w:p>
        </w:tc>
        <w:tc>
          <w:tcPr>
            <w:tcW w:w="1182" w:type="pct"/>
            <w:tcBorders>
              <w:top w:val="single" w:sz="4" w:space="0" w:color="010000"/>
            </w:tcBorders>
            <w:vAlign w:val="center"/>
          </w:tcPr>
          <w:p>
            <w:pPr>
              <w:jc w:val="left"/>
            </w:pPr>
            <w:r/>
            <w:r>
              <w:rPr>
                <w:rFonts w:hint="eastAsia"/>
                <w:color w:val="000000"/>
                <w:sz w:val="21"/>
              </w:rPr>
              <w:t>Pre-IPO轮融资25亿元</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636" w:type="pct"/>
            <w:tcBorders>
              <w:top w:val="single" w:sz="4" w:space="0" w:color="010000"/>
            </w:tcBorders>
            <w:vAlign w:val="center"/>
          </w:tcPr>
          <w:p>
            <w:pPr>
              <w:jc w:val="left"/>
            </w:pPr>
            <w:r/>
            <w:r>
              <w:rPr>
                <w:rFonts w:hint="eastAsia"/>
                <w:color w:val="000000"/>
                <w:sz w:val="21"/>
              </w:rPr>
              <w:t>首形科技</w:t>
            </w:r>
          </w:p>
        </w:tc>
        <w:tc>
          <w:tcPr>
            <w:tcW w:w="1182"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超仿生类人机器人与仿生情感交互（以高仿真"脸"为核心）。A2轮由中信金石与吉利资本联合领投，中信证券国际资本、国泰君安创新投等跟投，老股东中网投与顺为资本超额追投。</w:t>
            </w:r>
          </w:p>
        </w:tc>
      </w:tr>
      <w:tr>
        <w:trPr>
          <w:cantSplit/>
          <w:jc w:val="center"/>
        </w:trPr>
        <w:tc>
          <w:tcPr>
            <w:tcW w:w="636" w:type="pct"/>
            <w:tcBorders>
              <w:top w:val="single" w:sz="4" w:space="0" w:color="010000"/>
            </w:tcBorders>
            <w:vAlign w:val="center"/>
          </w:tcPr>
          <w:p>
            <w:pPr>
              <w:jc w:val="left"/>
            </w:pPr>
            <w:r/>
            <w:r>
              <w:rPr>
                <w:rFonts w:hint="eastAsia"/>
                <w:color w:val="000000"/>
                <w:sz w:val="21"/>
              </w:rPr>
              <w:t>魔法原子</w:t>
            </w:r>
          </w:p>
        </w:tc>
        <w:tc>
          <w:tcPr>
            <w:tcW w:w="1182" w:type="pct"/>
            <w:tcBorders>
              <w:top w:val="single" w:sz="4" w:space="0" w:color="010000"/>
            </w:tcBorders>
            <w:vAlign w:val="center"/>
          </w:tcPr>
          <w:p>
            <w:pPr>
              <w:jc w:val="left"/>
            </w:pPr>
            <w:r/>
            <w:r>
              <w:rPr>
                <w:rFonts w:hint="eastAsia"/>
                <w:color w:val="000000"/>
                <w:sz w:val="21"/>
              </w:rPr>
              <w:t>推进上市进程</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公开融资报道。辅导机构一栏中，仅纽氏达特与天链机器人已完成辅导备案并公示辅导机构；其余企业目前仅完成股份制改造，尚未提交辅导备案，故辅导机构未公开披露，本报告不作推测。本报告复核后订正首形科技的主营业务（原表述为"人形机器人核心部件"，实为超仿生类人机器人／仿生情感交互）及其A2轮跟投主体（为国泰君安创新投）。</w:t>
      </w:r>
    </w:p>
    <w:p>
      <w:pPr>
        <w:pStyle w:val="3"/>
        <w:numPr>
          <w:ilvl w:val="0"/>
          <w:numId w:val="0"/>
        </w:numPr>
        <w:spacing w:before="156" w:after="156"/>
      </w:pPr>
      <w:bookmarkStart w:id="1034" w:name="_Toc900034"/>
      <w:r>
        <w:rPr>
          <w:rFonts w:hint="eastAsia"/>
        </w:rPr>
        <w:t>6.4 通过上市公司平台实现资本化的企业</w:t>
      </w:r>
      <w:bookmarkEnd w:id="1034"/>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5" w:name="_Toc900035"/>
      <w:r>
        <w:rPr>
          <w:rFonts w:hint="eastAsia"/>
        </w:rPr>
        <w:t>6.5 IPO终止或撤回的企业</w:t>
      </w:r>
      <w:bookmarkEnd w:id="1035"/>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6" w:name="_Toc900036"/>
      <w:r>
        <w:rPr>
          <w:rFonts w:hint="eastAsia"/>
        </w:rPr>
        <w:t>6.6 资本化特征小结</w:t>
      </w:r>
      <w:bookmarkEnd w:id="1036"/>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7" w:name="_Toc900037"/>
      <w:r>
        <w:rPr>
          <w:rFonts w:hint="eastAsia"/>
          <w:b/>
        </w:rPr>
        <w:t>与国泰海通相关的产业链公司</w:t>
      </w:r>
      <w:bookmarkEnd w:id="1037"/>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8" w:name="_Toc900038"/>
      <w:r>
        <w:rPr>
          <w:rFonts w:hint="eastAsia"/>
        </w:rPr>
        <w:t>7.1 券商谱系</w:t>
      </w:r>
      <w:bookmarkEnd w:id="1038"/>
    </w:p>
    <w:p>
      <w:pPr>
        <w:keepNext/>
        <w:jc w:val="center"/>
      </w:pPr>
      <w:r>
        <w:rPr>
          <w:rFonts w:hint="eastAsia"/>
          <w:b/>
          <w:sz w:val="21"/>
        </w:rPr>
        <w:t>表12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keepNext/>
        <w:jc w:val="center"/>
      </w:pPr>
      <w:r>
        <w:drawing>
          <wp:inline xmlns:a="http://schemas.openxmlformats.org/drawingml/2006/main" xmlns:pic="http://schemas.openxmlformats.org/drawingml/2006/picture">
            <wp:extent cx="5074920" cy="2105551"/>
            <wp:docPr id="9" name="Picture 9"/>
            <wp:cNvGraphicFramePr>
              <a:graphicFrameLocks noChangeAspect="1"/>
            </wp:cNvGraphicFramePr>
            <a:graphic>
              <a:graphicData uri="http://schemas.openxmlformats.org/drawingml/2006/picture">
                <pic:pic>
                  <pic:nvPicPr>
                    <pic:cNvPr id="0" name="fig8.png"/>
                    <pic:cNvPicPr/>
                  </pic:nvPicPr>
                  <pic:blipFill>
                    <a:blip r:embed="rId24"/>
                    <a:stretch>
                      <a:fillRect/>
                    </a:stretch>
                  </pic:blipFill>
                  <pic:spPr>
                    <a:xfrm>
                      <a:off x="0" y="0"/>
                      <a:ext cx="5074920" cy="2105551"/>
                    </a:xfrm>
                    <a:prstGeom prst="rect"/>
                  </pic:spPr>
                </pic:pic>
              </a:graphicData>
            </a:graphic>
          </wp:inline>
        </w:drawing>
      </w:r>
    </w:p>
    <w:p>
      <w:pPr>
        <w:jc w:val="center"/>
      </w:pPr>
      <w:r>
        <w:rPr>
          <w:rFonts w:hint="eastAsia"/>
          <w:b/>
          <w:sz w:val="21"/>
        </w:rPr>
        <w:t>图9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39" w:name="_Toc900039"/>
      <w:r>
        <w:rPr>
          <w:rFonts w:hint="eastAsia"/>
        </w:rPr>
        <w:t>7.2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0" w:name="_Toc900040"/>
      <w:r>
        <w:rPr>
          <w:rFonts w:hint="eastAsia"/>
        </w:rPr>
        <w:t>7.3 正在保荐、在审或辅导中的公司</w:t>
      </w:r>
      <w:bookmarkEnd w:id="1040"/>
    </w:p>
    <w:p>
      <w:pPr>
        <w:keepNext/>
        <w:jc w:val="center"/>
      </w:pPr>
      <w:r>
        <w:rPr>
          <w:rFonts w:hint="eastAsia"/>
          <w:b/>
          <w:sz w:val="21"/>
        </w:rPr>
        <w:t>表14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1" w:name="_Toc900041"/>
      <w:r>
        <w:rPr>
          <w:rFonts w:hint="eastAsia"/>
        </w:rPr>
        <w:t>7.4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7.5 股权投资与产业基金</w:t>
      </w:r>
      <w:bookmarkEnd w:id="1042"/>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3" w:name="_Toc900043"/>
      <w:r>
        <w:rPr>
          <w:rFonts w:hint="eastAsia"/>
        </w:rPr>
        <w:t>7.6 关联全景与小结</w:t>
      </w:r>
      <w:bookmarkEnd w:id="1043"/>
    </w:p>
    <w:p>
      <w:pPr>
        <w:pStyle w:val="a0"/>
      </w:pPr>
      <w:r>
        <w:rPr>
          <w:rFonts w:hint="eastAsia"/>
        </w:rPr>
        <w:t>国泰海通系在本产业链已保荐上市8家、正在保荐或辅导6家、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投资侧集中于整机与具身智能（智元、智平方、宇树、银河通用、首形科技、飒智智能）。</w:t>
      </w:r>
    </w:p>
    <w:p>
      <w:pPr>
        <w:pStyle w:val="a0"/>
      </w:pPr>
      <w:r>
        <w:rPr>
          <w:rFonts w:hint="eastAsia"/>
        </w:rPr>
        <w:t>但谐波减速器环节仅有绿的谐波一家且为2020年的IPO项目，编码器与一体化关节模组环节则未见保荐、辅导或投资案例。无锡巨蟹所处的环节，恰是国泰海通现有项目储备中相对薄弱的部分；该环节已有绿的谐波、来福谐波作为估值参照，纽氏达特、新剑传动、智同科技等同类企业亦已进入辅导阶段。需要注意的是，已由国泰海通保荐上市的三瑞智能与新睿电子，其产品均包含电机、编码器等与无锡巨蟹重合的部件，推进类似项目时需提前厘清潜在竞争关系。</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