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统一社会信用代码</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系发行人控股股东燕京啤酒控制的企业，同时为发行人参股公司；发行人持有其33.00%股权并按权益法核算，未纳入合并报表范围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根据其2025年第二次临时股东会决议，已于2025年12月变更为兰善锋，同期撤销监事或监事会并重新制定公司章程。其2025年度审计报告所载法定代表人为变更前的孟庆民，引用时需注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受同一控股股东燕京啤酒控制，属于《首次公开发行股票注册管理办法》第十二条所述控股股东、实际控制人控制的其他企业范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其中纳福多肽类3,187.67万元、肠溶型（纳豆）胶囊类4,450.05万元、羊乳粉类1,595.44万元、纳豆胶囊688.14万元、大粒纳豆119.40万元，与发行人在售的燕京纳福多肽、1*2肠溶型胶囊礼盒（80粒）、有机全脂羊乳粉、大粒36盒等产品属于同类产品，双方产品线高度重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尽调过程中另发现，发行人对中发邢台33.00%股权的长期股权投资采用权益法核算，截至2026年6月30日账面余额为3,311.41万元，其中投资成本3,300.00万元、损益调整11.41万元。该损益调整金额系按中发邢台2024年度净利润34.57万元的33.00%确认，与权益法要求一致；但2025年度及2026年1-6月，发行人未就应享有的中发邢台净损益份额确认投资收益，其2026年6月30日利润表中投资收益项目及其中对联营企业和合营企业的投资收益项目均为零，长期股权投资账面余额自2024年末起亦未发生变动。按中发邢台2025年度净利润2,213.62万元、2026年1-6月净利润601.51万元测算，发行人应补计的投资收益分别约为730.49万元和198.50万元，累计约928.99万元，相应少计长期股权投资、净利润及净资产（上述测算未考虑双方内部交易未实现损益的抵销影响）。该事项应作为前期差错更正处理，具体金额需在会计师进场后核实。本次重组完成后，中发邢台纳入合并报表范围，上述权益法核算问题将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注：发行人2026年1-6月毛利根据其2026年6月30日利润表营业收入20,814.62万元、营业成本9,890.45万元计算，毛利率为52.48%；中发邢台2024年度、2025年度数据取自其审计报告，2026年1-6月数据取自其财务报表，未经审计。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针对上述同业竞争情形，建议按照将竞争业务整体纳入上市主体的思路予以彻底解决，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在法律形式上表现为燕京啤酒以其持有的中发邢台67.00%股权作价出资、对发行人进行非货币资产增资（股权出资），在交易实质上为发行人以定向增发股权作为支付对价收购中发邢台控股权，全程不涉及现金支付。交易完成后，中发邢台由发行人持股100%，成为发行人全资子公司；燕京啤酒在发行人层面的持股比例相应提升，燕京集团、食品发酵研究院持股比例被动稀释，发行人控股股东、实际控制人均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相较于以现金支付对价的股权收购方案，股权支付方案具有以下优势：一是无需占用发行人经营资金，避免为支付收购款而增加负债或影响在建产能投入；二是股权支付比例达到100%，可满足企业重组特殊性税务处理关于股权支付比例不低于85%的条件，燕京啤酒转让所得可暂不确认、实现企业所得税递延（详见④税费测算）；三是进一步提升控股股东持股比例，有利于分拆上市后控制权的稳定。因此，建议优先采用股权支付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此外，本次重组仅涉及中发邢台股权的划入，不涉及发行人现有业务、资产的划出，交易结构简单、边界清晰，无需通过分立、资产剥离等复杂路径实现，重组周期相对可控。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本次新增出资额为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请注意的是，本次重组将使燕京啤酒在发行人层面的持股比例由80.00%提升至约84.35%，燕京集团、食品发酵研究院的持股比例相应下降。鉴于发行人后续拟通过混合所有制改革引入战略投资者并实施员工持股，两项交易均涉及发行人股权结构变动，建议统筹安排先后顺序：先实施中发邢台股权注入，再实施混改增资。理由在于，一是股权注入完成后上市主体业务、资产完整，战略投资者的估值基础更为真实，有利于混改定价的公允性论证；二是可避免战略投资者及员工持股平台入股后再由控股股东注入关联资产，引发新股东权益稀释争议并需重新履行审批程序；三是可将两项交易的审计、评估基准日统一，一次审计评估同时服务于中发邢台股权注入与混改清产核资，节约时间及中介成本。</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本次交易的双方均为国有控股企业，交易标的为国有股权，须严格履行审计、评估、备案及国资审批程序，主要环节如下：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考虑到发行人混改事项拟以2026年7月底为清产核资审计基准日，建议将本次重组的审计基准日与之统一，避免重复审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的规定，企业发生非上市公司国有股东股权比例变动、以非货币资产对外投资等行为的，应当对相关资产进行评估，评估项目实行核准制和备案制。本次交易同时涉及发行人国有股东股权比例变动及燕京啤酒以非货币资产（股权）对外投资，须聘请具有证券期货相关业务资格的评估机构，对中发邢台股东全部权益价值出具资产评估报告，并报国资监管部门备案，以经备案的评估结果作为交易定价依据。评估方法建议采用资产基础法与收益法相结合，考虑到中发邢台在建工程金额较大、产能尚未完全释放，需在评估中充分反映其后续盈利能力。</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的规定，企业增资原则上应当通过产权交易机构公开进行；但因国有资本布局结构调整需要、由特定的国有及国有控股企业参与增资的，经国家出资企业审议决策后可以采取非公开协议方式进行。本次由控股股东燕京啤酒以其持有的股权对发行人增资，属于同一国家出资企业体系内部的资源整合，具备采取非公开协议方式增资的政策基础。建议在方案启动前即就交易方式的适用性与北控集团、北京市国资委及北京产权交易所进行专项沟通并取得明确意见，避免因需公开挂牌征集投资方而延长重组周期。该环节系本次重组的关键路径，建议尽早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同时，燕京啤酒作为A股上市公司，本次以其持有的子公司股权对控股子公司增资，需按照上市公司信息披露相关规定履行内部审议及披露程序。需说明的是，该交易对燕京啤酒而言属于合并报表范围内部的架构调整，对发行人而言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以中发邢台2026年6月30日账面净资产12,849.70万元的67.00%即8,609.30万元作为模拟交易作价，燕京啤酒取得该部分股权的计税基础为其实缴出资额6,700.00万元，本次交易涉及的主要税种及测算情况如下：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企业重组中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商业目的：本次重组系为消除同业竞争、夯实上市主体独立性与资产完整性，商业目的合理，非以避税为主要目的；②收购比例：本次收购中发邢台67.00%股权，高于50%；③经营连续性：重组后中发邢台继续从事纳豆及纳豆制品的生产销售，不改变原实质性经营活动；④股权支付比例：本次对价100%以发行人自身股权支付，高于85%；⑤股权锁定：燕京啤酒取得的发行人股权在重组后12个月内不得转让，与分拆上市的持股安排不冲突。综上，本次交易预计可满足特殊性税务处理条件。</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若满足全部条件：燕京啤酒暂不确认股权转让所得，其取得的发行人股权计税基础以被转让的中发邢台股权原计税基础确定，实现所得税递延；②若不满足条件：燕京啤酒需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企业所得税为0万元；②适用一般性税务处理的，燕京啤酒股权转让所得为1,909.30万元，预计企业所得税为477.32万元。建议在方案报批前就特殊性税务处理的适用性与主管税务机关进行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本次交易为股权转让，中发邢台名下的房屋建筑物及在建工程的权属未发生转移，且中发邢台账面无土地使用权，不属于土地增值税征税范围。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预计为0万元。需注意，若先行实施土地收购事项（详见本节4、土地收购），该项交易将单独涉及土地增值税，应分别测算。</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本次增资涉及股权转让书据及发行人资金账簿。就本次交易能否适用企业改制重组印花税优惠政策，需与主管税务机关确认。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按模拟作价8,609.30万元测算，双方各需缴纳约4.30万元，合计约8.61万元。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适用特殊性税务处理的，预计税费合计约8.61万元；适用一般性税务处理的，预计税费合计约485.93万元。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注：上述测算系以账面净资产为基础的模拟测算，仅供参考。本次交易的实际税务成本，应以经备案的评估结果确定的交易作价为基础，并参考主管税务机关的意见另行测算。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除税费成本外，本次重组还将发生审计费、评估费、法律服务费及工商变更服务费等中介机构费用，预计整体成本约100万元，属一次性支出，具体以各中介机构最终报价为准。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应按照被合并方在最终控制方合并财务报表中的账面价值计量，不产生商誉，并对合并财务报表的比较期间进行追溯调整。以简单加总方式模拟合并后，发行人主要财务数据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由于中发邢台自2024年5月设立起即由燕京啤酒控制，追溯调整后各期归属于母公司股东的净利润为中发邢台100%的净利润。根据《公开发行证券的公司信息披露解释性公告第1号——非经常性损益》的规定，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资产总额、营业收入及净利润占发行人相应指标的比例分别为33.73%、23.12%和16.59%，均低于100%，初步判断本次重组无需在完成后运行一个完整会计年度。但需提请注意，以2026年6月末数据测算，中发邢台资产总额占发行人资产总额的比例已升至54.85%，主要系其2026年上半年其他应收款（内部资金往来）由3,952.53万元大幅增加至16,640.95万元所致。建议在重组实施前先行清理中发邢台与集团内部的资金往来，清理后中发邢台资产总额约为10,587.40万元、占比降至约21.33%，既可降低相关比例、避免触及重大资产重组认定标准，亦有利于同步解决资金占用及独立性问题。最终认定应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建议按以下四个阶段推进，全程留痕、规范落地，确保重组完成后运营稳定、合规可核查：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全套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确保财务核算连续、准确；整合双方的采购、生产、销售、研发体系及内控制度，实现统一管理；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按上述安排，本次重组可在发行人股改基准日（2026年10月31日）前后完成主体程序，最迟应于2026年12月股份制改造完成前实施完毕，使股份制改造以整合后的主体架构为基础，避免报告期内发生重大架构变动。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除中发邢台外，应对燕京啤酒、燕京集团、北控集团及其控制的其他企业进行全面排查，核查是否存在其他从事纳豆及大健康食品业务的主体，一并纳入本次整合方案或作出相应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应结合《上市公司分拆规则（试行）》的相关条件，核查本次资产注入是否对燕京啤酒分拆发行人上市构成障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虽同样采取先款后货模式，但《销售模式说明》明确约定货物到达后由客户签收并验收、破损短少及质量问题应于收货当日提出，即运输途中的风险仍由公司承担，控制权在客户签收时方转移，不具备援引发货确认的合同基础。若公司拟改为发货时点确认，则须先行修改经销协议、将风险转移点前移，但此举将与现行验收条款冲突，且极易被质疑系为迎合会计处理而修改合同条款，不建议采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唯一支持性单据，与上述行业惯例及审核口径存在明显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且零售订单笔数多、单笔金额小，无法逐笔取得客户签收凭据，汤臣倍健上述按平均到货期确认的处理方式已经审核认可，对公司具有直接的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高度敏感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而影响资料的可信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