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公司的主要产品为机器人一体化关节模组及谐波减速机等核心零部件，在机器人产业链中处于核心零部件环节。根据《国民经济行业分类》（GB/T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表4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图1  人形机器人硬件成本结构</w:t>
      </w:r>
    </w:p>
    <w:p>
      <w:pPr>
        <w:spacing w:before="120" w:after="60"/>
        <w:jc w:val="center"/>
        <w:keepNext/>
      </w:pPr>
      <w:r>
        <w:drawing>
          <wp:inline xmlns:a="http://schemas.openxmlformats.org/drawingml/2006/main" xmlns:pic="http://schemas.openxmlformats.org/drawingml/2006/picture">
            <wp:extent cx="5029200" cy="1978860"/>
            <wp:docPr id="1" name="Picture 1"/>
            <wp:cNvGraphicFramePr>
              <a:graphicFrameLocks noChangeAspect="1"/>
            </wp:cNvGraphicFramePr>
            <a:graphic>
              <a:graphicData uri="http://schemas.openxmlformats.org/drawingml/2006/picture">
                <pic:pic>
                  <pic:nvPicPr>
                    <pic:cNvPr id="0" name="fig2.png"/>
                    <pic:cNvPicPr/>
                  </pic:nvPicPr>
                  <pic:blipFill>
                    <a:blip r:embed="rId36"/>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图2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2" name="Picture 2"/>
            <wp:cNvGraphicFramePr>
              <a:graphicFrameLocks noChangeAspect="1"/>
            </wp:cNvGraphicFramePr>
            <a:graphic>
              <a:graphicData uri="http://schemas.openxmlformats.org/drawingml/2006/picture">
                <pic:pic>
                  <pic:nvPicPr>
                    <pic:cNvPr id="0" name="fig3.png"/>
                    <pic:cNvPicPr/>
                  </pic:nvPicPr>
                  <pic:blipFill>
                    <a:blip r:embed="rId37"/>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按此测算平均单价约2,000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图3  全球谐波减速机产能</w:t>
      </w:r>
    </w:p>
    <w:p>
      <w:pPr>
        <w:spacing w:before="120" w:after="60"/>
        <w:jc w:val="center"/>
        <w:keepNext/>
      </w:pPr>
      <w:r>
        <w:drawing>
          <wp:inline xmlns:a="http://schemas.openxmlformats.org/drawingml/2006/main" xmlns:pic="http://schemas.openxmlformats.org/drawingml/2006/picture">
            <wp:extent cx="5029200" cy="2191225"/>
            <wp:docPr id="3" name="Picture 3"/>
            <wp:cNvGraphicFramePr>
              <a:graphicFrameLocks noChangeAspect="1"/>
            </wp:cNvGraphicFramePr>
            <a:graphic>
              <a:graphicData uri="http://schemas.openxmlformats.org/drawingml/2006/picture">
                <pic:pic>
                  <pic:nvPicPr>
                    <pic:cNvPr id="0" name="fig4.png"/>
                    <pic:cNvPicPr/>
                  </pic:nvPicPr>
                  <pic:blipFill>
                    <a:blip r:embed="rId38"/>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w:t>
      </w:r>
    </w:p>
    <w:p>
      <w:pPr>
        <w:spacing w:before="120" w:after="60"/>
        <w:jc w:val="center"/>
        <w:keepNext/>
      </w:pPr>
      <w:r>
        <w:rPr>
          <w:rFonts w:ascii="Times New Roman" w:hAnsi="Times New Roman" w:eastAsia="宋体"/>
          <w:b/>
          <w:sz w:val="21"/>
        </w:rPr>
        <w:t>图4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4" name="Picture 4"/>
            <wp:cNvGraphicFramePr>
              <a:graphicFrameLocks noChangeAspect="1"/>
            </wp:cNvGraphicFramePr>
            <a:graphic>
              <a:graphicData uri="http://schemas.openxmlformats.org/drawingml/2006/picture">
                <pic:pic>
                  <pic:nvPicPr>
                    <pic:cNvPr id="0" name="fig0.png"/>
                    <pic:cNvPicPr/>
                  </pic:nvPicPr>
                  <pic:blipFill>
                    <a:blip r:embed="rId39"/>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0"/>
        <w:jc w:val="both"/>
      </w:pPr>
      <w:r>
        <w:rPr>
          <w:rFonts w:ascii="Times New Roman" w:hAnsi="Times New Roman" w:eastAsia="宋体"/>
          <w:b w:val="0"/>
          <w:sz w:val="24"/>
        </w:rPr>
        <w:t>公司处于中游环节，以一体化关节模组为主要产品形态。</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将扩大本环节的需求空间，实际订单释放还取决于整机厂商的自制比例与供应商导入节奏。人形机器人的产业化进程构成本环节最主要的成长来源。</w:t>
      </w:r>
    </w:p>
    <w:p>
      <w:pPr>
        <w:spacing w:line="360" w:lineRule="auto" w:before="120"/>
        <w:ind w:firstLine="480"/>
        <w:jc w:val="both"/>
      </w:pPr>
      <w:r>
        <w:rPr>
          <w:rFonts w:ascii="Times New Roman" w:hAnsi="Times New Roman" w:eastAsia="宋体"/>
          <w:b w:val="0"/>
          <w:sz w:val="24"/>
        </w:rPr>
        <w:t>单机成本的下降是推动需求放量的重要变量。随着执行器方案成熟、关键零部件国产化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条曲线的交叉意味着，购置一台人形机器人的一次性投入已低于雇佣一名工人一年的薪酬支出；替代能否成立还取决于设备的开工率、使用寿命与运行维护成本。成本的持续下行同时打开了此前因价格门槛而无法覆盖的场景，可经济性替代的岗位范围随之扩大，为本行业的长期增长提供支撑。</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（1）由定制化供应转向标准化模块采购</w:t>
      </w:r>
    </w:p>
    <w:p>
      <w:pPr>
        <w:spacing w:line="360" w:lineRule="auto" w:before="120"/>
        <w:ind w:firstLine="480"/>
        <w:jc w:val="both"/>
      </w:pPr>
      <w:r>
        <w:rPr>
          <w:rFonts w:ascii="Times New Roman" w:hAnsi="Times New Roman" w:eastAsia="宋体"/>
          <w:b w:val="0"/>
          <w:sz w:val="24"/>
        </w:rPr>
        <w:t>整机厂商获取关节模组的方式有三种：自行设计并自建产线装配、自行设计后委托零部件厂商加工、按性能与接口要求向零部件厂商定制采购。多数整机厂商掌握执行器的设计与控制算法，批量装配和一致性控制由零部件厂商承担，谐波减速机、丝杠、无框电机等关键件基本来自外部供应。整机厂商的能力重心在产品定义、本体集成和运动控制，向零部件制造延伸的并不多见。</w:t>
      </w:r>
    </w:p>
    <w:p>
      <w:pPr>
        <w:spacing w:line="360" w:lineRule="auto" w:before="120"/>
        <w:ind w:firstLine="480"/>
        <w:jc w:val="both"/>
      </w:pPr>
      <w:r>
        <w:rPr>
          <w:rFonts w:ascii="Times New Roman" w:hAnsi="Times New Roman" w:eastAsia="宋体"/>
          <w:b w:val="0"/>
          <w:sz w:val="24"/>
        </w:rPr>
        <w:t>本环节目前以定制化供应为主，一个客户一套规格，尚未形成可直接选型的标准产品。整机出货量有限，难以支撑供应商投入专用工装所需的长期采购承诺；各家整机的机械结构、热管理与控制方案不同，接口与规格缺少统一依据。行业因此仍处于前模块化阶段。</w:t>
      </w:r>
    </w:p>
    <w:p>
      <w:pPr>
        <w:spacing w:line="360" w:lineRule="auto" w:before="120"/>
        <w:ind w:firstLine="480"/>
        <w:jc w:val="both"/>
      </w:pPr>
      <w:r>
        <w:rPr>
          <w:rFonts w:ascii="Times New Roman" w:hAnsi="Times New Roman" w:eastAsia="宋体"/>
          <w:b w:val="0"/>
          <w:sz w:val="24"/>
        </w:rPr>
        <w:t>各家整机产品的结构形态正在趋同，关节模组的规格随之向少数几类收敛，标准化的条件逐步具备。产业价值中心的迁移可分为三个阶段：2025年以前为技术验证阶段，价值集中在整机厂；2026年至2030年为规模量产阶段，整机厂与关节模组厂商共同主导；2030年以后进入产业成熟阶段，由关节模组一级供应商主导。整机厂商预计会在差异化环节保留自主设计，在标准化程度较高的规格上转向采购。</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第三，关节技术路线存在分化。据觅途咨询判断，下肢关节的准直驱方案预计2027年至2028年占据30%以上份额，上半身精密关节仍以谐波方案为主。不同部位的技术路线选择存在变化的可能。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部分整机厂商向上游延伸自制。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核心工艺参数依赖长期试错积累，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公司具备谐波减速机的自主研发能力，柔轮等核心件实现自制，在成本控制上具有起点优势。</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据公司管理层提供的未经审计数据，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