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因而直接转化为本环节的需求增长，人形机器人的产业化进程构成本环节最主要的成长来源。</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在连续作业的岗位上，购置一台人形机器人的一次性投入已低于雇佣一名工人一年的支出，机器替代人工开始具备经济性。成本的持续下行同时打开了此前因价格门槛而无法覆盖的场景，可经济性替代的岗位范围随之扩大，构成本行业长期增长的基础。</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执行器领域尚未出现类似汽车发动机供应商的专业角色，行业仍处于前模块化阶段。整机厂商选择自研，主要是因为可选供应商有限、需要自行把控成本与性能、保护知识产权并加快迭代，并非长期的战略偏好。整机厂商目前也难以给出供应商投入大规模研发与工装所需的长期采购量承诺。自研格局因此会延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产业价值中心的迁移可分为三个阶段：2025年以前为技术验证阶段，价值集中在整机厂；2026年至2030年为规模量产阶段，整机厂与关节模组厂商共同主导；2030年以后进入产业成熟阶段，由关节模组一级供应商主导。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尚未锁定的窗口期以价格争夺早期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