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已上市的产业链相关公司一览（按环节）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6.7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_Toc900038 \h </w:instrText>
            </w:r>
            <w:r>
              <w:rPr>
                <w:webHidden/>
                <w:noProof/>
                <w:sz w:val="24"/>
                <w:szCs w:val="24"/>
              </w:rPr>
              <w:fldChar w:fldCharType="separate"/>
            </w:r>
            <w:r>
              <w:rPr>
                <w:webHidden/>
                <w:noProof/>
                <w:sz w:val="24"/>
                <w:szCs w:val="24"/>
              </w:rPr>
              <w:t>39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7.1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7.2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7.3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7.4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7.5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45</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新战略咨询（新战略机器人产业研究所）与人形机器人场景应用联盟《2025—2026年度人形机器人产业发展研究报告》，2025年中国人形机器人已形成教育科研、数据采集、交互服务、工业物流和娱乐表演五大应用场景，并按统一口径披露了各场景的出货量结构：教育科研占42%，数据采集占19%，交互服务占19%，娱乐表演占16%，工业物流约占4%（轧差）。</w:t>
      </w:r>
    </w:p>
    <w:p>
      <w:pPr>
        <w:keepNext/>
        <w:jc w:val="center"/>
      </w:pPr>
      <w:r>
        <w:drawing>
          <wp:inline xmlns:a="http://schemas.openxmlformats.org/drawingml/2006/main" xmlns:pic="http://schemas.openxmlformats.org/drawingml/2006/picture">
            <wp:extent cx="5074920" cy="2429482"/>
            <wp:docPr id="4" name="Picture 4"/>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074920" cy="2429482"/>
                    </a:xfrm>
                    <a:prstGeom prst="rect"/>
                  </pic:spPr>
                </pic:pic>
              </a:graphicData>
            </a:graphic>
          </wp:inline>
        </w:drawing>
      </w:r>
    </w:p>
    <w:p>
      <w:pPr>
        <w:jc w:val="center"/>
      </w:pPr>
      <w:r>
        <w:rPr>
          <w:rFonts w:hint="eastAsia"/>
          <w:b/>
          <w:sz w:val="21"/>
        </w:rPr>
        <w:t>图4  2025年中国人形机器人出货量的应用场景结构</w:t>
      </w:r>
    </w:p>
    <w:p>
      <w:pPr>
        <w:pStyle w:val="a6"/>
        <w:jc w:val="center"/>
      </w:pPr>
      <w:r>
        <w:rPr>
          <w:rFonts w:hint="eastAsia"/>
          <w:sz w:val="11"/>
          <w:szCs w:val="11"/>
        </w:rPr>
        <w:t>数据来源：新战略咨询与人形机器人场景应用联盟《2025—2026年度人形机器人产业发展研究报告》，2026年3月30日发布。教育科研、数据采集、交互服务、娱乐表演四项为该报告披露值，工业物流4%为100%减去上述四项的轧差值。该口径与本报告3.1节的2万台出货量为同一来源。</w:t>
      </w:r>
    </w:p>
    <w:p>
      <w:pPr>
        <w:pStyle w:val="a0"/>
      </w:pPr>
      <w:r>
        <w:rPr>
          <w:rFonts w:hint="eastAsia"/>
        </w:rPr>
        <w:t>需要特别注意的是，出货量结构与市场规模结构并不一致。同一份报告指出，按市场规模口径，数据采集、教育科研、交互服务是规模最大的三个场景，合计支撑超过80%的市场需求。二者背离的原因在于各场景的产品与服务价值量不同：教育科研的采购方为高校和科研机构，单次采购规模小、单价低（通常几万元至一二十万元），因而出货量占比最高但市场规模占比相对较小；数据采集的采购方为政务平台与国资产业基地，单次采购规模一般在百台以上、采购金额大且服务占比高，因而以19%的出货量占比贡献了更大的规模份额。</w:t>
      </w:r>
    </w:p>
    <w:p>
      <w:pPr>
        <w:pStyle w:val="a0"/>
      </w:pPr>
      <w:r>
        <w:rPr>
          <w:rFonts w:hint="eastAsia"/>
        </w:rPr>
        <w:t>除上述五分类外，企业在收入披露中更常使用科研教育、商业消费、行业应用的三分类，以宇树科技招股文件为代表。两套分类的对应关系、特征与规模参考如下：</w:t>
      </w:r>
    </w:p>
    <w:p>
      <w:pPr>
        <w:keepNext/>
        <w:jc w:val="center"/>
      </w:pPr>
      <w:r>
        <w:rPr>
          <w:rFonts w:hint="eastAsia"/>
          <w:b/>
          <w:sz w:val="21"/>
        </w:rPr>
        <w:t>表6  2025年中国人形机器人下游应用场景结构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8"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16"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753" w:type="pct"/>
            <w:tcBorders>
              <w:top w:val="single" w:sz="12" w:space="0" w:color="010000"/>
              <w:bottom w:val="single" w:sz="4" w:space="0" w:color="010000"/>
            </w:tcBorders>
            <w:vAlign w:val="center"/>
          </w:tcPr>
          <w:p>
            <w:pPr>
              <w:keepNext/>
              <w:jc w:val="center"/>
            </w:pPr>
            <w:r/>
            <w:r>
              <w:rPr>
                <w:rFonts w:hint="eastAsia"/>
                <w:b/>
                <w:color w:val="000000"/>
                <w:sz w:val="21"/>
              </w:rPr>
              <w:t>出货量占比</w:t>
            </w:r>
          </w:p>
        </w:tc>
        <w:tc>
          <w:tcPr>
            <w:tcW w:w="1575"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507" w:type="pct"/>
            <w:tcBorders>
              <w:top w:val="single" w:sz="12" w:space="0" w:color="010000"/>
              <w:bottom w:val="single" w:sz="4" w:space="0" w:color="010000"/>
            </w:tcBorders>
            <w:vAlign w:val="center"/>
          </w:tcPr>
          <w:p>
            <w:pPr>
              <w:keepNext/>
              <w:jc w:val="center"/>
            </w:pPr>
            <w:r/>
            <w:r>
              <w:rPr>
                <w:rFonts w:hint="eastAsia"/>
                <w:b/>
                <w:color w:val="000000"/>
                <w:sz w:val="21"/>
              </w:rPr>
              <w:t>市场规模口径下的地位</w:t>
            </w:r>
          </w:p>
        </w:tc>
      </w:tr>
      <w:tr>
        <w:trPr>
          <w:cantSplit/>
          <w:jc w:val="center"/>
        </w:trPr>
        <w:tc>
          <w:tcPr>
            <w:tcW w:w="548" w:type="pct"/>
            <w:tcBorders>
              <w:top w:val="single" w:sz="4" w:space="0" w:color="010000"/>
            </w:tcBorders>
            <w:vAlign w:val="center"/>
          </w:tcPr>
          <w:p>
            <w:pPr>
              <w:jc w:val="left"/>
            </w:pPr>
            <w:r/>
            <w:r>
              <w:rPr>
                <w:rFonts w:hint="eastAsia"/>
                <w:color w:val="000000"/>
                <w:sz w:val="21"/>
              </w:rPr>
              <w:t>科研教育</w:t>
            </w:r>
          </w:p>
        </w:tc>
        <w:tc>
          <w:tcPr>
            <w:tcW w:w="616" w:type="pct"/>
            <w:tcBorders>
              <w:top w:val="single" w:sz="4" w:space="0" w:color="010000"/>
            </w:tcBorders>
            <w:vAlign w:val="center"/>
          </w:tcPr>
          <w:p>
            <w:pPr>
              <w:jc w:val="left"/>
            </w:pPr>
            <w:r/>
            <w:r>
              <w:rPr>
                <w:rFonts w:hint="eastAsia"/>
                <w:color w:val="000000"/>
                <w:sz w:val="21"/>
              </w:rPr>
              <w:t>教育科研、数据采集</w:t>
            </w:r>
          </w:p>
        </w:tc>
        <w:tc>
          <w:tcPr>
            <w:tcW w:w="753" w:type="pct"/>
            <w:tcBorders>
              <w:top w:val="single" w:sz="4" w:space="0" w:color="010000"/>
            </w:tcBorders>
            <w:vAlign w:val="center"/>
          </w:tcPr>
          <w:p>
            <w:pPr>
              <w:jc w:val="left"/>
            </w:pPr>
            <w:r/>
            <w:r>
              <w:rPr>
                <w:rFonts w:hint="eastAsia"/>
                <w:color w:val="000000"/>
                <w:sz w:val="21"/>
              </w:rPr>
              <w:t>合计61%（教育科研42%＋数据采集19%）</w:t>
            </w:r>
          </w:p>
        </w:tc>
        <w:tc>
          <w:tcPr>
            <w:tcW w:w="1575"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高校、职业院校、科研机构，以及政务平台与国资产业基地。教育科研采购频次高但单次规模小；数据采集单次常在百台以上、服务占比高。</w:t>
            </w:r>
          </w:p>
        </w:tc>
        <w:tc>
          <w:tcPr>
            <w:tcW w:w="1507" w:type="pct"/>
            <w:tcBorders>
              <w:top w:val="single" w:sz="4" w:space="0" w:color="010000"/>
            </w:tcBorders>
            <w:vAlign w:val="center"/>
          </w:tcPr>
          <w:p>
            <w:pPr>
              <w:jc w:val="left"/>
            </w:pPr>
            <w:r/>
            <w:r>
              <w:rPr>
                <w:rFonts w:hint="eastAsia"/>
                <w:color w:val="000000"/>
                <w:sz w:val="21"/>
              </w:rPr>
              <w:t>两者均属规模最大的三个场景。数据采集是2025年千万元级与亿元级订单的主要来源。作为参照，宇树科技2025年前三季度人形机器人收入中科研教育占73.6%。</w:t>
            </w:r>
          </w:p>
        </w:tc>
      </w:tr>
      <w:tr>
        <w:trPr>
          <w:cantSplit/>
          <w:jc w:val="center"/>
        </w:trPr>
        <w:tc>
          <w:tcPr>
            <w:tcW w:w="548" w:type="pct"/>
            <w:tcBorders>
              <w:top w:val="single" w:sz="4" w:space="0" w:color="010000"/>
            </w:tcBorders>
            <w:vAlign w:val="center"/>
          </w:tcPr>
          <w:p>
            <w:pPr>
              <w:jc w:val="left"/>
            </w:pPr>
            <w:r/>
            <w:r>
              <w:rPr>
                <w:rFonts w:hint="eastAsia"/>
                <w:color w:val="000000"/>
                <w:sz w:val="21"/>
              </w:rPr>
              <w:t>商业消费</w:t>
            </w:r>
          </w:p>
        </w:tc>
        <w:tc>
          <w:tcPr>
            <w:tcW w:w="616" w:type="pct"/>
            <w:tcBorders>
              <w:top w:val="single" w:sz="4" w:space="0" w:color="010000"/>
            </w:tcBorders>
            <w:vAlign w:val="center"/>
          </w:tcPr>
          <w:p>
            <w:pPr>
              <w:jc w:val="left"/>
            </w:pPr>
            <w:r/>
            <w:r>
              <w:rPr>
                <w:rFonts w:hint="eastAsia"/>
                <w:color w:val="000000"/>
                <w:sz w:val="21"/>
              </w:rPr>
              <w:t>交互服务、娱乐表演</w:t>
            </w:r>
          </w:p>
        </w:tc>
        <w:tc>
          <w:tcPr>
            <w:tcW w:w="753" w:type="pct"/>
            <w:tcBorders>
              <w:top w:val="single" w:sz="4" w:space="0" w:color="010000"/>
            </w:tcBorders>
            <w:vAlign w:val="center"/>
          </w:tcPr>
          <w:p>
            <w:pPr>
              <w:jc w:val="left"/>
            </w:pPr>
            <w:r/>
            <w:r>
              <w:rPr>
                <w:rFonts w:hint="eastAsia"/>
                <w:color w:val="000000"/>
                <w:sz w:val="21"/>
              </w:rPr>
              <w:t>合计35%（交互服务19%＋娱乐表演16%）</w:t>
            </w:r>
          </w:p>
        </w:tc>
        <w:tc>
          <w:tcPr>
            <w:tcW w:w="1575"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企业展厅、博物馆、文旅场所，以及租赁与商演公司。以展示、导览和短周期活动为主，对可靠性与外观要求高、对负载要求低，需求弹性大。</w:t>
            </w:r>
          </w:p>
        </w:tc>
        <w:tc>
          <w:tcPr>
            <w:tcW w:w="1507" w:type="pct"/>
            <w:tcBorders>
              <w:top w:val="single" w:sz="4" w:space="0" w:color="010000"/>
            </w:tcBorders>
            <w:vAlign w:val="center"/>
          </w:tcPr>
          <w:p>
            <w:pPr>
              <w:jc w:val="left"/>
            </w:pPr>
            <w:r/>
            <w:r>
              <w:rPr>
                <w:rFonts w:hint="eastAsia"/>
                <w:color w:val="000000"/>
                <w:sz w:val="21"/>
              </w:rPr>
              <w:t>交互服务属规模最大的三个场景之一；娱乐表演因单价与服务占比较低，规模份额小于其出货量份额。</w:t>
            </w:r>
          </w:p>
        </w:tc>
      </w:tr>
      <w:tr>
        <w:trPr>
          <w:cantSplit/>
          <w:jc w:val="center"/>
        </w:trPr>
        <w:tc>
          <w:tcPr>
            <w:tcW w:w="548" w:type="pct"/>
            <w:tcBorders>
              <w:top w:val="single" w:sz="4" w:space="0" w:color="010000"/>
            </w:tcBorders>
            <w:vAlign w:val="center"/>
          </w:tcPr>
          <w:p>
            <w:pPr>
              <w:jc w:val="left"/>
            </w:pPr>
            <w:r/>
            <w:r>
              <w:rPr>
                <w:rFonts w:hint="eastAsia"/>
                <w:color w:val="000000"/>
                <w:sz w:val="21"/>
              </w:rPr>
              <w:t>行业应用</w:t>
            </w:r>
          </w:p>
        </w:tc>
        <w:tc>
          <w:tcPr>
            <w:tcW w:w="616" w:type="pct"/>
            <w:tcBorders>
              <w:top w:val="single" w:sz="4" w:space="0" w:color="010000"/>
            </w:tcBorders>
            <w:vAlign w:val="center"/>
          </w:tcPr>
          <w:p>
            <w:pPr>
              <w:jc w:val="left"/>
            </w:pPr>
            <w:r/>
            <w:r>
              <w:rPr>
                <w:rFonts w:hint="eastAsia"/>
                <w:color w:val="000000"/>
                <w:sz w:val="21"/>
              </w:rPr>
              <w:t>工业物流</w:t>
            </w:r>
          </w:p>
        </w:tc>
        <w:tc>
          <w:tcPr>
            <w:tcW w:w="753" w:type="pct"/>
            <w:tcBorders>
              <w:top w:val="single" w:sz="4" w:space="0" w:color="010000"/>
            </w:tcBorders>
            <w:vAlign w:val="center"/>
          </w:tcPr>
          <w:p>
            <w:pPr>
              <w:jc w:val="left"/>
            </w:pPr>
            <w:r/>
            <w:r>
              <w:rPr>
                <w:rFonts w:hint="eastAsia"/>
                <w:color w:val="000000"/>
                <w:sz w:val="21"/>
              </w:rPr>
              <w:t>约4%（轧差）</w:t>
            </w:r>
          </w:p>
        </w:tc>
        <w:tc>
          <w:tcPr>
            <w:tcW w:w="1575"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w:t>
            </w:r>
          </w:p>
        </w:tc>
        <w:tc>
          <w:tcPr>
            <w:tcW w:w="1507" w:type="pct"/>
            <w:tcBorders>
              <w:top w:val="single" w:sz="4" w:space="0" w:color="010000"/>
            </w:tcBorders>
            <w:vAlign w:val="center"/>
          </w:tcPr>
          <w:p>
            <w:pPr>
              <w:jc w:val="left"/>
            </w:pPr>
            <w:r/>
            <w:r>
              <w:rPr>
                <w:rFonts w:hint="eastAsia"/>
                <w:color w:val="000000"/>
                <w:sz w:val="21"/>
              </w:rPr>
              <w:t>规模占比最小。作为参照，宇树科技2025年前三季度人形机器人收入中工业商用场景约占9%，定制开发产品占比1.71%。</w:t>
            </w:r>
          </w:p>
        </w:tc>
      </w:tr>
    </w:tbl>
    <w:p>
      <w:pPr>
        <w:pStyle w:val="a6"/>
        <w:jc w:val="center"/>
      </w:pPr>
      <w:r>
        <w:rPr>
          <w:rFonts w:hint="eastAsia"/>
          <w:sz w:val="11"/>
          <w:szCs w:val="11"/>
        </w:rPr>
        <w:t>数据来源：出货量占比及市场规模排序取自新战略咨询与人形机器人场景应用联盟《2025—2026年度人形机器人产业发展研究报告》（2026年3月30日）；三分类框架及宇树单家公司收入占比取自宇树科技科创板IPO招股文件。两套分类的统计口径不同，不宜混用。</w:t>
      </w:r>
    </w:p>
    <w:p>
      <w:pPr>
        <w:pStyle w:val="a0"/>
      </w:pPr>
      <w:r>
        <w:rPr>
          <w:rFonts w:hint="eastAsia"/>
        </w:rPr>
        <w:t>对上游而言，这一结构有三层含义。第一，占出货量六成的科研教育与数据采集场景，需求集中在中小尺寸、成本敏感的机型上，拉动的是小规格谐波减速器、低压驱动器和微型编码器，对价格最为敏感；其中数据采集项目的百台级批量采购，是带动整机厂产能爬坡和关节模组批量采购的主要力量。第二，占出货量三分之一的商业消费场景，对关节的静音、轻量化和外观一致性有额外要求，但对扭矩和寿命要求不高。第三，真正对关节扭矩、寿命、防护等级和连续作业能力提出最高要求的工业物流场景，目前出货量占比仅约4%——这意味着高规格关节模组和防爆等特种型号的放量，取决于行业应用场景何时真正打开，而非当前的出货规模。</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1.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2025年国内人形机器人的出货结构与市场规模结构存在明显错配，各场景的出货量占比与市场规模地位详见本报告2.7节及图4。这一错配说明，当前行业的真实付费能力主要来自政府和国资平台主导的数据采集与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074920" cy="2105551"/>
                    </a:xfrm>
                    <a:prstGeom prst="rect"/>
                  </pic:spPr>
                </pic:pic>
              </a:graphicData>
            </a:graphic>
          </wp:inline>
        </w:drawing>
      </w:r>
    </w:p>
    <w:p>
      <w:pPr>
        <w:jc w:val="center"/>
      </w:pPr>
      <w:r>
        <w:rPr>
          <w:rFonts w:hint="eastAsia"/>
          <w:b/>
          <w:sz w:val="21"/>
        </w:rPr>
        <w:t>图6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7" name="Picture 7"/>
            <wp:cNvGraphicFramePr>
              <a:graphicFrameLocks noChangeAspect="1"/>
            </wp:cNvGraphicFramePr>
            <a:graphic>
              <a:graphicData uri="http://schemas.openxmlformats.org/drawingml/2006/picture">
                <pic:pic>
                  <pic:nvPicPr>
                    <pic:cNvPr id="0" name="fig2.png"/>
                    <pic:cNvPicPr/>
                  </pic:nvPicPr>
                  <pic:blipFill>
                    <a:blip r:embed="rId22"/>
                    <a:stretch>
                      <a:fillRect/>
                    </a:stretch>
                  </pic:blipFill>
                  <pic:spPr>
                    <a:xfrm>
                      <a:off x="0" y="0"/>
                      <a:ext cx="5074920" cy="2483471"/>
                    </a:xfrm>
                    <a:prstGeom prst="rect"/>
                  </pic:spPr>
                </pic:pic>
              </a:graphicData>
            </a:graphic>
          </wp:inline>
        </w:drawing>
      </w:r>
    </w:p>
    <w:p>
      <w:pPr>
        <w:jc w:val="center"/>
      </w:pPr>
      <w:r>
        <w:rPr>
          <w:rFonts w:hint="eastAsia"/>
          <w:b/>
          <w:sz w:val="21"/>
        </w:rPr>
        <w:t>图7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7.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已上市或已完成发行的人形机器人产业链企业（本轮资本化事件涉及）</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847"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9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605" w:type="pct"/>
            <w:tcBorders>
              <w:top w:val="single" w:sz="4" w:space="0" w:color="010000"/>
            </w:tcBorders>
            <w:vAlign w:val="center"/>
          </w:tcPr>
          <w:p>
            <w:pPr>
              <w:jc w:val="left"/>
            </w:pPr>
            <w:r/>
            <w:r>
              <w:rPr>
                <w:rFonts w:hint="eastAsia"/>
                <w:color w:val="000000"/>
                <w:sz w:val="21"/>
              </w:rPr>
              <w:t>09880.HK</w:t>
            </w:r>
          </w:p>
        </w:tc>
        <w:tc>
          <w:tcPr>
            <w:tcW w:w="847" w:type="pct"/>
            <w:tcBorders>
              <w:top w:val="single" w:sz="4" w:space="0" w:color="010000"/>
            </w:tcBorders>
            <w:vAlign w:val="center"/>
          </w:tcPr>
          <w:p>
            <w:pPr>
              <w:jc w:val="left"/>
            </w:pPr>
            <w:r/>
            <w:r>
              <w:rPr>
                <w:rFonts w:hint="eastAsia"/>
                <w:color w:val="000000"/>
                <w:sz w:val="21"/>
              </w:rPr>
              <w:t>港交所，2023年12月29日</w:t>
            </w:r>
          </w:p>
        </w:tc>
        <w:tc>
          <w:tcPr>
            <w:tcW w:w="887" w:type="pct"/>
            <w:tcBorders>
              <w:top w:val="single" w:sz="4" w:space="0" w:color="010000"/>
            </w:tcBorders>
            <w:vAlign w:val="center"/>
          </w:tcPr>
          <w:p>
            <w:pPr>
              <w:jc w:val="left"/>
            </w:pPr>
            <w:r/>
            <w:r>
              <w:rPr>
                <w:rFonts w:hint="eastAsia"/>
                <w:color w:val="000000"/>
                <w:sz w:val="21"/>
              </w:rPr>
              <w:t>国泰君安国际（独家保荐）</w:t>
            </w:r>
          </w:p>
        </w:tc>
        <w:tc>
          <w:tcPr>
            <w:tcW w:w="2097"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605" w:type="pct"/>
            <w:tcBorders>
              <w:top w:val="single" w:sz="4" w:space="0" w:color="010000"/>
            </w:tcBorders>
            <w:vAlign w:val="center"/>
          </w:tcPr>
          <w:p>
            <w:pPr>
              <w:jc w:val="left"/>
            </w:pPr>
            <w:r/>
            <w:r>
              <w:rPr>
                <w:rFonts w:hint="eastAsia"/>
                <w:color w:val="000000"/>
                <w:sz w:val="21"/>
              </w:rPr>
              <w:t>02432.HK</w:t>
            </w:r>
          </w:p>
        </w:tc>
        <w:tc>
          <w:tcPr>
            <w:tcW w:w="847" w:type="pct"/>
            <w:tcBorders>
              <w:top w:val="single" w:sz="4" w:space="0" w:color="010000"/>
            </w:tcBorders>
            <w:vAlign w:val="center"/>
          </w:tcPr>
          <w:p>
            <w:pPr>
              <w:jc w:val="left"/>
            </w:pPr>
            <w:r/>
            <w:r>
              <w:rPr>
                <w:rFonts w:hint="eastAsia"/>
                <w:color w:val="000000"/>
                <w:sz w:val="21"/>
              </w:rPr>
              <w:t>港交所，2024年12月23日</w:t>
            </w:r>
          </w:p>
        </w:tc>
        <w:tc>
          <w:tcPr>
            <w:tcW w:w="887" w:type="pct"/>
            <w:tcBorders>
              <w:top w:val="single" w:sz="4" w:space="0" w:color="010000"/>
            </w:tcBorders>
            <w:vAlign w:val="center"/>
          </w:tcPr>
          <w:p>
            <w:pPr>
              <w:jc w:val="left"/>
            </w:pPr>
            <w:r/>
            <w:r>
              <w:rPr>
                <w:rFonts w:hint="eastAsia"/>
                <w:color w:val="000000"/>
                <w:sz w:val="21"/>
              </w:rPr>
              <w:t>国泰君安国际、农银国际（联席保荐）</w:t>
            </w:r>
          </w:p>
        </w:tc>
        <w:tc>
          <w:tcPr>
            <w:tcW w:w="2097"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605" w:type="pct"/>
            <w:tcBorders>
              <w:top w:val="single" w:sz="4" w:space="0" w:color="010000"/>
            </w:tcBorders>
            <w:vAlign w:val="center"/>
          </w:tcPr>
          <w:p>
            <w:pPr>
              <w:jc w:val="left"/>
            </w:pPr>
            <w:r/>
            <w:r>
              <w:rPr>
                <w:rFonts w:hint="eastAsia"/>
                <w:color w:val="000000"/>
                <w:sz w:val="21"/>
              </w:rPr>
              <w:t>688017.SH</w:t>
            </w:r>
          </w:p>
        </w:tc>
        <w:tc>
          <w:tcPr>
            <w:tcW w:w="847" w:type="pct"/>
            <w:tcBorders>
              <w:top w:val="single" w:sz="4" w:space="0" w:color="010000"/>
            </w:tcBorders>
            <w:vAlign w:val="center"/>
          </w:tcPr>
          <w:p>
            <w:pPr>
              <w:jc w:val="left"/>
            </w:pPr>
            <w:r/>
            <w:r>
              <w:rPr>
                <w:rFonts w:hint="eastAsia"/>
                <w:color w:val="000000"/>
                <w:sz w:val="21"/>
              </w:rPr>
              <w:t>上交所科创板，2020年8月</w:t>
            </w:r>
          </w:p>
        </w:tc>
        <w:tc>
          <w:tcPr>
            <w:tcW w:w="887" w:type="pct"/>
            <w:tcBorders>
              <w:top w:val="single" w:sz="4" w:space="0" w:color="010000"/>
            </w:tcBorders>
            <w:vAlign w:val="center"/>
          </w:tcPr>
          <w:p>
            <w:pPr>
              <w:jc w:val="left"/>
            </w:pPr>
            <w:r/>
            <w:r>
              <w:rPr>
                <w:rFonts w:hint="eastAsia"/>
                <w:color w:val="000000"/>
                <w:sz w:val="21"/>
              </w:rPr>
              <w:t>国泰君安（保荐承销）</w:t>
            </w:r>
          </w:p>
        </w:tc>
        <w:tc>
          <w:tcPr>
            <w:tcW w:w="2097"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605" w:type="pct"/>
            <w:tcBorders>
              <w:top w:val="single" w:sz="4" w:space="0" w:color="010000"/>
            </w:tcBorders>
            <w:vAlign w:val="center"/>
          </w:tcPr>
          <w:p>
            <w:pPr>
              <w:jc w:val="left"/>
            </w:pPr>
            <w:r/>
            <w:r>
              <w:rPr>
                <w:rFonts w:hint="eastAsia"/>
                <w:color w:val="000000"/>
                <w:sz w:val="21"/>
              </w:rPr>
              <w:t>688160.SH</w:t>
            </w:r>
          </w:p>
        </w:tc>
        <w:tc>
          <w:tcPr>
            <w:tcW w:w="847" w:type="pct"/>
            <w:tcBorders>
              <w:top w:val="single" w:sz="4" w:space="0" w:color="010000"/>
            </w:tcBorders>
            <w:vAlign w:val="center"/>
          </w:tcPr>
          <w:p>
            <w:pPr>
              <w:jc w:val="left"/>
            </w:pPr>
            <w:r/>
            <w:r>
              <w:rPr>
                <w:rFonts w:hint="eastAsia"/>
                <w:color w:val="000000"/>
                <w:sz w:val="21"/>
              </w:rPr>
              <w:t>上交所科创板，2020年11月</w:t>
            </w:r>
          </w:p>
        </w:tc>
        <w:tc>
          <w:tcPr>
            <w:tcW w:w="887" w:type="pct"/>
            <w:tcBorders>
              <w:top w:val="single" w:sz="4" w:space="0" w:color="010000"/>
            </w:tcBorders>
            <w:vAlign w:val="center"/>
          </w:tcPr>
          <w:p>
            <w:pPr>
              <w:jc w:val="left"/>
            </w:pPr>
            <w:r/>
            <w:r>
              <w:rPr>
                <w:rFonts w:hint="eastAsia"/>
                <w:color w:val="000000"/>
                <w:sz w:val="21"/>
              </w:rPr>
              <w:t>海通证券（保荐承销）</w:t>
            </w:r>
          </w:p>
        </w:tc>
        <w:tc>
          <w:tcPr>
            <w:tcW w:w="2097"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605" w:type="pct"/>
            <w:tcBorders>
              <w:top w:val="single" w:sz="4" w:space="0" w:color="010000"/>
            </w:tcBorders>
            <w:vAlign w:val="center"/>
          </w:tcPr>
          <w:p>
            <w:pPr>
              <w:jc w:val="left"/>
            </w:pPr>
            <w:r/>
            <w:r>
              <w:rPr>
                <w:rFonts w:hint="eastAsia"/>
                <w:color w:val="000000"/>
                <w:sz w:val="21"/>
              </w:rPr>
              <w:t>01236.HK</w:t>
            </w:r>
          </w:p>
        </w:tc>
        <w:tc>
          <w:tcPr>
            <w:tcW w:w="847" w:type="pct"/>
            <w:tcBorders>
              <w:top w:val="single" w:sz="4" w:space="0" w:color="010000"/>
            </w:tcBorders>
            <w:vAlign w:val="center"/>
          </w:tcPr>
          <w:p>
            <w:pPr>
              <w:jc w:val="left"/>
            </w:pPr>
            <w:r/>
            <w:r>
              <w:rPr>
                <w:rFonts w:hint="eastAsia"/>
                <w:color w:val="000000"/>
                <w:sz w:val="21"/>
              </w:rPr>
              <w:t>港交所，2026年5月11日</w:t>
            </w:r>
          </w:p>
        </w:tc>
        <w:tc>
          <w:tcPr>
            <w:tcW w:w="887" w:type="pct"/>
            <w:tcBorders>
              <w:top w:val="single" w:sz="4" w:space="0" w:color="010000"/>
            </w:tcBorders>
            <w:vAlign w:val="center"/>
          </w:tcPr>
          <w:p>
            <w:pPr>
              <w:jc w:val="left"/>
            </w:pPr>
            <w:r/>
            <w:r>
              <w:rPr>
                <w:rFonts w:hint="eastAsia"/>
                <w:color w:val="000000"/>
                <w:sz w:val="21"/>
              </w:rPr>
              <w:t>海通国际＋国泰君安国际（联席保荐）</w:t>
            </w:r>
          </w:p>
        </w:tc>
        <w:tc>
          <w:tcPr>
            <w:tcW w:w="2097"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605" w:type="pct"/>
            <w:tcBorders>
              <w:top w:val="single" w:sz="4" w:space="0" w:color="010000"/>
            </w:tcBorders>
            <w:vAlign w:val="center"/>
          </w:tcPr>
          <w:p>
            <w:pPr>
              <w:jc w:val="left"/>
            </w:pPr>
            <w:r/>
            <w:r>
              <w:rPr>
                <w:rFonts w:hint="eastAsia"/>
                <w:color w:val="000000"/>
                <w:sz w:val="21"/>
              </w:rPr>
              <w:t>03752.HK</w:t>
            </w:r>
          </w:p>
        </w:tc>
        <w:tc>
          <w:tcPr>
            <w:tcW w:w="847" w:type="pct"/>
            <w:tcBorders>
              <w:top w:val="single" w:sz="4" w:space="0" w:color="010000"/>
            </w:tcBorders>
            <w:vAlign w:val="center"/>
          </w:tcPr>
          <w:p>
            <w:pPr>
              <w:jc w:val="left"/>
            </w:pPr>
            <w:r/>
            <w:r>
              <w:rPr>
                <w:rFonts w:hint="eastAsia"/>
                <w:color w:val="000000"/>
                <w:sz w:val="21"/>
              </w:rPr>
              <w:t>港交所，2026年7月9日</w:t>
            </w:r>
          </w:p>
        </w:tc>
        <w:tc>
          <w:tcPr>
            <w:tcW w:w="887" w:type="pct"/>
            <w:tcBorders>
              <w:top w:val="single" w:sz="4" w:space="0" w:color="010000"/>
            </w:tcBorders>
            <w:vAlign w:val="center"/>
          </w:tcPr>
          <w:p>
            <w:pPr>
              <w:jc w:val="left"/>
            </w:pPr>
            <w:r/>
            <w:r>
              <w:rPr>
                <w:rFonts w:hint="eastAsia"/>
                <w:color w:val="000000"/>
                <w:sz w:val="21"/>
              </w:rPr>
              <w:t>中金公司＋国泰君安国际（联席保荐）</w:t>
            </w:r>
          </w:p>
        </w:tc>
        <w:tc>
          <w:tcPr>
            <w:tcW w:w="2097"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605" w:type="pct"/>
            <w:tcBorders>
              <w:top w:val="single" w:sz="4" w:space="0" w:color="010000"/>
            </w:tcBorders>
            <w:vAlign w:val="center"/>
          </w:tcPr>
          <w:p>
            <w:pPr>
              <w:jc w:val="left"/>
            </w:pPr>
            <w:r/>
            <w:r>
              <w:rPr>
                <w:rFonts w:hint="eastAsia"/>
                <w:color w:val="000000"/>
                <w:sz w:val="21"/>
              </w:rPr>
              <w:t>920211.BJ</w:t>
            </w:r>
          </w:p>
        </w:tc>
        <w:tc>
          <w:tcPr>
            <w:tcW w:w="847" w:type="pct"/>
            <w:tcBorders>
              <w:top w:val="single" w:sz="4" w:space="0" w:color="010000"/>
            </w:tcBorders>
            <w:vAlign w:val="center"/>
          </w:tcPr>
          <w:p>
            <w:pPr>
              <w:jc w:val="left"/>
            </w:pPr>
            <w:r/>
            <w:r>
              <w:rPr>
                <w:rFonts w:hint="eastAsia"/>
                <w:color w:val="000000"/>
                <w:sz w:val="21"/>
              </w:rPr>
              <w:t>北交所，2026年6月5日</w:t>
            </w:r>
          </w:p>
        </w:tc>
        <w:tc>
          <w:tcPr>
            <w:tcW w:w="887" w:type="pct"/>
            <w:tcBorders>
              <w:top w:val="single" w:sz="4" w:space="0" w:color="010000"/>
            </w:tcBorders>
            <w:vAlign w:val="center"/>
          </w:tcPr>
          <w:p>
            <w:pPr>
              <w:jc w:val="left"/>
            </w:pPr>
            <w:r/>
            <w:r>
              <w:rPr>
                <w:rFonts w:hint="eastAsia"/>
                <w:color w:val="000000"/>
                <w:sz w:val="21"/>
              </w:rPr>
              <w:t>国泰海通（独家保荐）</w:t>
            </w:r>
          </w:p>
        </w:tc>
        <w:tc>
          <w:tcPr>
            <w:tcW w:w="2097"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605" w:type="pct"/>
            <w:tcBorders>
              <w:top w:val="single" w:sz="4" w:space="0" w:color="010000"/>
            </w:tcBorders>
            <w:vAlign w:val="center"/>
          </w:tcPr>
          <w:p>
            <w:pPr>
              <w:jc w:val="left"/>
            </w:pPr>
            <w:r/>
            <w:r>
              <w:rPr>
                <w:rFonts w:hint="eastAsia"/>
                <w:color w:val="000000"/>
                <w:sz w:val="21"/>
              </w:rPr>
              <w:t>301696.SZ</w:t>
            </w:r>
          </w:p>
        </w:tc>
        <w:tc>
          <w:tcPr>
            <w:tcW w:w="847" w:type="pct"/>
            <w:tcBorders>
              <w:top w:val="single" w:sz="4" w:space="0" w:color="010000"/>
            </w:tcBorders>
            <w:vAlign w:val="center"/>
          </w:tcPr>
          <w:p>
            <w:pPr>
              <w:jc w:val="left"/>
            </w:pPr>
            <w:r/>
            <w:r>
              <w:rPr>
                <w:rFonts w:hint="eastAsia"/>
                <w:color w:val="000000"/>
                <w:sz w:val="21"/>
              </w:rPr>
              <w:t>深交所创业板，2026年4月10日</w:t>
            </w:r>
          </w:p>
        </w:tc>
        <w:tc>
          <w:tcPr>
            <w:tcW w:w="887" w:type="pct"/>
            <w:tcBorders>
              <w:top w:val="single" w:sz="4" w:space="0" w:color="010000"/>
            </w:tcBorders>
            <w:vAlign w:val="center"/>
          </w:tcPr>
          <w:p>
            <w:pPr>
              <w:jc w:val="left"/>
            </w:pPr>
            <w:r/>
            <w:r>
              <w:rPr>
                <w:rFonts w:hint="eastAsia"/>
                <w:color w:val="000000"/>
                <w:sz w:val="21"/>
              </w:rPr>
              <w:t>国泰海通（保荐承销）</w:t>
            </w:r>
          </w:p>
        </w:tc>
        <w:tc>
          <w:tcPr>
            <w:tcW w:w="2097"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605" w:type="pct"/>
            <w:tcBorders>
              <w:top w:val="single" w:sz="4" w:space="0" w:color="010000"/>
            </w:tcBorders>
            <w:vAlign w:val="center"/>
          </w:tcPr>
          <w:p>
            <w:pPr>
              <w:jc w:val="left"/>
            </w:pPr>
            <w:r/>
            <w:r>
              <w:rPr>
                <w:rFonts w:hint="eastAsia"/>
                <w:color w:val="000000"/>
                <w:sz w:val="21"/>
              </w:rPr>
              <w:t>003021.SZ（A股）</w:t>
            </w:r>
          </w:p>
          <w:p>
            <w:pPr>
              <w:jc w:val="left"/>
            </w:pPr>
            <w:r>
              <w:rPr>
                <w:rFonts w:hint="eastAsia"/>
                <w:color w:val="000000"/>
                <w:sz w:val="21"/>
              </w:rPr>
              <w:t>02692.HK（H股）</w:t>
            </w:r>
          </w:p>
        </w:tc>
        <w:tc>
          <w:tcPr>
            <w:tcW w:w="847" w:type="pct"/>
            <w:tcBorders>
              <w:top w:val="single" w:sz="4" w:space="0" w:color="010000"/>
            </w:tcBorders>
            <w:vAlign w:val="center"/>
          </w:tcPr>
          <w:p>
            <w:pPr>
              <w:jc w:val="left"/>
            </w:pPr>
            <w:r/>
            <w:r>
              <w:rPr>
                <w:rFonts w:hint="eastAsia"/>
                <w:color w:val="000000"/>
                <w:sz w:val="21"/>
              </w:rPr>
              <w:t>深交所，2020年12月4日；港交所，2026年3月9日（A+H双重上市）</w:t>
            </w:r>
          </w:p>
        </w:tc>
        <w:tc>
          <w:tcPr>
            <w:tcW w:w="887" w:type="pct"/>
            <w:tcBorders>
              <w:top w:val="single" w:sz="4" w:space="0" w:color="010000"/>
            </w:tcBorders>
            <w:vAlign w:val="center"/>
          </w:tcPr>
          <w:p>
            <w:pPr>
              <w:jc w:val="left"/>
            </w:pPr>
            <w:r/>
            <w:r>
              <w:rPr>
                <w:rFonts w:hint="eastAsia"/>
                <w:color w:val="000000"/>
                <w:sz w:val="21"/>
              </w:rPr>
              <w:t>A股：招商证券（保荐承销）；H股：招商证券国际、德意志银行（联席保荐）</w:t>
            </w:r>
          </w:p>
        </w:tc>
        <w:tc>
          <w:tcPr>
            <w:tcW w:w="2097" w:type="pct"/>
            <w:tcBorders>
              <w:top w:val="single" w:sz="4" w:space="0" w:color="010000"/>
            </w:tcBorders>
            <w:vAlign w:val="center"/>
          </w:tcPr>
          <w:p>
            <w:pPr>
              <w:jc w:val="left"/>
            </w:pPr>
            <w:r/>
            <w:r>
              <w:rPr>
                <w:rFonts w:hint="eastAsia"/>
                <w:color w:val="000000"/>
                <w:sz w:val="21"/>
              </w:rPr>
              <w:t>微型传动与驱动系统解决方案，应用于智能汽车、机器人、消费科技等领域，已布局灵巧手模组。H股发行价71.28港元/股，香港公开发售认购1,536.76倍，净募资约18.28亿港元，基石投资者含高瓴；上市后一度破发。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605" w:type="pct"/>
            <w:tcBorders>
              <w:top w:val="single" w:sz="4" w:space="0" w:color="010000"/>
            </w:tcBorders>
            <w:vAlign w:val="center"/>
          </w:tcPr>
          <w:p>
            <w:pPr>
              <w:jc w:val="left"/>
            </w:pPr>
            <w:r/>
            <w:r>
              <w:rPr>
                <w:rFonts w:hint="eastAsia"/>
                <w:color w:val="000000"/>
                <w:sz w:val="21"/>
              </w:rPr>
              <w:t>03952.HK</w:t>
            </w:r>
          </w:p>
        </w:tc>
        <w:tc>
          <w:tcPr>
            <w:tcW w:w="847" w:type="pct"/>
            <w:tcBorders>
              <w:top w:val="single" w:sz="4" w:space="0" w:color="010000"/>
            </w:tcBorders>
            <w:vAlign w:val="center"/>
          </w:tcPr>
          <w:p>
            <w:pPr>
              <w:jc w:val="left"/>
            </w:pPr>
            <w:r/>
            <w:r>
              <w:rPr>
                <w:rFonts w:hint="eastAsia"/>
                <w:color w:val="000000"/>
                <w:sz w:val="21"/>
              </w:rPr>
              <w:t>港交所，2026年6月30日</w:t>
            </w:r>
          </w:p>
        </w:tc>
        <w:tc>
          <w:tcPr>
            <w:tcW w:w="887" w:type="pct"/>
            <w:tcBorders>
              <w:top w:val="single" w:sz="4" w:space="0" w:color="010000"/>
            </w:tcBorders>
            <w:vAlign w:val="center"/>
          </w:tcPr>
          <w:p>
            <w:pPr>
              <w:jc w:val="left"/>
            </w:pPr>
            <w:r/>
            <w:r>
              <w:rPr>
                <w:rFonts w:hint="eastAsia"/>
                <w:color w:val="000000"/>
                <w:sz w:val="21"/>
              </w:rPr>
              <w:t>招银国际融资（独家保荐）</w:t>
            </w:r>
          </w:p>
        </w:tc>
        <w:tc>
          <w:tcPr>
            <w:tcW w:w="2097"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上市首日涨3.16%，市值超91亿港元；引入橡树资本、明山资本、嘉实、鼎晖、易方达等10家基石投资者。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605" w:type="pct"/>
            <w:tcBorders>
              <w:top w:val="single" w:sz="4" w:space="0" w:color="010000"/>
            </w:tcBorders>
            <w:vAlign w:val="center"/>
          </w:tcPr>
          <w:p>
            <w:pPr>
              <w:jc w:val="left"/>
            </w:pPr>
            <w:r/>
            <w:r>
              <w:rPr>
                <w:rFonts w:hint="eastAsia"/>
                <w:color w:val="000000"/>
                <w:sz w:val="21"/>
              </w:rPr>
              <w:t>688836.SH</w:t>
            </w:r>
          </w:p>
        </w:tc>
        <w:tc>
          <w:tcPr>
            <w:tcW w:w="847" w:type="pct"/>
            <w:tcBorders>
              <w:top w:val="single" w:sz="4" w:space="0" w:color="010000"/>
            </w:tcBorders>
            <w:vAlign w:val="center"/>
          </w:tcPr>
          <w:p>
            <w:pPr>
              <w:jc w:val="left"/>
            </w:pPr>
            <w:r/>
            <w:r>
              <w:rPr>
                <w:rFonts w:hint="eastAsia"/>
                <w:color w:val="000000"/>
                <w:sz w:val="21"/>
              </w:rPr>
              <w:t>上交所科创板，2026年7月2日注册生效</w:t>
            </w:r>
          </w:p>
        </w:tc>
        <w:tc>
          <w:tcPr>
            <w:tcW w:w="887" w:type="pct"/>
            <w:tcBorders>
              <w:top w:val="single" w:sz="4" w:space="0" w:color="010000"/>
            </w:tcBorders>
            <w:vAlign w:val="center"/>
          </w:tcPr>
          <w:p>
            <w:pPr>
              <w:jc w:val="left"/>
            </w:pPr>
            <w:r/>
            <w:r>
              <w:rPr>
                <w:rFonts w:hint="eastAsia"/>
                <w:color w:val="000000"/>
                <w:sz w:val="21"/>
              </w:rPr>
              <w:t>中信证券（保荐承销）</w:t>
            </w:r>
          </w:p>
        </w:tc>
        <w:tc>
          <w:tcPr>
            <w:tcW w:w="2097"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表覆盖2020年以来发生首发上市、境外上市或发行定价等资本化事件、且与人形机器人产业链直接相关的企业；产业链中更早上市、本轮无新增资本化事件的公司另见表10。存在多地上市的，已在代码与上市地栏中一并列示；港股项目的保荐人以港交所招股章程封面载明的Sponsor为准，独家保荐与联席保荐已分别注明。</w:t>
      </w:r>
    </w:p>
    <w:p>
      <w:pPr>
        <w:pStyle w:val="3"/>
        <w:numPr>
          <w:ilvl w:val="0"/>
          <w:numId w:val="0"/>
        </w:numPr>
        <w:spacing w:before="156" w:after="156"/>
      </w:pPr>
      <w:bookmarkStart w:id="1032" w:name="_Toc900032"/>
      <w:r>
        <w:rPr>
          <w:rFonts w:hint="eastAsia"/>
        </w:rPr>
        <w:t>6.2 已上市的产业链相关公司一览（按环节）</w:t>
      </w:r>
      <w:bookmarkEnd w:id="1032"/>
    </w:p>
    <w:p>
      <w:pPr>
        <w:pStyle w:val="a0"/>
      </w:pPr>
      <w:r>
        <w:rPr>
          <w:rFonts w:hint="eastAsia"/>
        </w:rPr>
        <w:t>除表9所列本轮发生资本化事件的企业外，人形机器人产业链的多数环节已有A股或港股上市公司覆盖。为便于判断标的所处环节的可比公司与竞争者，按产业链环节梳理如下。存在多地上市的，一并列示。</w:t>
      </w:r>
    </w:p>
    <w:p>
      <w:pPr>
        <w:keepNext/>
        <w:jc w:val="center"/>
      </w:pPr>
      <w:r>
        <w:rPr>
          <w:rFonts w:hint="eastAsia"/>
          <w:b/>
          <w:sz w:val="21"/>
        </w:rPr>
        <w:t>表10  人形机器人产业链已上市公司一览（按环节）</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5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750" w:type="pct"/>
            <w:tcBorders>
              <w:top w:val="single" w:sz="12" w:space="0" w:color="010000"/>
              <w:bottom w:val="single" w:sz="4" w:space="0" w:color="010000"/>
            </w:tcBorders>
            <w:vAlign w:val="center"/>
          </w:tcPr>
          <w:p>
            <w:pPr>
              <w:keepNext/>
              <w:jc w:val="center"/>
            </w:pPr>
            <w:r/>
            <w:r>
              <w:rPr>
                <w:rFonts w:hint="eastAsia"/>
                <w:b/>
                <w:color w:val="000000"/>
                <w:sz w:val="21"/>
              </w:rPr>
              <w:t>已上市公司（代码）</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与无锡巨蟹的关系</w:t>
            </w:r>
          </w:p>
        </w:tc>
      </w:tr>
      <w:tr>
        <w:trPr>
          <w:cantSplit/>
          <w:jc w:val="center"/>
        </w:trPr>
        <w:tc>
          <w:tcPr>
            <w:tcW w:w="750" w:type="pct"/>
            <w:tcBorders>
              <w:top w:val="single" w:sz="4" w:space="0" w:color="010000"/>
            </w:tcBorders>
            <w:vAlign w:val="center"/>
          </w:tcPr>
          <w:p>
            <w:pPr>
              <w:jc w:val="left"/>
            </w:pPr>
            <w:r/>
            <w:r>
              <w:rPr>
                <w:rFonts w:hint="eastAsia"/>
                <w:color w:val="000000"/>
                <w:sz w:val="21"/>
              </w:rPr>
              <w:t>谐波减速器</w:t>
            </w:r>
          </w:p>
        </w:tc>
        <w:tc>
          <w:tcPr>
            <w:tcW w:w="2750" w:type="pct"/>
            <w:tcBorders>
              <w:top w:val="single" w:sz="4" w:space="0" w:color="010000"/>
            </w:tcBorders>
            <w:vAlign w:val="center"/>
          </w:tcPr>
          <w:p>
            <w:pPr>
              <w:jc w:val="left"/>
            </w:pPr>
            <w:r/>
            <w:r>
              <w:rPr>
                <w:rFonts w:hint="eastAsia"/>
                <w:color w:val="000000"/>
                <w:sz w:val="21"/>
              </w:rPr>
              <w:t>绿的谐波（688017.SH）、来福谐波（03952.HK）</w:t>
            </w:r>
          </w:p>
        </w:tc>
        <w:tc>
          <w:tcPr>
            <w:tcW w:w="1500" w:type="pct"/>
            <w:tcBorders>
              <w:top w:val="single" w:sz="4" w:space="0" w:color="010000"/>
            </w:tcBorders>
            <w:vAlign w:val="center"/>
          </w:tcPr>
          <w:p>
            <w:pPr>
              <w:jc w:val="left"/>
            </w:pPr>
            <w:r/>
            <w:r>
              <w:rPr>
                <w:rFonts w:hint="eastAsia"/>
                <w:color w:val="000000"/>
                <w:sz w:val="21"/>
              </w:rPr>
              <w:t>直接可比公司，亦是估值参照</w:t>
            </w:r>
          </w:p>
        </w:tc>
      </w:tr>
      <w:tr>
        <w:trPr>
          <w:cantSplit/>
          <w:jc w:val="center"/>
        </w:trPr>
        <w:tc>
          <w:tcPr>
            <w:tcW w:w="750" w:type="pct"/>
            <w:tcBorders>
              <w:top w:val="single" w:sz="4" w:space="0" w:color="010000"/>
            </w:tcBorders>
            <w:vAlign w:val="center"/>
          </w:tcPr>
          <w:p>
            <w:pPr>
              <w:jc w:val="left"/>
            </w:pPr>
            <w:r/>
            <w:r>
              <w:rPr>
                <w:rFonts w:hint="eastAsia"/>
                <w:color w:val="000000"/>
                <w:sz w:val="21"/>
              </w:rPr>
              <w:t>行星/RV减速器与齿轮</w:t>
            </w:r>
          </w:p>
        </w:tc>
        <w:tc>
          <w:tcPr>
            <w:tcW w:w="2750" w:type="pct"/>
            <w:tcBorders>
              <w:top w:val="single" w:sz="4" w:space="0" w:color="010000"/>
            </w:tcBorders>
            <w:vAlign w:val="center"/>
          </w:tcPr>
          <w:p>
            <w:pPr>
              <w:jc w:val="left"/>
            </w:pPr>
            <w:r/>
            <w:r>
              <w:rPr>
                <w:rFonts w:hint="eastAsia"/>
                <w:color w:val="000000"/>
                <w:sz w:val="21"/>
              </w:rPr>
              <w:t>中大力德（002896.SZ）、双环传动（002472.SZ）、国茂股份（603915.SH）、丰立智能（301368.SZ）</w:t>
            </w:r>
          </w:p>
        </w:tc>
        <w:tc>
          <w:tcPr>
            <w:tcW w:w="1500" w:type="pct"/>
            <w:tcBorders>
              <w:top w:val="single" w:sz="4" w:space="0" w:color="010000"/>
            </w:tcBorders>
            <w:vAlign w:val="center"/>
          </w:tcPr>
          <w:p>
            <w:pPr>
              <w:jc w:val="left"/>
            </w:pPr>
            <w:r/>
            <w:r>
              <w:rPr>
                <w:rFonts w:hint="eastAsia"/>
                <w:color w:val="000000"/>
                <w:sz w:val="21"/>
              </w:rPr>
              <w:t>技术路线相邻，中大力德为智元行星减速器供应商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无框力矩电机与伺服</w:t>
            </w:r>
          </w:p>
        </w:tc>
        <w:tc>
          <w:tcPr>
            <w:tcW w:w="2750" w:type="pct"/>
            <w:tcBorders>
              <w:top w:val="single" w:sz="4" w:space="0" w:color="010000"/>
            </w:tcBorders>
            <w:vAlign w:val="center"/>
          </w:tcPr>
          <w:p>
            <w:pPr>
              <w:jc w:val="left"/>
            </w:pPr>
            <w:r/>
            <w:r>
              <w:rPr>
                <w:rFonts w:hint="eastAsia"/>
                <w:color w:val="000000"/>
                <w:sz w:val="21"/>
              </w:rPr>
              <w:t>汇川技术（300124.SZ）、雷赛智能（002979.SZ）、步科股份（688160.SH）、禾川科技（688320.SH）、伟创电气（688698.SH）、昊志机电（300503.SZ）</w:t>
            </w:r>
          </w:p>
        </w:tc>
        <w:tc>
          <w:tcPr>
            <w:tcW w:w="1500" w:type="pct"/>
            <w:tcBorders>
              <w:top w:val="single" w:sz="4" w:space="0" w:color="010000"/>
            </w:tcBorders>
            <w:vAlign w:val="center"/>
          </w:tcPr>
          <w:p>
            <w:pPr>
              <w:jc w:val="left"/>
            </w:pPr>
            <w:r/>
            <w:r>
              <w:rPr>
                <w:rFonts w:hint="eastAsia"/>
                <w:color w:val="000000"/>
                <w:sz w:val="21"/>
              </w:rPr>
              <w:t>关节模组的电机与驱动环节，部分企业亦向模组延伸</w:t>
            </w:r>
          </w:p>
        </w:tc>
      </w:tr>
      <w:tr>
        <w:trPr>
          <w:cantSplit/>
          <w:jc w:val="center"/>
        </w:trPr>
        <w:tc>
          <w:tcPr>
            <w:tcW w:w="750" w:type="pct"/>
            <w:tcBorders>
              <w:top w:val="single" w:sz="4" w:space="0" w:color="010000"/>
            </w:tcBorders>
            <w:vAlign w:val="center"/>
          </w:tcPr>
          <w:p>
            <w:pPr>
              <w:jc w:val="left"/>
            </w:pPr>
            <w:r/>
            <w:r>
              <w:rPr>
                <w:rFonts w:hint="eastAsia"/>
                <w:color w:val="000000"/>
                <w:sz w:val="21"/>
              </w:rPr>
              <w:t>空心杯电机</w:t>
            </w:r>
          </w:p>
        </w:tc>
        <w:tc>
          <w:tcPr>
            <w:tcW w:w="2750" w:type="pct"/>
            <w:tcBorders>
              <w:top w:val="single" w:sz="4" w:space="0" w:color="010000"/>
            </w:tcBorders>
            <w:vAlign w:val="center"/>
          </w:tcPr>
          <w:p>
            <w:pPr>
              <w:jc w:val="left"/>
            </w:pPr>
            <w:r/>
            <w:r>
              <w:rPr>
                <w:rFonts w:hint="eastAsia"/>
                <w:color w:val="000000"/>
                <w:sz w:val="21"/>
              </w:rPr>
              <w:t>鸣志电器（603728.SH）、拓邦股份（002139.SZ）、鼎智科技（873593.BJ）</w:t>
            </w:r>
          </w:p>
        </w:tc>
        <w:tc>
          <w:tcPr>
            <w:tcW w:w="1500" w:type="pct"/>
            <w:tcBorders>
              <w:top w:val="single" w:sz="4" w:space="0" w:color="010000"/>
            </w:tcBorders>
            <w:vAlign w:val="center"/>
          </w:tcPr>
          <w:p>
            <w:pPr>
              <w:jc w:val="left"/>
            </w:pPr>
            <w:r/>
            <w:r>
              <w:rPr>
                <w:rFonts w:hint="eastAsia"/>
                <w:color w:val="000000"/>
                <w:sz w:val="21"/>
              </w:rPr>
              <w:t>灵巧手与末端微型执行器用电机</w:t>
            </w:r>
          </w:p>
        </w:tc>
      </w:tr>
      <w:tr>
        <w:trPr>
          <w:cantSplit/>
          <w:jc w:val="center"/>
        </w:trPr>
        <w:tc>
          <w:tcPr>
            <w:tcW w:w="750" w:type="pct"/>
            <w:tcBorders>
              <w:top w:val="single" w:sz="4" w:space="0" w:color="010000"/>
            </w:tcBorders>
            <w:vAlign w:val="center"/>
          </w:tcPr>
          <w:p>
            <w:pPr>
              <w:jc w:val="left"/>
            </w:pPr>
            <w:r/>
            <w:r>
              <w:rPr>
                <w:rFonts w:hint="eastAsia"/>
                <w:color w:val="000000"/>
                <w:sz w:val="21"/>
              </w:rPr>
              <w:t>编码器</w:t>
            </w:r>
          </w:p>
        </w:tc>
        <w:tc>
          <w:tcPr>
            <w:tcW w:w="2750" w:type="pct"/>
            <w:tcBorders>
              <w:top w:val="single" w:sz="4" w:space="0" w:color="010000"/>
            </w:tcBorders>
            <w:vAlign w:val="center"/>
          </w:tcPr>
          <w:p>
            <w:pPr>
              <w:jc w:val="left"/>
            </w:pPr>
            <w:r/>
            <w:r>
              <w:rPr>
                <w:rFonts w:hint="eastAsia"/>
                <w:color w:val="000000"/>
                <w:sz w:val="21"/>
              </w:rPr>
              <w:t>奥普光电（002338.SZ，子公司禹衡光学）</w:t>
            </w:r>
          </w:p>
        </w:tc>
        <w:tc>
          <w:tcPr>
            <w:tcW w:w="1500" w:type="pct"/>
            <w:tcBorders>
              <w:top w:val="single" w:sz="4" w:space="0" w:color="010000"/>
            </w:tcBorders>
            <w:vAlign w:val="center"/>
          </w:tcPr>
          <w:p>
            <w:pPr>
              <w:jc w:val="left"/>
            </w:pPr>
            <w:r/>
            <w:r>
              <w:rPr>
                <w:rFonts w:hint="eastAsia"/>
                <w:color w:val="000000"/>
                <w:sz w:val="21"/>
              </w:rPr>
              <w:t>国内高端编码器主要上市主体，为巨蟹自研编码器的对标</w:t>
            </w:r>
          </w:p>
        </w:tc>
      </w:tr>
      <w:tr>
        <w:trPr>
          <w:cantSplit/>
          <w:jc w:val="center"/>
        </w:trPr>
        <w:tc>
          <w:tcPr>
            <w:tcW w:w="750" w:type="pct"/>
            <w:tcBorders>
              <w:top w:val="single" w:sz="4" w:space="0" w:color="010000"/>
            </w:tcBorders>
            <w:vAlign w:val="center"/>
          </w:tcPr>
          <w:p>
            <w:pPr>
              <w:jc w:val="left"/>
            </w:pPr>
            <w:r/>
            <w:r>
              <w:rPr>
                <w:rFonts w:hint="eastAsia"/>
                <w:color w:val="000000"/>
                <w:sz w:val="21"/>
              </w:rPr>
              <w:t>力/力矩与触觉传感器</w:t>
            </w:r>
          </w:p>
        </w:tc>
        <w:tc>
          <w:tcPr>
            <w:tcW w:w="2750" w:type="pct"/>
            <w:tcBorders>
              <w:top w:val="single" w:sz="4" w:space="0" w:color="010000"/>
            </w:tcBorders>
            <w:vAlign w:val="center"/>
          </w:tcPr>
          <w:p>
            <w:pPr>
              <w:jc w:val="left"/>
            </w:pPr>
            <w:r/>
            <w:r>
              <w:rPr>
                <w:rFonts w:hint="eastAsia"/>
                <w:color w:val="000000"/>
                <w:sz w:val="21"/>
              </w:rPr>
              <w:t>柯力传感（603662.SH）、安培龙（301413.SZ）、东华测试（300354.SZ）</w:t>
            </w:r>
          </w:p>
        </w:tc>
        <w:tc>
          <w:tcPr>
            <w:tcW w:w="1500" w:type="pct"/>
            <w:tcBorders>
              <w:top w:val="single" w:sz="4" w:space="0" w:color="010000"/>
            </w:tcBorders>
            <w:vAlign w:val="center"/>
          </w:tcPr>
          <w:p>
            <w:pPr>
              <w:jc w:val="left"/>
            </w:pPr>
            <w:r/>
            <w:r>
              <w:rPr>
                <w:rFonts w:hint="eastAsia"/>
                <w:color w:val="000000"/>
                <w:sz w:val="21"/>
              </w:rPr>
              <w:t>与巨蟹自研力矩传感器相关</w:t>
            </w:r>
          </w:p>
        </w:tc>
      </w:tr>
      <w:tr>
        <w:trPr>
          <w:cantSplit/>
          <w:jc w:val="center"/>
        </w:trPr>
        <w:tc>
          <w:tcPr>
            <w:tcW w:w="750" w:type="pct"/>
            <w:tcBorders>
              <w:top w:val="single" w:sz="4" w:space="0" w:color="010000"/>
            </w:tcBorders>
            <w:vAlign w:val="center"/>
          </w:tcPr>
          <w:p>
            <w:pPr>
              <w:jc w:val="left"/>
            </w:pPr>
            <w:r/>
            <w:r>
              <w:rPr>
                <w:rFonts w:hint="eastAsia"/>
                <w:color w:val="000000"/>
                <w:sz w:val="21"/>
              </w:rPr>
              <w:t>一体化关节模组与总成</w:t>
            </w:r>
          </w:p>
        </w:tc>
        <w:tc>
          <w:tcPr>
            <w:tcW w:w="2750" w:type="pct"/>
            <w:tcBorders>
              <w:top w:val="single" w:sz="4" w:space="0" w:color="010000"/>
            </w:tcBorders>
            <w:vAlign w:val="center"/>
          </w:tcPr>
          <w:p>
            <w:pPr>
              <w:jc w:val="left"/>
            </w:pPr>
            <w:r/>
            <w:r>
              <w:rPr>
                <w:rFonts w:hint="eastAsia"/>
                <w:color w:val="000000"/>
                <w:sz w:val="21"/>
              </w:rPr>
              <w:t>兆威机电（003021.SZ／02692.HK）、富临精工（300432.SZ）、拓普集团（601689.SH）、三花智控（002050.SZ／02050.HK）、震裕科技（300953.SZ）</w:t>
            </w:r>
          </w:p>
        </w:tc>
        <w:tc>
          <w:tcPr>
            <w:tcW w:w="1500" w:type="pct"/>
            <w:tcBorders>
              <w:top w:val="single" w:sz="4" w:space="0" w:color="010000"/>
            </w:tcBorders>
            <w:vAlign w:val="center"/>
          </w:tcPr>
          <w:p>
            <w:pPr>
              <w:jc w:val="left"/>
            </w:pPr>
            <w:r/>
            <w:r>
              <w:rPr>
                <w:rFonts w:hint="eastAsia"/>
                <w:color w:val="000000"/>
                <w:sz w:val="21"/>
              </w:rPr>
              <w:t>直接竞争环节，富临精工为智元关节模组供应商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行星滚柱丝杠与轴承</w:t>
            </w:r>
          </w:p>
        </w:tc>
        <w:tc>
          <w:tcPr>
            <w:tcW w:w="2750" w:type="pct"/>
            <w:tcBorders>
              <w:top w:val="single" w:sz="4" w:space="0" w:color="010000"/>
            </w:tcBorders>
            <w:vAlign w:val="center"/>
          </w:tcPr>
          <w:p>
            <w:pPr>
              <w:jc w:val="left"/>
            </w:pPr>
            <w:r/>
            <w:r>
              <w:rPr>
                <w:rFonts w:hint="eastAsia"/>
                <w:color w:val="000000"/>
                <w:sz w:val="21"/>
              </w:rPr>
              <w:t>恒立液压（601100.SH）、五洲新春（603667.SH）、贝斯特（300580.SZ）、北特科技（603009.SH）、秦川机床（000837.SZ）、南方精工（002553.SZ）</w:t>
            </w:r>
          </w:p>
        </w:tc>
        <w:tc>
          <w:tcPr>
            <w:tcW w:w="1500" w:type="pct"/>
            <w:tcBorders>
              <w:top w:val="single" w:sz="4" w:space="0" w:color="010000"/>
            </w:tcBorders>
            <w:vAlign w:val="center"/>
          </w:tcPr>
          <w:p>
            <w:pPr>
              <w:jc w:val="left"/>
            </w:pPr>
            <w:r/>
            <w:r>
              <w:rPr>
                <w:rFonts w:hint="eastAsia"/>
                <w:color w:val="000000"/>
                <w:sz w:val="21"/>
              </w:rPr>
              <w:t>线性执行器路线，与巨蟹的旋转关节路线互补</w:t>
            </w:r>
          </w:p>
        </w:tc>
      </w:tr>
      <w:tr>
        <w:trPr>
          <w:cantSplit/>
          <w:jc w:val="center"/>
        </w:trPr>
        <w:tc>
          <w:tcPr>
            <w:tcW w:w="750" w:type="pct"/>
            <w:tcBorders>
              <w:top w:val="single" w:sz="4" w:space="0" w:color="010000"/>
            </w:tcBorders>
            <w:vAlign w:val="center"/>
          </w:tcPr>
          <w:p>
            <w:pPr>
              <w:jc w:val="left"/>
            </w:pPr>
            <w:r/>
            <w:r>
              <w:rPr>
                <w:rFonts w:hint="eastAsia"/>
                <w:color w:val="000000"/>
                <w:sz w:val="21"/>
              </w:rPr>
              <w:t>视觉与感知</w:t>
            </w:r>
          </w:p>
        </w:tc>
        <w:tc>
          <w:tcPr>
            <w:tcW w:w="2750" w:type="pct"/>
            <w:tcBorders>
              <w:top w:val="single" w:sz="4" w:space="0" w:color="010000"/>
            </w:tcBorders>
            <w:vAlign w:val="center"/>
          </w:tcPr>
          <w:p>
            <w:pPr>
              <w:jc w:val="left"/>
            </w:pPr>
            <w:r/>
            <w:r>
              <w:rPr>
                <w:rFonts w:hint="eastAsia"/>
                <w:color w:val="000000"/>
                <w:sz w:val="21"/>
              </w:rPr>
              <w:t>奥比中光（688322.SH）、凌云光（688400.SH）、华依科技（688071.SH）</w:t>
            </w:r>
          </w:p>
        </w:tc>
        <w:tc>
          <w:tcPr>
            <w:tcW w:w="1500" w:type="pct"/>
            <w:tcBorders>
              <w:top w:val="single" w:sz="4" w:space="0" w:color="010000"/>
            </w:tcBorders>
            <w:vAlign w:val="center"/>
          </w:tcPr>
          <w:p>
            <w:pPr>
              <w:jc w:val="left"/>
            </w:pPr>
            <w:r/>
            <w:r>
              <w:rPr>
                <w:rFonts w:hint="eastAsia"/>
                <w:color w:val="000000"/>
                <w:sz w:val="21"/>
              </w:rPr>
              <w:t>奥比中光为智元3D视觉供应商、华依科技为其IMU供应商</w:t>
            </w:r>
          </w:p>
        </w:tc>
      </w:tr>
      <w:tr>
        <w:trPr>
          <w:cantSplit/>
          <w:jc w:val="center"/>
        </w:trPr>
        <w:tc>
          <w:tcPr>
            <w:tcW w:w="750" w:type="pct"/>
            <w:tcBorders>
              <w:top w:val="single" w:sz="4" w:space="0" w:color="010000"/>
            </w:tcBorders>
            <w:vAlign w:val="center"/>
          </w:tcPr>
          <w:p>
            <w:pPr>
              <w:jc w:val="left"/>
            </w:pPr>
            <w:r/>
            <w:r>
              <w:rPr>
                <w:rFonts w:hint="eastAsia"/>
                <w:color w:val="000000"/>
                <w:sz w:val="21"/>
              </w:rPr>
              <w:t>芯片与算力</w:t>
            </w:r>
          </w:p>
        </w:tc>
        <w:tc>
          <w:tcPr>
            <w:tcW w:w="2750" w:type="pct"/>
            <w:tcBorders>
              <w:top w:val="single" w:sz="4" w:space="0" w:color="010000"/>
            </w:tcBorders>
            <w:vAlign w:val="center"/>
          </w:tcPr>
          <w:p>
            <w:pPr>
              <w:jc w:val="left"/>
            </w:pPr>
            <w:r/>
            <w:r>
              <w:rPr>
                <w:rFonts w:hint="eastAsia"/>
                <w:color w:val="000000"/>
                <w:sz w:val="21"/>
              </w:rPr>
              <w:t>地平线机器人（09660.HK）、寒武纪（688256.SH）、瑞芯微（603893.SH）</w:t>
            </w:r>
          </w:p>
        </w:tc>
        <w:tc>
          <w:tcPr>
            <w:tcW w:w="1500" w:type="pct"/>
            <w:tcBorders>
              <w:top w:val="single" w:sz="4" w:space="0" w:color="010000"/>
            </w:tcBorders>
            <w:vAlign w:val="center"/>
          </w:tcPr>
          <w:p>
            <w:pPr>
              <w:jc w:val="left"/>
            </w:pPr>
            <w:r/>
            <w:r>
              <w:rPr>
                <w:rFonts w:hint="eastAsia"/>
                <w:color w:val="000000"/>
                <w:sz w:val="21"/>
              </w:rPr>
              <w:t>相关度低</w:t>
            </w:r>
          </w:p>
        </w:tc>
      </w:tr>
      <w:tr>
        <w:trPr>
          <w:cantSplit/>
          <w:jc w:val="center"/>
        </w:trPr>
        <w:tc>
          <w:tcPr>
            <w:tcW w:w="750" w:type="pct"/>
            <w:tcBorders>
              <w:top w:val="single" w:sz="4" w:space="0" w:color="010000"/>
            </w:tcBorders>
            <w:vAlign w:val="center"/>
          </w:tcPr>
          <w:p>
            <w:pPr>
              <w:jc w:val="left"/>
            </w:pPr>
            <w:r/>
            <w:r>
              <w:rPr>
                <w:rFonts w:hint="eastAsia"/>
                <w:color w:val="000000"/>
                <w:sz w:val="21"/>
              </w:rPr>
              <w:t>结构件、代工与制造服务</w:t>
            </w:r>
          </w:p>
        </w:tc>
        <w:tc>
          <w:tcPr>
            <w:tcW w:w="2750" w:type="pct"/>
            <w:tcBorders>
              <w:top w:val="single" w:sz="4" w:space="0" w:color="010000"/>
            </w:tcBorders>
            <w:vAlign w:val="center"/>
          </w:tcPr>
          <w:p>
            <w:pPr>
              <w:jc w:val="left"/>
            </w:pPr>
            <w:r/>
            <w:r>
              <w:rPr>
                <w:rFonts w:hint="eastAsia"/>
                <w:color w:val="000000"/>
                <w:sz w:val="21"/>
              </w:rPr>
              <w:t>立讯精密（002475.SZ）、领益智造（002600.SZ）、蓝思科技（300433.SZ／06613.HK）、宁波华翔（002048.SZ）、博众精工（688097.SH）、均普智能（688306.SH）、卧龙电驱（600580.SH）、晋拓股份（603211.SH）</w:t>
            </w:r>
          </w:p>
        </w:tc>
        <w:tc>
          <w:tcPr>
            <w:tcW w:w="1500" w:type="pct"/>
            <w:tcBorders>
              <w:top w:val="single" w:sz="4" w:space="0" w:color="010000"/>
            </w:tcBorders>
            <w:vAlign w:val="center"/>
          </w:tcPr>
          <w:p>
            <w:pPr>
              <w:jc w:val="left"/>
            </w:pPr>
            <w:r/>
            <w:r>
              <w:rPr>
                <w:rFonts w:hint="eastAsia"/>
                <w:color w:val="000000"/>
                <w:sz w:val="21"/>
              </w:rPr>
              <w:t>多为智元A链核心伙伴，是整机厂产能爬坡的承接方</w:t>
            </w:r>
          </w:p>
        </w:tc>
      </w:tr>
      <w:tr>
        <w:trPr>
          <w:cantSplit/>
          <w:jc w:val="center"/>
        </w:trPr>
        <w:tc>
          <w:tcPr>
            <w:tcW w:w="750" w:type="pct"/>
            <w:tcBorders>
              <w:top w:val="single" w:sz="4" w:space="0" w:color="010000"/>
            </w:tcBorders>
            <w:vAlign w:val="center"/>
          </w:tcPr>
          <w:p>
            <w:pPr>
              <w:jc w:val="left"/>
            </w:pPr>
            <w:r/>
            <w:r>
              <w:rPr>
                <w:rFonts w:hint="eastAsia"/>
                <w:color w:val="000000"/>
                <w:sz w:val="21"/>
              </w:rPr>
              <w:t>整机与本体</w:t>
            </w:r>
          </w:p>
        </w:tc>
        <w:tc>
          <w:tcPr>
            <w:tcW w:w="2750" w:type="pct"/>
            <w:tcBorders>
              <w:top w:val="single" w:sz="4" w:space="0" w:color="010000"/>
            </w:tcBorders>
            <w:vAlign w:val="center"/>
          </w:tcPr>
          <w:p>
            <w:pPr>
              <w:jc w:val="left"/>
            </w:pPr>
            <w:r/>
            <w:r>
              <w:rPr>
                <w:rFonts w:hint="eastAsia"/>
                <w:color w:val="000000"/>
                <w:sz w:val="21"/>
              </w:rPr>
              <w:t>优必选（09880.HK）、宇树科技（688836.SH）、越疆科技（02432.HK，A股已过会）、埃斯顿（002747.SZ及H股）、拓斯达（300607.SZ）、埃夫特（688165.SH）、珞石机器人（03752.HK）、乐动机器人（01236.HK）、新睿电子（920211.BJ）、三瑞智能（301696.SZ）</w:t>
            </w:r>
          </w:p>
        </w:tc>
        <w:tc>
          <w:tcPr>
            <w:tcW w:w="1500" w:type="pct"/>
            <w:tcBorders>
              <w:top w:val="single" w:sz="4" w:space="0" w:color="010000"/>
            </w:tcBorders>
            <w:vAlign w:val="center"/>
          </w:tcPr>
          <w:p>
            <w:pPr>
              <w:jc w:val="left"/>
            </w:pPr>
            <w:r/>
            <w:r>
              <w:rPr>
                <w:rFonts w:hint="eastAsia"/>
                <w:color w:val="000000"/>
                <w:sz w:val="21"/>
              </w:rPr>
              <w:t>下游客户群体</w:t>
            </w:r>
          </w:p>
        </w:tc>
      </w:tr>
    </w:tbl>
    <w:p>
      <w:pPr>
        <w:pStyle w:val="a6"/>
        <w:jc w:val="center"/>
      </w:pPr>
      <w:r>
        <w:rPr>
          <w:rFonts w:hint="eastAsia"/>
          <w:sz w:val="11"/>
          <w:szCs w:val="11"/>
        </w:rPr>
        <w:t>资料来源：交易所公开披露及公开资料，本报告整理。本表按与人形机器人产业链的相关度收录，不含仅有概念关联的公司；上市地与代码以最新公开信息为准，存在A+H等多地上市的已一并列示。</w:t>
      </w:r>
    </w:p>
    <w:p>
      <w:pPr>
        <w:pStyle w:val="3"/>
        <w:numPr>
          <w:ilvl w:val="0"/>
          <w:numId w:val="0"/>
        </w:numPr>
        <w:spacing w:before="156" w:after="156"/>
      </w:pPr>
      <w:bookmarkStart w:id="1033" w:name="_Toc900033"/>
      <w:r>
        <w:rPr>
          <w:rFonts w:hint="eastAsia"/>
        </w:rPr>
        <w:t>6.3 在审、已受理或已递表的企业</w:t>
      </w:r>
      <w:bookmarkEnd w:id="1033"/>
    </w:p>
    <w:p>
      <w:pPr>
        <w:keepNext/>
        <w:jc w:val="center"/>
      </w:pPr>
      <w:r>
        <w:rPr>
          <w:rFonts w:hint="eastAsia"/>
          <w:b/>
          <w:sz w:val="21"/>
        </w:rPr>
        <w:t>表11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服务机器人（智能家居执行终端），集资规模约16.4亿港元。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斯坦德机器人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2026年6月23日递表</w:t>
            </w:r>
          </w:p>
        </w:tc>
        <w:tc>
          <w:tcPr>
            <w:tcW w:w="806" w:type="pct"/>
            <w:tcBorders>
              <w:top w:val="single" w:sz="4" w:space="0" w:color="010000"/>
            </w:tcBorders>
            <w:vAlign w:val="center"/>
          </w:tcPr>
          <w:p>
            <w:pPr>
              <w:jc w:val="left"/>
            </w:pPr>
            <w:r/>
            <w:r>
              <w:rPr>
                <w:rFonts w:hint="eastAsia"/>
                <w:color w:val="000000"/>
                <w:sz w:val="21"/>
              </w:rPr>
              <w:t>中信证券＋国泰海通（联席保荐）</w:t>
            </w:r>
          </w:p>
        </w:tc>
        <w:tc>
          <w:tcPr>
            <w:tcW w:w="2177" w:type="pct"/>
            <w:tcBorders>
              <w:top w:val="single" w:sz="4" w:space="0" w:color="010000"/>
            </w:tcBorders>
            <w:vAlign w:val="center"/>
          </w:tcPr>
          <w:p>
            <w:pPr>
              <w:jc w:val="left"/>
            </w:pPr>
            <w:r/>
            <w:r>
              <w:rPr>
                <w:rFonts w:hint="eastAsia"/>
                <w:color w:val="000000"/>
                <w:sz w:val="21"/>
              </w:rPr>
              <w:t>移动机器人（工业物流AMR）及具身智能相关业务。</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4" w:name="_Toc900034"/>
      <w:r>
        <w:rPr>
          <w:rFonts w:hint="eastAsia"/>
        </w:rPr>
        <w:t>6.4 辅导备案或已完成股改的企业</w:t>
      </w:r>
      <w:bookmarkEnd w:id="1034"/>
    </w:p>
    <w:p>
      <w:pPr>
        <w:pStyle w:val="a0"/>
      </w:pPr>
      <w:r>
        <w:rPr>
          <w:rFonts w:hint="eastAsia"/>
        </w:rPr>
        <w:t>这一组企业按其在资本化程序中的实际位置可分为三类，中介机构的可查性也随之不同：已在证监局完成辅导备案的，辅导机构随备案一并公示；已聘定保荐机构并向港交所递表（含保密递表）的，保荐人可在递表文件或公开报道中查到；仅完成股份制改造、尚未进入辅导或递表程序的，因法定程序尚未启动，保荐或辅导机构无公开披露渠道。</w:t>
      </w:r>
    </w:p>
    <w:p>
      <w:pPr>
        <w:pStyle w:val="a0"/>
      </w:pPr>
      <w:r>
        <w:rPr>
          <w:rFonts w:hint="eastAsia"/>
        </w:rPr>
        <w:t>对第三类企业，可通过股东穿透识别其券商系投资方作为参考——券商私募子公司或其管理的基金进入股东名册，通常意味着该券商与企业已有业务接触，未来承接保荐业务的可能性相对更高。但需要明确：券商系股东身份不等于保荐关系，二者不能相互推定，下表中已分列两栏。</w:t>
      </w:r>
    </w:p>
    <w:p>
      <w:pPr>
        <w:keepNext/>
        <w:jc w:val="center"/>
      </w:pPr>
      <w:r>
        <w:rPr>
          <w:rFonts w:hint="eastAsia"/>
          <w:b/>
          <w:sz w:val="21"/>
        </w:rPr>
        <w:t>表12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92"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985"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758" w:type="pct"/>
            <w:tcBorders>
              <w:top w:val="single" w:sz="12" w:space="0" w:color="010000"/>
              <w:bottom w:val="single" w:sz="4" w:space="0" w:color="010000"/>
            </w:tcBorders>
            <w:vAlign w:val="center"/>
          </w:tcPr>
          <w:p>
            <w:pPr>
              <w:keepNext/>
              <w:jc w:val="center"/>
            </w:pPr>
            <w:r/>
            <w:r>
              <w:rPr>
                <w:rFonts w:hint="eastAsia"/>
                <w:b/>
                <w:color w:val="000000"/>
                <w:sz w:val="21"/>
              </w:rPr>
              <w:t>保荐/辅导机构</w:t>
            </w:r>
          </w:p>
        </w:tc>
        <w:tc>
          <w:tcPr>
            <w:tcW w:w="1326" w:type="pct"/>
            <w:tcBorders>
              <w:top w:val="single" w:sz="12" w:space="0" w:color="010000"/>
              <w:bottom w:val="single" w:sz="4" w:space="0" w:color="010000"/>
            </w:tcBorders>
            <w:vAlign w:val="center"/>
          </w:tcPr>
          <w:p>
            <w:pPr>
              <w:keepNext/>
              <w:jc w:val="center"/>
            </w:pPr>
            <w:r/>
            <w:r>
              <w:rPr>
                <w:rFonts w:hint="eastAsia"/>
                <w:b/>
                <w:color w:val="000000"/>
                <w:sz w:val="21"/>
              </w:rPr>
              <w:t>券商系股东或投资方（供参考，非保荐关系）</w:t>
            </w:r>
          </w:p>
        </w:tc>
        <w:tc>
          <w:tcPr>
            <w:tcW w:w="1439"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492" w:type="pct"/>
            <w:tcBorders>
              <w:top w:val="single" w:sz="4" w:space="0" w:color="010000"/>
            </w:tcBorders>
            <w:vAlign w:val="center"/>
          </w:tcPr>
          <w:p>
            <w:pPr>
              <w:jc w:val="left"/>
            </w:pPr>
            <w:r/>
            <w:r>
              <w:rPr>
                <w:rFonts w:hint="eastAsia"/>
                <w:color w:val="000000"/>
                <w:sz w:val="21"/>
              </w:rPr>
              <w:t>纽氏达特</w:t>
            </w:r>
          </w:p>
        </w:tc>
        <w:tc>
          <w:tcPr>
            <w:tcW w:w="985" w:type="pct"/>
            <w:tcBorders>
              <w:top w:val="single" w:sz="4" w:space="0" w:color="010000"/>
            </w:tcBorders>
            <w:vAlign w:val="center"/>
          </w:tcPr>
          <w:p>
            <w:pPr>
              <w:jc w:val="left"/>
            </w:pPr>
            <w:r/>
            <w:r>
              <w:rPr>
                <w:rFonts w:hint="eastAsia"/>
                <w:color w:val="000000"/>
                <w:sz w:val="21"/>
              </w:rPr>
              <w:t>已完成辅导备案（2025年12月3日）</w:t>
            </w:r>
          </w:p>
        </w:tc>
        <w:tc>
          <w:tcPr>
            <w:tcW w:w="758" w:type="pct"/>
            <w:tcBorders>
              <w:top w:val="single" w:sz="4" w:space="0" w:color="010000"/>
            </w:tcBorders>
            <w:vAlign w:val="center"/>
          </w:tcPr>
          <w:p>
            <w:pPr>
              <w:jc w:val="left"/>
            </w:pPr>
            <w:r/>
            <w:r>
              <w:rPr>
                <w:rFonts w:hint="eastAsia"/>
                <w:color w:val="000000"/>
                <w:sz w:val="21"/>
              </w:rPr>
              <w:t>东方证券（辅导机构）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492" w:type="pct"/>
            <w:tcBorders>
              <w:top w:val="single" w:sz="4" w:space="0" w:color="010000"/>
            </w:tcBorders>
            <w:vAlign w:val="center"/>
          </w:tcPr>
          <w:p>
            <w:pPr>
              <w:jc w:val="left"/>
            </w:pPr>
            <w:r/>
            <w:r>
              <w:rPr>
                <w:rFonts w:hint="eastAsia"/>
                <w:color w:val="000000"/>
                <w:sz w:val="21"/>
              </w:rPr>
              <w:t>天链机器人</w:t>
            </w:r>
          </w:p>
        </w:tc>
        <w:tc>
          <w:tcPr>
            <w:tcW w:w="985" w:type="pct"/>
            <w:tcBorders>
              <w:top w:val="single" w:sz="4" w:space="0" w:color="010000"/>
            </w:tcBorders>
            <w:vAlign w:val="center"/>
          </w:tcPr>
          <w:p>
            <w:pPr>
              <w:jc w:val="left"/>
            </w:pPr>
            <w:r/>
            <w:r>
              <w:rPr>
                <w:rFonts w:hint="eastAsia"/>
                <w:color w:val="000000"/>
                <w:sz w:val="21"/>
              </w:rPr>
              <w:t>科创板辅导中（第四期）</w:t>
            </w:r>
          </w:p>
        </w:tc>
        <w:tc>
          <w:tcPr>
            <w:tcW w:w="758" w:type="pct"/>
            <w:tcBorders>
              <w:top w:val="single" w:sz="4" w:space="0" w:color="010000"/>
            </w:tcBorders>
            <w:vAlign w:val="center"/>
          </w:tcPr>
          <w:p>
            <w:pPr>
              <w:jc w:val="left"/>
            </w:pPr>
            <w:r/>
            <w:r>
              <w:rPr>
                <w:rFonts w:hint="eastAsia"/>
                <w:color w:val="000000"/>
                <w:sz w:val="21"/>
              </w:rPr>
              <w:t>华安证券（辅导机构）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492" w:type="pct"/>
            <w:tcBorders>
              <w:top w:val="single" w:sz="4" w:space="0" w:color="010000"/>
            </w:tcBorders>
            <w:vAlign w:val="center"/>
          </w:tcPr>
          <w:p>
            <w:pPr>
              <w:jc w:val="left"/>
            </w:pPr>
            <w:r/>
            <w:r>
              <w:rPr>
                <w:rFonts w:hint="eastAsia"/>
                <w:color w:val="000000"/>
                <w:sz w:val="21"/>
              </w:rPr>
              <w:t>众擎机器人</w:t>
            </w:r>
          </w:p>
        </w:tc>
        <w:tc>
          <w:tcPr>
            <w:tcW w:w="985" w:type="pct"/>
            <w:tcBorders>
              <w:top w:val="single" w:sz="4" w:space="0" w:color="010000"/>
            </w:tcBorders>
            <w:vAlign w:val="center"/>
          </w:tcPr>
          <w:p>
            <w:pPr>
              <w:jc w:val="left"/>
            </w:pPr>
            <w:r/>
            <w:r>
              <w:rPr>
                <w:rFonts w:hint="eastAsia"/>
                <w:color w:val="000000"/>
                <w:sz w:val="21"/>
              </w:rPr>
              <w:t>2026年1月23日完成股改；已以保密方式向港交所递交上市申请</w:t>
            </w:r>
          </w:p>
        </w:tc>
        <w:tc>
          <w:tcPr>
            <w:tcW w:w="758" w:type="pct"/>
            <w:tcBorders>
              <w:top w:val="single" w:sz="4" w:space="0" w:color="010000"/>
            </w:tcBorders>
            <w:vAlign w:val="center"/>
          </w:tcPr>
          <w:p>
            <w:pPr>
              <w:jc w:val="left"/>
            </w:pPr>
            <w:r/>
            <w:r>
              <w:rPr>
                <w:rFonts w:hint="eastAsia"/>
                <w:color w:val="000000"/>
                <w:sz w:val="21"/>
              </w:rPr>
              <w:t>中金公司、中信证券（保荐机构）</w:t>
            </w:r>
          </w:p>
        </w:tc>
        <w:tc>
          <w:tcPr>
            <w:tcW w:w="1326" w:type="pct"/>
            <w:tcBorders>
              <w:top w:val="single" w:sz="4" w:space="0" w:color="010000"/>
            </w:tcBorders>
            <w:vAlign w:val="center"/>
          </w:tcPr>
          <w:p>
            <w:pPr>
              <w:jc w:val="left"/>
            </w:pPr>
            <w:r/>
            <w:r>
              <w:rPr>
                <w:rFonts w:hint="eastAsia"/>
                <w:color w:val="000000"/>
                <w:sz w:val="21"/>
              </w:rPr>
              <w:t>—</w:t>
            </w:r>
          </w:p>
        </w:tc>
        <w:tc>
          <w:tcPr>
            <w:tcW w:w="1439" w:type="pct"/>
            <w:tcBorders>
              <w:top w:val="single" w:sz="4" w:space="0" w:color="010000"/>
            </w:tcBorders>
            <w:vAlign w:val="center"/>
          </w:tcPr>
          <w:p>
            <w:pPr>
              <w:jc w:val="left"/>
            </w:pPr>
            <w:r/>
            <w:r>
              <w:rPr>
                <w:rFonts w:hint="eastAsia"/>
                <w:color w:val="000000"/>
                <w:sz w:val="21"/>
              </w:rPr>
              <w:t>PM01等中小尺寸双足人形机器人，售价8.8万元。B轮融资2亿美元，由河南投资集团旗下汇融基金与立讯精密联合领投，估值突破100亿元；与多伦科技签署2,000台三年期框架协议。</w:t>
            </w:r>
          </w:p>
        </w:tc>
      </w:tr>
      <w:tr>
        <w:trPr>
          <w:cantSplit/>
          <w:jc w:val="center"/>
        </w:trPr>
        <w:tc>
          <w:tcPr>
            <w:tcW w:w="492" w:type="pct"/>
            <w:tcBorders>
              <w:top w:val="single" w:sz="4" w:space="0" w:color="010000"/>
            </w:tcBorders>
            <w:vAlign w:val="center"/>
          </w:tcPr>
          <w:p>
            <w:pPr>
              <w:jc w:val="left"/>
            </w:pPr>
            <w:r/>
            <w:r>
              <w:rPr>
                <w:rFonts w:hint="eastAsia"/>
                <w:color w:val="000000"/>
                <w:sz w:val="21"/>
              </w:rPr>
              <w:t>傅利叶智能</w:t>
            </w:r>
          </w:p>
        </w:tc>
        <w:tc>
          <w:tcPr>
            <w:tcW w:w="985" w:type="pct"/>
            <w:tcBorders>
              <w:top w:val="single" w:sz="4" w:space="0" w:color="010000"/>
            </w:tcBorders>
            <w:vAlign w:val="center"/>
          </w:tcPr>
          <w:p>
            <w:pPr>
              <w:jc w:val="left"/>
            </w:pPr>
            <w:r/>
            <w:r>
              <w:rPr>
                <w:rFonts w:hint="eastAsia"/>
                <w:color w:val="000000"/>
                <w:sz w:val="21"/>
              </w:rPr>
              <w:t>2025年7月完成股改，已启动科创板上市辅导准备与申报</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w:t>
            </w:r>
          </w:p>
        </w:tc>
        <w:tc>
          <w:tcPr>
            <w:tcW w:w="1439"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492" w:type="pct"/>
            <w:tcBorders>
              <w:top w:val="single" w:sz="4" w:space="0" w:color="010000"/>
            </w:tcBorders>
            <w:vAlign w:val="center"/>
          </w:tcPr>
          <w:p>
            <w:pPr>
              <w:jc w:val="left"/>
            </w:pPr>
            <w:r/>
            <w:r>
              <w:rPr>
                <w:rFonts w:hint="eastAsia"/>
                <w:color w:val="000000"/>
                <w:sz w:val="21"/>
              </w:rPr>
              <w:t>银河通用</w:t>
            </w:r>
          </w:p>
        </w:tc>
        <w:tc>
          <w:tcPr>
            <w:tcW w:w="985" w:type="pct"/>
            <w:tcBorders>
              <w:top w:val="single" w:sz="4" w:space="0" w:color="010000"/>
            </w:tcBorders>
            <w:vAlign w:val="center"/>
          </w:tcPr>
          <w:p>
            <w:pPr>
              <w:jc w:val="left"/>
            </w:pPr>
            <w:r/>
            <w:r>
              <w:rPr>
                <w:rFonts w:hint="eastAsia"/>
                <w:color w:val="000000"/>
                <w:sz w:val="21"/>
              </w:rPr>
              <w:t>已完成股改，2026年3月完成新一轮融资并被业内视为Pre-IPO轮，计划2026年下半年递交港股申请</w:t>
            </w:r>
          </w:p>
        </w:tc>
        <w:tc>
          <w:tcPr>
            <w:tcW w:w="758"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1326" w:type="pct"/>
            <w:tcBorders>
              <w:top w:val="single" w:sz="4" w:space="0" w:color="010000"/>
            </w:tcBorders>
            <w:vAlign w:val="center"/>
          </w:tcPr>
          <w:p>
            <w:pPr>
              <w:jc w:val="left"/>
            </w:pPr>
            <w:r/>
            <w:r>
              <w:rPr>
                <w:rFonts w:hint="eastAsia"/>
                <w:color w:val="000000"/>
                <w:sz w:val="21"/>
              </w:rPr>
              <w:t>恒旭资本第四期旗舰基金（海通开元为该基金LP）间接持有</w:t>
            </w:r>
          </w:p>
        </w:tc>
        <w:tc>
          <w:tcPr>
            <w:tcW w:w="1439" w:type="pct"/>
            <w:tcBorders>
              <w:top w:val="single" w:sz="4" w:space="0" w:color="010000"/>
            </w:tcBorders>
            <w:vAlign w:val="center"/>
          </w:tcPr>
          <w:p>
            <w:pPr>
              <w:jc w:val="left"/>
            </w:pPr>
            <w:r/>
            <w:r>
              <w:rPr>
                <w:rFonts w:hint="eastAsia"/>
                <w:color w:val="000000"/>
                <w:sz w:val="21"/>
              </w:rPr>
              <w:t>轮式双臂人形机器人及具身智能大模型。2026年3月融资25亿元（国家大基金参与），累计融资额居国内具身智能领域首位，投后估值超200亿元。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星海图</w:t>
            </w:r>
          </w:p>
        </w:tc>
        <w:tc>
          <w:tcPr>
            <w:tcW w:w="985" w:type="pct"/>
            <w:tcBorders>
              <w:top w:val="single" w:sz="4" w:space="0" w:color="010000"/>
            </w:tcBorders>
            <w:vAlign w:val="center"/>
          </w:tcPr>
          <w:p>
            <w:pPr>
              <w:jc w:val="left"/>
            </w:pPr>
            <w:r/>
            <w:r>
              <w:rPr>
                <w:rFonts w:hint="eastAsia"/>
                <w:color w:val="000000"/>
                <w:sz w:val="21"/>
              </w:rPr>
              <w:t>2026年1月完成股改；4月完成20亿元B+轮融资，计划最快2026年赴港上市</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B+轮投资方含中金资本旗下基金；另有华登科技、蓝思科技、金融街资本、金浦投资、北京科创等</w:t>
            </w:r>
          </w:p>
        </w:tc>
        <w:tc>
          <w:tcPr>
            <w:tcW w:w="1439" w:type="pct"/>
            <w:tcBorders>
              <w:top w:val="single" w:sz="4" w:space="0" w:color="010000"/>
            </w:tcBorders>
            <w:vAlign w:val="center"/>
          </w:tcPr>
          <w:p>
            <w:pPr>
              <w:jc w:val="left"/>
            </w:pPr>
            <w:r/>
            <w:r>
              <w:rPr>
                <w:rFonts w:hint="eastAsia"/>
                <w:color w:val="000000"/>
                <w:sz w:val="21"/>
              </w:rPr>
              <w:t>具身智能整机及模型，成立于2023年9月；A轮由蚂蚁集团独家领投，高瓴创投、IDG资本、百度风投等参与；估值突破200亿元。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星动纪元</w:t>
            </w:r>
          </w:p>
        </w:tc>
        <w:tc>
          <w:tcPr>
            <w:tcW w:w="985" w:type="pct"/>
            <w:tcBorders>
              <w:top w:val="single" w:sz="4" w:space="0" w:color="010000"/>
            </w:tcBorders>
            <w:vAlign w:val="center"/>
          </w:tcPr>
          <w:p>
            <w:pPr>
              <w:jc w:val="left"/>
            </w:pPr>
            <w:r/>
            <w:r>
              <w:rPr>
                <w:rFonts w:hint="eastAsia"/>
                <w:color w:val="000000"/>
                <w:sz w:val="21"/>
              </w:rPr>
              <w:t>Pre-IPO轮融资25亿元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未见券商系股东的公开披露；主要投资方为联想创投、清流资本、源码资本、阿里巴巴、金鼎资本等</w:t>
            </w:r>
          </w:p>
        </w:tc>
        <w:tc>
          <w:tcPr>
            <w:tcW w:w="1439"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松延动力</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投资方含中金战新创业投资（鹤山）合伙企业、北京机器人产业发展投资基金</w:t>
            </w:r>
          </w:p>
        </w:tc>
        <w:tc>
          <w:tcPr>
            <w:tcW w:w="1439"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492" w:type="pct"/>
            <w:tcBorders>
              <w:top w:val="single" w:sz="4" w:space="0" w:color="010000"/>
            </w:tcBorders>
            <w:vAlign w:val="center"/>
          </w:tcPr>
          <w:p>
            <w:pPr>
              <w:jc w:val="left"/>
            </w:pPr>
            <w:r/>
            <w:r>
              <w:rPr>
                <w:rFonts w:hint="eastAsia"/>
                <w:color w:val="000000"/>
                <w:sz w:val="21"/>
              </w:rPr>
              <w:t>智平方</w:t>
            </w:r>
          </w:p>
        </w:tc>
        <w:tc>
          <w:tcPr>
            <w:tcW w:w="985" w:type="pct"/>
            <w:tcBorders>
              <w:top w:val="single" w:sz="4" w:space="0" w:color="010000"/>
            </w:tcBorders>
            <w:vAlign w:val="center"/>
          </w:tcPr>
          <w:p>
            <w:pPr>
              <w:jc w:val="left"/>
            </w:pPr>
            <w:r/>
            <w:r>
              <w:rPr>
                <w:rFonts w:hint="eastAsia"/>
                <w:color w:val="000000"/>
                <w:sz w:val="21"/>
              </w:rPr>
              <w:t>已完成股改</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投资方含中金资本、中信建投、国泰海通，以及招商局资本、洪泰资本、金沙江联合资本、博华资本、航信资本等</w:t>
            </w:r>
          </w:p>
        </w:tc>
        <w:tc>
          <w:tcPr>
            <w:tcW w:w="1439" w:type="pct"/>
            <w:tcBorders>
              <w:top w:val="single" w:sz="4" w:space="0" w:color="010000"/>
            </w:tcBorders>
            <w:vAlign w:val="center"/>
          </w:tcPr>
          <w:p>
            <w:pPr>
              <w:jc w:val="left"/>
            </w:pPr>
            <w:r/>
            <w:r>
              <w:rPr>
                <w:rFonts w:hint="eastAsia"/>
                <w:color w:val="000000"/>
                <w:sz w:val="21"/>
              </w:rPr>
              <w:t>AGI原生通用智能机器人。2026年2月完成超10亿元B轮，估值超100亿元；6月完成新一轮融资，估值超200亿元，为大湾区最大具身智能独角兽。</w:t>
            </w:r>
          </w:p>
        </w:tc>
      </w:tr>
      <w:tr>
        <w:trPr>
          <w:cantSplit/>
          <w:jc w:val="center"/>
        </w:trPr>
        <w:tc>
          <w:tcPr>
            <w:tcW w:w="492" w:type="pct"/>
            <w:tcBorders>
              <w:top w:val="single" w:sz="4" w:space="0" w:color="010000"/>
            </w:tcBorders>
            <w:vAlign w:val="center"/>
          </w:tcPr>
          <w:p>
            <w:pPr>
              <w:jc w:val="left"/>
            </w:pPr>
            <w:r/>
            <w:r>
              <w:rPr>
                <w:rFonts w:hint="eastAsia"/>
                <w:color w:val="000000"/>
                <w:sz w:val="21"/>
              </w:rPr>
              <w:t>首形科技</w:t>
            </w:r>
          </w:p>
        </w:tc>
        <w:tc>
          <w:tcPr>
            <w:tcW w:w="985"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A2轮跟投方含中信证券国际资本、国泰君安创新投；由中信金石与吉利资本联合领投</w:t>
            </w:r>
          </w:p>
        </w:tc>
        <w:tc>
          <w:tcPr>
            <w:tcW w:w="1439" w:type="pct"/>
            <w:tcBorders>
              <w:top w:val="single" w:sz="4" w:space="0" w:color="010000"/>
            </w:tcBorders>
            <w:vAlign w:val="center"/>
          </w:tcPr>
          <w:p>
            <w:pPr>
              <w:jc w:val="left"/>
            </w:pPr>
            <w:r/>
            <w:r>
              <w:rPr>
                <w:rFonts w:hint="eastAsia"/>
                <w:color w:val="000000"/>
                <w:sz w:val="21"/>
              </w:rPr>
              <w:t>超仿生类人机器人与仿生情感交互（以高仿真"脸"为核心）。</w:t>
            </w:r>
          </w:p>
        </w:tc>
      </w:tr>
      <w:tr>
        <w:trPr>
          <w:cantSplit/>
          <w:jc w:val="center"/>
        </w:trPr>
        <w:tc>
          <w:tcPr>
            <w:tcW w:w="492" w:type="pct"/>
            <w:tcBorders>
              <w:top w:val="single" w:sz="4" w:space="0" w:color="010000"/>
            </w:tcBorders>
            <w:vAlign w:val="center"/>
          </w:tcPr>
          <w:p>
            <w:pPr>
              <w:jc w:val="left"/>
            </w:pPr>
            <w:r/>
            <w:r>
              <w:rPr>
                <w:rFonts w:hint="eastAsia"/>
                <w:color w:val="000000"/>
                <w:sz w:val="21"/>
              </w:rPr>
              <w:t>魔法原子</w:t>
            </w:r>
          </w:p>
        </w:tc>
        <w:tc>
          <w:tcPr>
            <w:tcW w:w="985" w:type="pct"/>
            <w:tcBorders>
              <w:top w:val="single" w:sz="4" w:space="0" w:color="010000"/>
            </w:tcBorders>
            <w:vAlign w:val="center"/>
          </w:tcPr>
          <w:p>
            <w:pPr>
              <w:jc w:val="left"/>
            </w:pPr>
            <w:r/>
            <w:r>
              <w:rPr>
                <w:rFonts w:hint="eastAsia"/>
                <w:color w:val="000000"/>
                <w:sz w:val="21"/>
              </w:rPr>
              <w:t>推进上市进程</w:t>
            </w:r>
          </w:p>
        </w:tc>
        <w:tc>
          <w:tcPr>
            <w:tcW w:w="758" w:type="pct"/>
            <w:tcBorders>
              <w:top w:val="single" w:sz="4" w:space="0" w:color="010000"/>
            </w:tcBorders>
            <w:vAlign w:val="center"/>
          </w:tcPr>
          <w:p>
            <w:pPr>
              <w:jc w:val="left"/>
            </w:pPr>
            <w:r/>
            <w:r>
              <w:rPr>
                <w:rFonts w:hint="eastAsia"/>
                <w:color w:val="000000"/>
                <w:sz w:val="21"/>
              </w:rPr>
              <w:t>尚未公开披露</w:t>
            </w:r>
          </w:p>
        </w:tc>
        <w:tc>
          <w:tcPr>
            <w:tcW w:w="1326" w:type="pct"/>
            <w:tcBorders>
              <w:top w:val="single" w:sz="4" w:space="0" w:color="010000"/>
            </w:tcBorders>
            <w:vAlign w:val="center"/>
          </w:tcPr>
          <w:p>
            <w:pPr>
              <w:jc w:val="left"/>
            </w:pPr>
            <w:r/>
            <w:r>
              <w:rPr>
                <w:rFonts w:hint="eastAsia"/>
                <w:color w:val="000000"/>
                <w:sz w:val="21"/>
              </w:rPr>
              <w:t>未见券商系股东的公开披露；由魔法工场（无锡）科技有限公司全资持股</w:t>
            </w:r>
          </w:p>
        </w:tc>
        <w:tc>
          <w:tcPr>
            <w:tcW w:w="1439"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港交所披露文件；公开融资报道及企业工商信息。"券商系股东或投资方"一栏系通过股东穿透与融资报道整理，仅反映券商与企业已有股权层面的接触，不代表已建立保荐或辅导关系，两者不可相互推定；标注"尚未公开披露"的企业均为仅完成股份制改造、尚未在证监局办理辅导备案且未向交易所递表，法定程序尚未启动。</w:t>
      </w:r>
    </w:p>
    <w:p>
      <w:pPr>
        <w:pStyle w:val="3"/>
        <w:numPr>
          <w:ilvl w:val="0"/>
          <w:numId w:val="0"/>
        </w:numPr>
        <w:spacing w:before="156" w:after="156"/>
      </w:pPr>
      <w:bookmarkStart w:id="1035" w:name="_Toc900035"/>
      <w:r>
        <w:rPr>
          <w:rFonts w:hint="eastAsia"/>
        </w:rPr>
        <w:t>6.5 通过上市公司平台实现资本化的企业</w:t>
      </w:r>
      <w:bookmarkEnd w:id="1035"/>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6" w:name="_Toc900036"/>
      <w:r>
        <w:rPr>
          <w:rFonts w:hint="eastAsia"/>
        </w:rPr>
        <w:t>6.6 IPO终止或撤回的企业</w:t>
      </w:r>
      <w:bookmarkEnd w:id="1036"/>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7" w:name="_Toc900037"/>
      <w:r>
        <w:rPr>
          <w:rFonts w:hint="eastAsia"/>
        </w:rPr>
        <w:t>6.7 资本化特征小结</w:t>
      </w:r>
      <w:bookmarkEnd w:id="1037"/>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8" w:name="_Toc900038"/>
      <w:r>
        <w:rPr>
          <w:rFonts w:hint="eastAsia"/>
          <w:b/>
        </w:rPr>
        <w:t>与国泰海通相关的产业链公司</w:t>
      </w:r>
      <w:bookmarkEnd w:id="1038"/>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9" w:name="_Toc900039"/>
      <w:r>
        <w:rPr>
          <w:rFonts w:hint="eastAsia"/>
        </w:rPr>
        <w:t>7.1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港交所，2023年12月29日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港交所，2024年12月23日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国泰君安国际（与农银国际）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0" w:name="_Toc900040"/>
      <w:r>
        <w:rPr>
          <w:rFonts w:hint="eastAsia"/>
        </w:rPr>
        <w:t>7.2 正在保荐、在审或辅导中的公司</w:t>
      </w:r>
      <w:bookmarkEnd w:id="1040"/>
    </w:p>
    <w:p>
      <w:pPr>
        <w:keepNext/>
        <w:jc w:val="center"/>
      </w:pPr>
      <w:r>
        <w:rPr>
          <w:rFonts w:hint="eastAsia"/>
          <w:b/>
          <w:sz w:val="21"/>
        </w:rPr>
        <w:t>表14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已通过聆讯并完成上市备案，集资规模约16.4亿港元</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斯坦德机器人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2026年6月23日递表</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国泰海通（与中信证券）</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1" w:name="_Toc900041"/>
      <w:r>
        <w:rPr>
          <w:rFonts w:hint="eastAsia"/>
        </w:rPr>
        <w:t>7.3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7.4 股权投资与产业基金</w:t>
      </w:r>
      <w:bookmarkEnd w:id="1042"/>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3" w:name="_Toc900043"/>
      <w:r>
        <w:rPr>
          <w:rFonts w:hint="eastAsia"/>
        </w:rPr>
        <w:t>7.5 关联全景与小结</w:t>
      </w:r>
      <w:bookmarkEnd w:id="1043"/>
    </w:p>
    <w:p>
      <w:pPr>
        <w:pStyle w:val="a0"/>
      </w:pPr>
      <w:r>
        <w:rPr>
          <w:rFonts w:hint="eastAsia"/>
        </w:rPr>
        <w:t>国泰海通系在本产业链已保荐上市8家、正在保荐或辅导7家（含新增的斯坦德机器人）、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斯坦德机器人），其中优必选与卡诺普为独家保荐，投资侧集中于整机与具身智能（智元、智平方、宇树、银河通用、首形科技、飒智智能）。</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的数据来源分五类：一是交易所与监管机构的公开披露文件，包括上交所、深交所、北交所、港交所的招股说明书、发行保荐书、受理与问询公告，以及中国证监会和各地证监局的辅导备案公示；二是上市公司的定期报告与公告；三是第三方专业机构的行业统计，主要为新战略咨询与人形机器人场景应用联盟、高工机器人（GGII）、北京赛迪出版传媒与中国电子报、觅途咨询、MIR DATABANK，以及中商产业研究院、摩根士丹利、高盛的预测；四是政府部门与官方媒体发布的政策与产业信息；五是企业官网、展会资料与行业媒体报道。第六、七章的资本化进度与券商关联内容，以委托方提供的、基于Wind金融数据库整理的成果为基础框架，经上述公开文件逐条复核后补充完善。</w:t>
      </w:r>
    </w:p>
    <w:p>
      <w:pPr>
        <w:pStyle w:val="a0"/>
      </w:pPr>
      <w:r>
        <w:rPr>
          <w:rFonts w:hint="eastAsia"/>
        </w:rPr>
        <w:t>关于口径需提示三点。第一，人形机器人出货量尚无统一统计标准，本报告并列使用三套口径并逐项标注来源：新战略咨询与人形机器人场景应用联盟口径为2025年中国出货约2万台，GGII口径为约1.8万台，赛迪口径为全球约1.7万台、中国企业约1.44万台；三者统计边界不同，不可直接比较。谐波减速器的份额数据统一采用GGII《全球谐波减速器市场"沉浮录"》口径。第二，未上市企业的经营数据与估值均来自公开报道，未经审计核验；估值为融资后估值或发行公告口径，不代表实际交易定价。第三，图表中的轧差与倒算数据（如2024年出货量、工业物流场景占比）已在对应图注中标明计算过程。</w:t>
      </w:r>
    </w:p>
    <w:p>
      <w:pPr>
        <w:pStyle w:val="a0"/>
      </w:pPr>
      <w:r>
        <w:rPr>
          <w:rFonts w:hint="eastAsia"/>
        </w:rPr>
        <w:t>本报告产业与市场数据核验至2026年8月7日，资本化进度与券商关联内容核验至2026年8月10日。逐条数据来源、口径对照与复核修正记录另见配套文件《中国人形机器人产业链研究_数据来源清单.xlsx》与《中国人形机器人产业链研究_图表数据底稿.xlsx》。</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