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widowControl/>
        <w:spacing w:before="156" w:after="156" w:line="360" w:lineRule="auto"/>
        <w:jc w:val="center"/>
      </w:pPr>
      <w:r>
        <w:rPr>
          <w:rFonts w:ascii="宋体" w:hAnsi="宋体" w:cs="宋体" w:eastAsia="宋体" w:hint="eastAsia"/>
          <w:b/>
          <w:sz w:val="36"/>
        </w:rPr>
        <w:t>融资商业计划书（BP）框架与撰写指引</w:t>
      </w:r>
    </w:p>
    <w:sdt>
      <w:sdtPr>
        <w:id w:val="-1457872018"/>
        <w:docPartObj>
          <w:docPartGallery w:val="Table of Contents"/>
          <w:docPartUnique/>
        </w:docPartObj>
      </w:sdtPr>
      <w:sdtContent>
        <w:p>
          <w:pPr>
            <w:pStyle w:val="TOC"/>
            <w:spacing w:before="156" w:after="156" w:line="360" w:lineRule="auto"/>
            <w:rPr>
              <w:rFonts w:eastAsia="宋体"/>
              <w:b/>
              <w:color w:val="000000"/>
              <w:sz w:val="28"/>
              <w:szCs w:val="28"/>
            </w:rPr>
          </w:pPr>
          <w:r>
            <w:rPr>
              <w:rFonts w:eastAsia="宋体" w:hint="eastAsia"/>
              <w:b/>
              <w:color w:val="000000"/>
              <w:sz w:val="28"/>
              <w:szCs w:val="28"/>
            </w:rPr>
            <w:t>目录</w:t>
          </w:r>
        </w:p>
        <w:p>
          <w:pPr>
            <w:pStyle w:val="TOC1"/>
            <w:tabs>
              <w:tab w:val="right" w:leader="dot" w:pos="8299"/>
            </w:tabs>
            <w:spacing w:line="360" w:lineRule="auto"/>
            <w:rPr>
              <w:noProof/>
              <w:sz w:val="24"/>
              <w:szCs w:val="24"/>
            </w:rPr>
          </w:pPr>
          <w:r>
            <w:rPr>
              <w:sz w:val="24"/>
              <w:szCs w:val="24"/>
            </w:rPr>
            <w:fldChar w:fldCharType="begin"/>
          </w:r>
          <w:r>
            <w:rPr>
              <w:sz w:val="24"/>
              <w:szCs w:val="24"/>
            </w:rPr>
            <w:instrText xml:space="preserve"> TOC \o "1-3" \h \z \u </w:instrText>
          </w:r>
          <w:r>
            <w:rPr>
              <w:sz w:val="24"/>
              <w:szCs w:val="24"/>
            </w:rPr>
            <w:fldChar w:fldCharType="separate"/>
          </w:r>
          <w:hyperlink w:anchor="_Toc900000" w:history="1">
            <w:r>
              <w:rPr>
                <w:rStyle w:val="a5"/>
                <w:bCs w:val="0"/>
                <w:noProof/>
                <w:sz w:val="24"/>
                <w:szCs w:val="24"/>
              </w:rPr>
              <w:t xml:space="preserve">一、 材料说明</w:t>
            </w:r>
            <w:r>
              <w:rPr>
                <w:webHidden/>
                <w:noProof/>
                <w:sz w:val="24"/>
                <w:szCs w:val="24"/>
              </w:rPr>
              <w:tab/>
            </w:r>
            <w:r>
              <w:rPr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webHidden/>
                <w:noProof/>
                <w:sz w:val="24"/>
                <w:szCs w:val="24"/>
              </w:rPr>
              <w:instrText xml:space="preserve"> PAGEREF _Toc900000 \h </w:instrText>
            </w:r>
            <w:r>
              <w:rPr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webHidden/>
                <w:noProof/>
                <w:sz w:val="24"/>
                <w:szCs w:val="24"/>
              </w:rPr>
              <w:t>2</w:t>
            </w:r>
            <w:r>
              <w:rPr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1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1.1 这份材料解决什么问题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_Toc900001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2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2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1.2 三个版本，先想清楚在做哪一个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_Toc900002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2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3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1.3 企业内部谁来写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_Toc900003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2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1"/>
            <w:tabs>
              <w:tab w:val="right" w:leader="dot" w:pos="8299"/>
            </w:tabs>
            <w:spacing w:line="360" w:lineRule="auto"/>
            <w:rPr>
              <w:noProof/>
              <w:sz w:val="24"/>
              <w:szCs w:val="24"/>
            </w:rPr>
          </w:pPr>
          <w:hyperlink w:anchor="_Toc900004" w:history="1">
            <w:r>
              <w:rPr>
                <w:rStyle w:val="a5"/>
                <w:bCs w:val="0"/>
                <w:noProof/>
                <w:sz w:val="24"/>
                <w:szCs w:val="24"/>
              </w:rPr>
              <w:t xml:space="preserve">二、 整体框架</w:t>
            </w:r>
            <w:r>
              <w:rPr>
                <w:webHidden/>
                <w:noProof/>
                <w:sz w:val="24"/>
                <w:szCs w:val="24"/>
              </w:rPr>
              <w:tab/>
            </w:r>
            <w:r>
              <w:rPr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webHidden/>
                <w:noProof/>
                <w:sz w:val="24"/>
                <w:szCs w:val="24"/>
              </w:rPr>
              <w:instrText xml:space="preserve"> PAGEREF _Toc900004 \h </w:instrText>
            </w:r>
            <w:r>
              <w:rPr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webHidden/>
                <w:noProof/>
                <w:sz w:val="24"/>
                <w:szCs w:val="24"/>
              </w:rPr>
              <w:t>2</w:t>
            </w:r>
            <w:r>
              <w:rPr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1"/>
            <w:tabs>
              <w:tab w:val="right" w:leader="dot" w:pos="8299"/>
            </w:tabs>
            <w:spacing w:line="360" w:lineRule="auto"/>
            <w:rPr>
              <w:noProof/>
              <w:sz w:val="24"/>
              <w:szCs w:val="24"/>
            </w:rPr>
          </w:pPr>
          <w:hyperlink w:anchor="_Toc900005" w:history="1">
            <w:r>
              <w:rPr>
                <w:rStyle w:val="a5"/>
                <w:bCs w:val="0"/>
                <w:noProof/>
                <w:sz w:val="24"/>
                <w:szCs w:val="24"/>
              </w:rPr>
              <w:t xml:space="preserve">三、 逐模块内容要求</w:t>
            </w:r>
            <w:r>
              <w:rPr>
                <w:webHidden/>
                <w:noProof/>
                <w:sz w:val="24"/>
                <w:szCs w:val="24"/>
              </w:rPr>
              <w:tab/>
            </w:r>
            <w:r>
              <w:rPr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webHidden/>
                <w:noProof/>
                <w:sz w:val="24"/>
                <w:szCs w:val="24"/>
              </w:rPr>
              <w:instrText xml:space="preserve"> PAGEREF _Toc900005 \h </w:instrText>
            </w:r>
            <w:r>
              <w:rPr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webHidden/>
                <w:noProof/>
                <w:sz w:val="24"/>
                <w:szCs w:val="24"/>
              </w:rPr>
              <w:t>3</w:t>
            </w:r>
            <w:r>
              <w:rPr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6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3.1 封面与保密声明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_Toc900006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3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7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3.2 核心摘要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_Toc900007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4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8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3.3 公司概况与发展沿革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_Toc900008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4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09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3.4 行业与市场空间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_Toc900009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5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10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3.5 客户痛点与解决方案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_Toc900010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5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11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3.6 产品与技术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_Toc900011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5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12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3.7 商业模式与盈利能力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_Toc900012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6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13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3.8 市场验证与在手订单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_Toc900013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6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14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3.9 竞争格局与自身定位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_Toc900014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7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15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3.10 生产制造与供应链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_Toc900015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7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16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3.11 财务数据与预测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_Toc900016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8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17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3.12 发展规划与里程碑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_Toc900017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8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18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3.13 团队与股权结构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_Toc900018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8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19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3.14 本轮融资方案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_Toc900019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9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20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3.15 附录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_Toc900020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9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1"/>
            <w:tabs>
              <w:tab w:val="right" w:leader="dot" w:pos="8299"/>
            </w:tabs>
            <w:spacing w:line="360" w:lineRule="auto"/>
            <w:rPr>
              <w:noProof/>
              <w:sz w:val="24"/>
              <w:szCs w:val="24"/>
            </w:rPr>
          </w:pPr>
          <w:hyperlink w:anchor="_Toc900021" w:history="1">
            <w:r>
              <w:rPr>
                <w:rStyle w:val="a5"/>
                <w:bCs w:val="0"/>
                <w:noProof/>
                <w:sz w:val="24"/>
                <w:szCs w:val="24"/>
              </w:rPr>
              <w:t xml:space="preserve">四、 数据、口径与表述纪律</w:t>
            </w:r>
            <w:r>
              <w:rPr>
                <w:webHidden/>
                <w:noProof/>
                <w:sz w:val="24"/>
                <w:szCs w:val="24"/>
              </w:rPr>
              <w:tab/>
            </w:r>
            <w:r>
              <w:rPr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webHidden/>
                <w:noProof/>
                <w:sz w:val="24"/>
                <w:szCs w:val="24"/>
              </w:rPr>
              <w:instrText xml:space="preserve"> PAGEREF _Toc900021 \h </w:instrText>
            </w:r>
            <w:r>
              <w:rPr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webHidden/>
                <w:noProof/>
                <w:sz w:val="24"/>
                <w:szCs w:val="24"/>
              </w:rPr>
              <w:t>10</w:t>
            </w:r>
            <w:r>
              <w:rPr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22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4.1 数据口径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_Toc900022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10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23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4.2 财务数据一致性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_Toc900023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10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24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4.3 表述纪律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_Toc900024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10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2"/>
            <w:tabs>
              <w:tab w:val="right" w:leader="dot" w:pos="8299"/>
            </w:tabs>
            <w:spacing w:line="360" w:lineRule="auto"/>
            <w:ind w:left="400"/>
            <w:rPr>
              <w:rFonts w:eastAsia="宋体"/>
              <w:noProof/>
              <w:sz w:val="24"/>
              <w:szCs w:val="24"/>
            </w:rPr>
          </w:pPr>
          <w:hyperlink w:anchor="_Toc900025" w:history="1">
            <w:r>
              <w:rPr>
                <w:rStyle w:val="a5"/>
                <w:rFonts w:eastAsia="宋体" w:cs="宋体"/>
                <w:bCs/>
                <w:noProof/>
                <w:sz w:val="24"/>
                <w:szCs w:val="24"/>
              </w:rPr>
              <w:t xml:space="preserve">4.4 一页一结论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ab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instrText xml:space="preserve"> PAGEREF _Toc900025 \h </w:instrTex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t>10</w:t>
            </w:r>
            <w:r>
              <w:rPr>
                <w:rFonts w:eastAsia="宋体"/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1"/>
            <w:tabs>
              <w:tab w:val="right" w:leader="dot" w:pos="8299"/>
            </w:tabs>
            <w:spacing w:line="360" w:lineRule="auto"/>
            <w:rPr>
              <w:noProof/>
              <w:sz w:val="24"/>
              <w:szCs w:val="24"/>
            </w:rPr>
          </w:pPr>
          <w:hyperlink w:anchor="_Toc900026" w:history="1">
            <w:r>
              <w:rPr>
                <w:rStyle w:val="a5"/>
                <w:bCs w:val="0"/>
                <w:noProof/>
                <w:sz w:val="24"/>
                <w:szCs w:val="24"/>
              </w:rPr>
              <w:t xml:space="preserve">五、 动手前要准备的材料</w:t>
            </w:r>
            <w:r>
              <w:rPr>
                <w:webHidden/>
                <w:noProof/>
                <w:sz w:val="24"/>
                <w:szCs w:val="24"/>
              </w:rPr>
              <w:tab/>
            </w:r>
            <w:r>
              <w:rPr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webHidden/>
                <w:noProof/>
                <w:sz w:val="24"/>
                <w:szCs w:val="24"/>
              </w:rPr>
              <w:instrText xml:space="preserve"> PAGEREF _Toc900026 \h </w:instrText>
            </w:r>
            <w:r>
              <w:rPr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webHidden/>
                <w:noProof/>
                <w:sz w:val="24"/>
                <w:szCs w:val="24"/>
              </w:rPr>
              <w:t>10</w:t>
            </w:r>
            <w:r>
              <w:rPr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1"/>
            <w:tabs>
              <w:tab w:val="right" w:leader="dot" w:pos="8299"/>
            </w:tabs>
            <w:spacing w:line="360" w:lineRule="auto"/>
            <w:rPr>
              <w:noProof/>
              <w:sz w:val="24"/>
              <w:szCs w:val="24"/>
            </w:rPr>
          </w:pPr>
          <w:hyperlink w:anchor="_Toc900027" w:history="1">
            <w:r>
              <w:rPr>
                <w:rStyle w:val="a5"/>
                <w:bCs w:val="0"/>
                <w:noProof/>
                <w:sz w:val="24"/>
                <w:szCs w:val="24"/>
              </w:rPr>
              <w:t xml:space="preserve">六、 制作流程与时间安排</w:t>
            </w:r>
            <w:r>
              <w:rPr>
                <w:webHidden/>
                <w:noProof/>
                <w:sz w:val="24"/>
                <w:szCs w:val="24"/>
              </w:rPr>
              <w:tab/>
            </w:r>
            <w:r>
              <w:rPr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webHidden/>
                <w:noProof/>
                <w:sz w:val="24"/>
                <w:szCs w:val="24"/>
              </w:rPr>
              <w:instrText xml:space="preserve"> PAGEREF _Toc900027 \h </w:instrText>
            </w:r>
            <w:r>
              <w:rPr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webHidden/>
                <w:noProof/>
                <w:sz w:val="24"/>
                <w:szCs w:val="24"/>
              </w:rPr>
              <w:t>11</w:t>
            </w:r>
            <w:r>
              <w:rPr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TOC1"/>
            <w:tabs>
              <w:tab w:val="right" w:leader="dot" w:pos="8299"/>
            </w:tabs>
            <w:spacing w:line="360" w:lineRule="auto"/>
            <w:rPr>
              <w:noProof/>
              <w:sz w:val="24"/>
              <w:szCs w:val="24"/>
            </w:rPr>
          </w:pPr>
          <w:hyperlink w:anchor="_Toc900028" w:history="1">
            <w:r>
              <w:rPr>
                <w:rStyle w:val="a5"/>
                <w:bCs w:val="0"/>
                <w:noProof/>
                <w:sz w:val="24"/>
                <w:szCs w:val="24"/>
              </w:rPr>
              <w:t xml:space="preserve">七、 定稿前检查清单</w:t>
            </w:r>
            <w:r>
              <w:rPr>
                <w:webHidden/>
                <w:noProof/>
                <w:sz w:val="24"/>
                <w:szCs w:val="24"/>
              </w:rPr>
              <w:tab/>
            </w:r>
            <w:r>
              <w:rPr>
                <w:webHidden/>
                <w:noProof/>
                <w:sz w:val="24"/>
                <w:szCs w:val="24"/>
              </w:rPr>
              <w:fldChar w:fldCharType="begin"/>
            </w:r>
            <w:r>
              <w:rPr>
                <w:webHidden/>
                <w:noProof/>
                <w:sz w:val="24"/>
                <w:szCs w:val="24"/>
              </w:rPr>
              <w:instrText xml:space="preserve"> PAGEREF _Toc900028 \h </w:instrText>
            </w:r>
            <w:r>
              <w:rPr>
                <w:webHidden/>
                <w:noProof/>
                <w:sz w:val="24"/>
                <w:szCs w:val="24"/>
              </w:rPr>
              <w:fldChar w:fldCharType="separate"/>
            </w:r>
            <w:r>
              <w:rPr>
                <w:webHidden/>
                <w:noProof/>
                <w:sz w:val="24"/>
                <w:szCs w:val="24"/>
              </w:rPr>
              <w:t>12</w:t>
            </w:r>
            <w:r>
              <w:rPr>
                <w:webHidden/>
                <w:noProof/>
                <w:sz w:val="24"/>
                <w:szCs w:val="24"/>
              </w:rPr>
              <w:fldChar w:fldCharType="end"/>
            </w:r>
          </w:hyperlink>
        </w:p>
        <w:p>
          <w:pPr>
            <w:pStyle w:val="11"/>
            <w:ind w:firstLine="0"/>
          </w:pPr>
          <w:r>
            <w:rPr>
              <w:sz w:val="24"/>
              <w:szCs w:val="24"/>
            </w:rPr>
            <w:fldChar w:fldCharType="end"/>
          </w:r>
        </w:p>
      </w:sdtContent>
    </w:sdt>
    <w:p>
      <w:pPr>
        <w:pStyle w:val="2"/>
        <w:spacing w:before="156" w:after="156"/>
      </w:pPr>
      <w:bookmarkStart w:id="1000" w:name="_Toc900000"/>
      <w:r>
        <w:rPr>
          <w:rFonts w:hint="eastAsia"/>
          <w:b/>
        </w:rPr>
        <w:t>材料说明</w:t>
      </w:r>
      <w:bookmarkEnd w:id="1000"/>
    </w:p>
    <w:p>
      <w:pPr>
        <w:pStyle w:val="3"/>
        <w:numPr>
          <w:ilvl w:val="0"/>
          <w:numId w:val="0"/>
        </w:numPr>
        <w:spacing w:before="156" w:after="156"/>
      </w:pPr>
      <w:bookmarkStart w:id="1001" w:name="_Toc900001"/>
      <w:r>
        <w:rPr>
          <w:rFonts w:hint="eastAsia"/>
        </w:rPr>
        <w:t>1.1 这份材料解决什么问题</w:t>
      </w:r>
      <w:bookmarkEnd w:id="1001"/>
    </w:p>
    <w:p>
      <w:pPr>
        <w:pStyle w:val="a0"/>
      </w:pPr>
      <w:r>
        <w:rPr>
          <w:rFonts w:hint="eastAsia"/>
        </w:rPr>
        <w:t>融资商业计划书（以下简称 BP）是企业与投资机构沟通的载体，不是公司宣传册。投资人读一份 BP，是为了判断三件事：这门生意成不成立、这家公司能不能做成、这一轮价格值不值得投。BP 的页面顺序，就是这三个判断的展开顺序。</w:t>
      </w:r>
    </w:p>
    <w:p>
      <w:pPr>
        <w:pStyle w:val="a0"/>
      </w:pPr>
      <w:r>
        <w:rPr>
          <w:rFonts w:hint="eastAsia"/>
        </w:rPr>
        <w:t>本材料只规定三件事：BP 分成哪几个部分、每个部分必须写什么内容、数据和表述要守什么纪律。具体内容由企业按自身情况填写——同样的框架，不同企业填出来的东西完全不同，这是正常的。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02" w:name="_Toc900002"/>
      <w:r>
        <w:rPr>
          <w:rFonts w:hint="eastAsia"/>
        </w:rPr>
        <w:t>1.2 三个版本，先想清楚在做哪一个</w:t>
      </w:r>
      <w:bookmarkEnd w:id="1002"/>
    </w:p>
    <w:p>
      <w:pPr>
        <w:keepNext/>
        <w:jc w:val="center"/>
      </w:pPr>
      <w:r>
        <w:rPr>
          <w:rFonts w:hint="eastAsia"/>
          <w:b/>
          <w:sz w:val="21"/>
        </w:rPr>
        <w:t>表1  融资 BP 的三个版本</w:t>
      </w:r>
    </w:p>
    <w:tbl>
      <w:tblPr>
        <w:tblW w:w="5352" w:type="pct"/>
        <w:jc w:val="center"/>
        <w:tblBorders>
          <w:top w:val="single" w:sz="12" w:space="0" w:color="010000"/>
          <w:left w:val="single" w:sz="12" w:space="0" w:color="010000"/>
          <w:bottom w:val="single" w:sz="12" w:space="0" w:color="010000"/>
          <w:right w:val="single" w:sz="12" w:space="0" w:color="010000"/>
          <w:insideH w:val="single" w:sz="4" w:space="0" w:color="010000"/>
          <w:insideV w:val="single" w:sz="4" w:space="0" w:color="010000"/>
        </w:tblBorders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cantSplit/>
          <w:tblHeader/>
          <w:jc w:val="center"/>
        </w:trPr>
        <w:tc>
          <w:tcPr>
            <w:tcW w:w="8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版本</w:t>
            </w:r>
          </w:p>
        </w:tc>
        <w:tc>
          <w:tcPr>
            <w:tcW w:w="6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篇幅</w:t>
            </w:r>
          </w:p>
        </w:tc>
        <w:tc>
          <w:tcPr>
            <w:tcW w:w="15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用途</w:t>
            </w:r>
          </w:p>
        </w:tc>
        <w:tc>
          <w:tcPr>
            <w:tcW w:w="21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内容取舍</w:t>
            </w:r>
          </w:p>
        </w:tc>
      </w:tr>
      <w:tr>
        <w:trPr>
          <w:cantSplit/>
          <w:jc w:val="center"/>
        </w:trPr>
        <w:tc>
          <w:tcPr>
            <w:tcW w:w="8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一页纸（Teaser）</w:t>
            </w:r>
          </w:p>
        </w:tc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 页</w:t>
            </w:r>
          </w:p>
        </w:tc>
        <w:tc>
          <w:tcPr>
            <w:tcW w:w="15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首次接触、微信转发、第一轮筛选</w:t>
            </w:r>
          </w:p>
        </w:tc>
        <w:tc>
          <w:tcPr>
            <w:tcW w:w="21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业务定位、关键经营数据、融资金额与用途。不含财务预测和技术细节</w:t>
            </w:r>
          </w:p>
        </w:tc>
      </w:tr>
      <w:tr>
        <w:trPr>
          <w:cantSplit/>
          <w:jc w:val="center"/>
        </w:trPr>
        <w:tc>
          <w:tcPr>
            <w:tcW w:w="8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正式 BP</w:t>
            </w:r>
          </w:p>
        </w:tc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15—25 页</w:t>
            </w:r>
          </w:p>
        </w:tc>
        <w:tc>
          <w:tcPr>
            <w:tcW w:w="15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正式约见、投资经理内部立项、尽调前的基础材料</w:t>
            </w:r>
          </w:p>
        </w:tc>
        <w:tc>
          <w:tcPr>
            <w:tcW w:w="21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本材料第三章的全部模块，证据放附录</w:t>
            </w:r>
          </w:p>
        </w:tc>
      </w:tr>
      <w:tr>
        <w:trPr>
          <w:cantSplit/>
          <w:jc w:val="center"/>
        </w:trPr>
        <w:tc>
          <w:tcPr>
            <w:tcW w:w="8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路演版</w:t>
            </w:r>
          </w:p>
        </w:tc>
        <w:tc>
          <w:tcPr>
            <w:tcW w:w="6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10—12 页</w:t>
            </w:r>
          </w:p>
        </w:tc>
        <w:tc>
          <w:tcPr>
            <w:tcW w:w="15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当面讲、路演场合，配讲解</w:t>
            </w:r>
          </w:p>
        </w:tc>
        <w:tc>
          <w:tcPr>
            <w:tcW w:w="21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在正式 BP 基础上删掉细节页，每页只留一个结论和三条支撑</w:t>
            </w:r>
          </w:p>
        </w:tc>
      </w:tr>
    </w:tbl>
    <w:p>
      <w:pPr>
        <w:pStyle w:val="a0"/>
      </w:pPr>
      <w:r>
        <w:rPr>
          <w:rFonts w:hint="eastAsia"/>
        </w:rPr>
        <w:t>三个版本共用一套数据，只是详略不同。先写正式 BP，再往下删，不要反过来先做几页 PPT 再往里加。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03" w:name="_Toc900003"/>
      <w:r>
        <w:rPr>
          <w:rFonts w:hint="eastAsia"/>
        </w:rPr>
        <w:t>1.3 企业内部谁来写</w:t>
      </w:r>
      <w:bookmarkEnd w:id="1003"/>
    </w:p>
    <w:p>
      <w:pPr>
        <w:pStyle w:val="a0"/>
      </w:pPr>
      <w:r>
        <w:rPr>
          <w:rFonts w:hint="eastAsia"/>
        </w:rPr>
        <w:t>BP 由企业内部牵头人统稿，不能全部外包。各部分素材的来源部门通常是：业务与市场部分由销售负责人提供，产品与技术部分由技术负责人提供，产能与供应链部分由生产负责人提供，财务数据与预测由财务负责人提供，股权、融资历史与资质文件由董事会秘书或行政负责人提供。素材齐备的情况下，从动手到出第一稿通常需要两到三周。</w:t>
      </w:r>
    </w:p>
    <w:p>
      <w:pPr>
        <w:pStyle w:val="2"/>
        <w:spacing w:before="156" w:after="156"/>
      </w:pPr>
      <w:bookmarkStart w:id="1004" w:name="_Toc900004"/>
      <w:r>
        <w:rPr>
          <w:rFonts w:hint="eastAsia"/>
          <w:b/>
        </w:rPr>
        <w:t>整体框架</w:t>
      </w:r>
      <w:bookmarkEnd w:id="1004"/>
    </w:p>
    <w:p>
      <w:pPr>
        <w:pStyle w:val="a0"/>
      </w:pPr>
      <w:r>
        <w:rPr>
          <w:rFonts w:hint="eastAsia"/>
        </w:rPr>
        <w:t>一份完整的融资 BP 按下表十五个模块展开。顺序建议不做调整——它对应的是投资人的阅读逻辑：先看这门生意（模块四至五），再看这家公司（模块六至十三），最后看价格（模块十四）。</w:t>
      </w:r>
    </w:p>
    <w:p>
      <w:pPr>
        <w:keepNext/>
        <w:jc w:val="center"/>
      </w:pPr>
      <w:r>
        <w:rPr>
          <w:rFonts w:hint="eastAsia"/>
          <w:b/>
          <w:sz w:val="21"/>
        </w:rPr>
        <w:t>表2  融资 BP 页面框架</w:t>
      </w:r>
    </w:p>
    <w:tbl>
      <w:tblPr>
        <w:tblW w:w="5352" w:type="pct"/>
        <w:jc w:val="center"/>
        <w:tblBorders>
          <w:top w:val="single" w:sz="12" w:space="0" w:color="010000"/>
          <w:left w:val="single" w:sz="12" w:space="0" w:color="010000"/>
          <w:bottom w:val="single" w:sz="12" w:space="0" w:color="010000"/>
          <w:right w:val="single" w:sz="12" w:space="0" w:color="010000"/>
          <w:insideH w:val="single" w:sz="4" w:space="0" w:color="010000"/>
          <w:insideV w:val="single" w:sz="4" w:space="0" w:color="010000"/>
        </w:tblBorders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cantSplit/>
          <w:tblHeader/>
          <w:jc w:val="center"/>
        </w:trPr>
        <w:tc>
          <w:tcPr>
            <w:tcW w:w="426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序号</w:t>
            </w:r>
          </w:p>
        </w:tc>
        <w:tc>
          <w:tcPr>
            <w:tcW w:w="117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模块</w:t>
            </w:r>
          </w:p>
        </w:tc>
        <w:tc>
          <w:tcPr>
            <w:tcW w:w="2766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这一部分要回答的问题</w:t>
            </w:r>
          </w:p>
        </w:tc>
        <w:tc>
          <w:tcPr>
            <w:tcW w:w="638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建议页数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封面与保密声明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这是谁、要做什么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核心摘要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只看一页应该记住什么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3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公司概况与发展沿革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这家公司是什么来历、走到哪一步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4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行业与市场空间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这门生意的天花板在哪、由什么驱动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2—3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5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客户痛点与解决方案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谁在为什么问题付钱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6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产品与技术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东西做成什么样、凭什么别人做不出来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2—3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7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商业模式与盈利能力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怎么赚钱、一单赚多少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8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市场验证与在手订单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有没有人真的买单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9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竞争格局与自身定位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对手是谁、壁垒能维持多久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10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生产制造与供应链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能不能造得出、造得稳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11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财务数据与预测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过去的账是什么样、未来靠什么长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2—3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12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发展规划与里程碑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拿到钱以后一步步做什么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13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团队与股权结构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谁在做、谁说了算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14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本轮融资方案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融多少、什么价、钱怎么花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</w:t>
            </w:r>
          </w:p>
        </w:tc>
      </w:tr>
      <w:tr>
        <w:trPr>
          <w:cantSplit/>
          <w:jc w:val="center"/>
        </w:trPr>
        <w:tc>
          <w:tcPr>
            <w:tcW w:w="426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15</w:t>
            </w:r>
          </w:p>
        </w:tc>
        <w:tc>
          <w:tcPr>
            <w:tcW w:w="117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附录</w:t>
            </w:r>
          </w:p>
        </w:tc>
        <w:tc>
          <w:tcPr>
            <w:tcW w:w="2766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前面所有说法的证据在哪</w:t>
            </w:r>
          </w:p>
        </w:tc>
        <w:tc>
          <w:tcPr>
            <w:tcW w:w="638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不限</w:t>
            </w:r>
          </w:p>
        </w:tc>
      </w:tr>
    </w:tbl>
    <w:p>
      <w:pPr>
        <w:pStyle w:val="a0"/>
      </w:pPr>
      <w:r>
        <w:rPr>
          <w:rFonts w:hint="eastAsia"/>
        </w:rPr>
        <w:t>行业差异体现在模块取舍上：制造类、硬科技类企业模块十必须单列；软件与服务类企业可将模块十并入模块七，但要补充交付与实施能力的说明；尚无收入的早期企业模块十一以历史投入和盈亏平衡测算为主，不要用一张三年高增长预测表代替。</w:t>
      </w:r>
    </w:p>
    <w:p>
      <w:pPr>
        <w:pStyle w:val="2"/>
        <w:spacing w:before="156" w:after="156"/>
      </w:pPr>
      <w:bookmarkStart w:id="1005" w:name="_Toc900005"/>
      <w:r>
        <w:rPr>
          <w:rFonts w:hint="eastAsia"/>
          <w:b/>
        </w:rPr>
        <w:t>逐模块内容要求</w:t>
      </w:r>
      <w:bookmarkEnd w:id="1005"/>
    </w:p>
    <w:p>
      <w:pPr>
        <w:pStyle w:val="3"/>
        <w:numPr>
          <w:ilvl w:val="0"/>
          <w:numId w:val="0"/>
        </w:numPr>
        <w:spacing w:before="156" w:after="156"/>
      </w:pPr>
      <w:bookmarkStart w:id="1006" w:name="_Toc900006"/>
      <w:r>
        <w:rPr>
          <w:rFonts w:hint="eastAsia"/>
        </w:rPr>
        <w:t>3.1 封面与保密声明</w:t>
      </w:r>
      <w:bookmarkEnd w:id="1006"/>
    </w:p>
    <w:p>
      <w:pPr>
        <w:pStyle w:val="a0"/>
      </w:pPr>
      <w:r>
        <w:rPr>
          <w:rFonts w:hint="eastAsia"/>
        </w:rPr>
        <w:t>这一部分回答：这是谁、要做什么。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（1）公司全称、标识、材料日期与版本号；</w:t>
      </w:r>
    </w:p>
    <w:p>
      <w:pPr>
        <w:pStyle w:val="a0"/>
      </w:pPr>
      <w:r>
        <w:rPr>
          <w:rFonts w:hint="eastAsia"/>
        </w:rPr>
        <w:t>（2）一句话业务定位，不超过二十五个字，说清做什么产品、给谁用；</w:t>
      </w:r>
    </w:p>
    <w:p>
      <w:pPr>
        <w:pStyle w:val="a0"/>
      </w:pPr>
      <w:r>
        <w:rPr>
          <w:rFonts w:hint="eastAsia"/>
        </w:rPr>
        <w:t>（3）本轮融资意向，即轮次与拟融资金额，出让比例可暂留白；</w:t>
      </w:r>
    </w:p>
    <w:p>
      <w:pPr>
        <w:pStyle w:val="a0"/>
      </w:pPr>
      <w:r>
        <w:rPr>
          <w:rFonts w:hint="eastAsia"/>
        </w:rPr>
        <w:t>（4）联系人姓名、职务与联系方式；</w:t>
      </w:r>
    </w:p>
    <w:p>
      <w:pPr>
        <w:pStyle w:val="a0"/>
      </w:pPr>
      <w:r>
        <w:rPr>
          <w:rFonts w:hint="eastAsia"/>
        </w:rPr>
        <w:t>（5）保密声明：本材料含商业秘密，仅供接收方评估本次投资使用，未经书面同意不得复制、摘录或转发。</w:t>
      </w:r>
    </w:p>
    <w:p>
      <w:pPr>
        <w:pStyle w:val="a0"/>
      </w:pPr>
      <w:r>
        <w:rPr>
          <w:rFonts w:hint="eastAsia"/>
        </w:rPr>
        <w:t>注意：封面那句业务定位是全篇最重要的一句话，整篇写完后回头再改一遍。不要用“领先的”“创新型”“高科技”这类修饰词开头，用产品和客户说明自己。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07" w:name="_Toc900007"/>
      <w:r>
        <w:rPr>
          <w:rFonts w:hint="eastAsia"/>
        </w:rPr>
        <w:t>3.2 核心摘要</w:t>
      </w:r>
      <w:bookmarkEnd w:id="1007"/>
    </w:p>
    <w:p>
      <w:pPr>
        <w:pStyle w:val="a0"/>
      </w:pPr>
      <w:r>
        <w:rPr>
          <w:rFonts w:hint="eastAsia"/>
        </w:rPr>
        <w:t>这一部分回答：如果投资人只看一页，应该记住什么。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（1）公司做什么：产品、客户、应用场景；</w:t>
      </w:r>
    </w:p>
    <w:p>
      <w:pPr>
        <w:pStyle w:val="a0"/>
      </w:pPr>
      <w:r>
        <w:rPr>
          <w:rFonts w:hint="eastAsia"/>
        </w:rPr>
        <w:t>（2）做到了什么程度：三到五个关键经营数据，如收入、客户数、在手订单、产能、已取得的资质认证；</w:t>
      </w:r>
    </w:p>
    <w:p>
      <w:pPr>
        <w:pStyle w:val="a0"/>
      </w:pPr>
      <w:r>
        <w:rPr>
          <w:rFonts w:hint="eastAsia"/>
        </w:rPr>
        <w:t>（3）为什么是现在：政策、技术路线切换、国产替代、下游客户导入窗口，每一条都给出具体时间点；</w:t>
      </w:r>
    </w:p>
    <w:p>
      <w:pPr>
        <w:pStyle w:val="a0"/>
      </w:pPr>
      <w:r>
        <w:rPr>
          <w:rFonts w:hint="eastAsia"/>
        </w:rPr>
        <w:t>（4）本轮融资金额与主要用途，一句话。</w:t>
      </w:r>
    </w:p>
    <w:p>
      <w:pPr>
        <w:pStyle w:val="a0"/>
      </w:pPr>
      <w:r>
        <w:rPr>
          <w:rFonts w:hint="eastAsia"/>
        </w:rPr>
        <w:t>注意：这一页最后写。全篇的关键数字都要在这页出现一次，且与后文完全一致——摘要与正文数字对不上，是投资人最先发现的问题。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08" w:name="_Toc900008"/>
      <w:r>
        <w:rPr>
          <w:rFonts w:hint="eastAsia"/>
        </w:rPr>
        <w:t>3.3 公司概况与发展沿革</w:t>
      </w:r>
      <w:bookmarkEnd w:id="1008"/>
    </w:p>
    <w:p>
      <w:pPr>
        <w:pStyle w:val="a0"/>
      </w:pPr>
      <w:r>
        <w:rPr>
          <w:rFonts w:hint="eastAsia"/>
        </w:rPr>
        <w:t>这一部分回答：这家公司是什么来历、现在走到哪一步。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（1）基本信息：成立时间、注册地、注册资本与实缴资本、员工人数及研发、生产、销售的人员结构；</w:t>
      </w:r>
    </w:p>
    <w:p>
      <w:pPr>
        <w:pStyle w:val="a0"/>
      </w:pPr>
      <w:r>
        <w:rPr>
          <w:rFonts w:hint="eastAsia"/>
        </w:rPr>
        <w:t>（2）主营业务与主要产品线；</w:t>
      </w:r>
    </w:p>
    <w:p>
      <w:pPr>
        <w:pStyle w:val="a0"/>
      </w:pPr>
      <w:r>
        <w:rPr>
          <w:rFonts w:hint="eastAsia"/>
        </w:rPr>
        <w:t>（3）发展历程时间轴：公司成立、首个产品定型、首个客户导入、产线投产、重要资质取得、历轮融资，每个节点标注到年月；</w:t>
      </w:r>
    </w:p>
    <w:p>
      <w:pPr>
        <w:pStyle w:val="a0"/>
      </w:pPr>
      <w:r>
        <w:rPr>
          <w:rFonts w:hint="eastAsia"/>
        </w:rPr>
        <w:t>（4）主要资质与认证：写明认证名称、发证机构、取得时间与有效期。</w:t>
      </w:r>
    </w:p>
    <w:p>
      <w:pPr>
        <w:pStyle w:val="a0"/>
      </w:pPr>
      <w:r>
        <w:rPr>
          <w:rFonts w:hint="eastAsia"/>
        </w:rPr>
        <w:t>注意：时间轴上只放能被文件证明的节点。口头合作意向、尚未落地的战略协议不进时间轴。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09" w:name="_Toc900009"/>
      <w:r>
        <w:rPr>
          <w:rFonts w:hint="eastAsia"/>
        </w:rPr>
        <w:t>3.4 行业与市场空间</w:t>
      </w:r>
      <w:bookmarkEnd w:id="1009"/>
    </w:p>
    <w:p>
      <w:pPr>
        <w:pStyle w:val="a0"/>
      </w:pPr>
      <w:r>
        <w:rPr>
          <w:rFonts w:hint="eastAsia"/>
        </w:rPr>
        <w:t>这一部分回答：这门生意的天花板在哪、由什么驱动。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（1）行业定义与自身所处环节：画一张产业链图，标出公司在链条上的位置，上游供应商是谁、下游客户是谁；</w:t>
      </w:r>
    </w:p>
    <w:p>
      <w:pPr>
        <w:pStyle w:val="a0"/>
      </w:pPr>
      <w:r>
        <w:rPr>
          <w:rFonts w:hint="eastAsia"/>
        </w:rPr>
        <w:t>（2）市场规模与增速：注明统计口径（统计对象、地域、品类、时间）、数据机构名称、报告名称与发布时间；</w:t>
      </w:r>
    </w:p>
    <w:p>
      <w:pPr>
        <w:pStyle w:val="a0"/>
      </w:pPr>
      <w:r>
        <w:rPr>
          <w:rFonts w:hint="eastAsia"/>
        </w:rPr>
        <w:t>（3）驱动因素：政策文件名称与发文时间、下游需求量的实际变化、技术路线切换、进口替代空间，用数字和时间说话；</w:t>
      </w:r>
    </w:p>
    <w:p>
      <w:pPr>
        <w:pStyle w:val="a0"/>
      </w:pPr>
      <w:r>
        <w:rPr>
          <w:rFonts w:hint="eastAsia"/>
        </w:rPr>
        <w:t>（4）细分赛道选择理由：为什么做这个细分，而不是相邻的那个。</w:t>
      </w:r>
    </w:p>
    <w:p>
      <w:pPr>
        <w:pStyle w:val="a0"/>
      </w:pPr>
      <w:r>
        <w:rPr>
          <w:rFonts w:hint="eastAsia"/>
        </w:rPr>
        <w:t>注意：不要用全球总市场规模代替自己实际能触达的市场。建议同时给出行业整体规模和公司可触达市场两层，并写出测算过程（单价 × 数量 × 可覆盖比例）。测算过程必须能被投资人复算一遍。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10" w:name="_Toc900010"/>
      <w:r>
        <w:rPr>
          <w:rFonts w:hint="eastAsia"/>
        </w:rPr>
        <w:t>3.5 客户痛点与解决方案</w:t>
      </w:r>
      <w:bookmarkEnd w:id="1010"/>
    </w:p>
    <w:p>
      <w:pPr>
        <w:pStyle w:val="a0"/>
      </w:pPr>
      <w:r>
        <w:rPr>
          <w:rFonts w:hint="eastAsia"/>
        </w:rPr>
        <w:t>这一部分回答：谁在为什么问题付钱。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（1）客户是谁：写到具体角色，哪个行业、哪类企业、企业里哪个部门做采购决策；</w:t>
      </w:r>
    </w:p>
    <w:p>
      <w:pPr>
        <w:pStyle w:val="a0"/>
      </w:pPr>
      <w:r>
        <w:rPr>
          <w:rFonts w:hint="eastAsia"/>
        </w:rPr>
        <w:t>（2）客户现在怎么解决这个问题、成本和缺陷是什么：给出数字，如良率、能耗、工时、单价、交期、故障率；</w:t>
      </w:r>
    </w:p>
    <w:p>
      <w:pPr>
        <w:pStyle w:val="a0"/>
      </w:pPr>
      <w:r>
        <w:rPr>
          <w:rFonts w:hint="eastAsia"/>
        </w:rPr>
        <w:t>（3）公司方案是什么、把上述哪个指标改善了多少：给出改善前后的对比数据；</w:t>
      </w:r>
    </w:p>
    <w:p>
      <w:pPr>
        <w:pStyle w:val="a0"/>
      </w:pPr>
      <w:r>
        <w:rPr>
          <w:rFonts w:hint="eastAsia"/>
        </w:rPr>
        <w:t>（4）客户为什么愿意换：更换供应商的成本、验证周期与收益比较。</w:t>
      </w:r>
    </w:p>
    <w:p>
      <w:pPr>
        <w:pStyle w:val="a0"/>
      </w:pPr>
      <w:r>
        <w:rPr>
          <w:rFonts w:hint="eastAsia"/>
        </w:rPr>
        <w:t>注意：痛点要用客户的语言和客户的数字来写，不要用一段行业综述代替。说不清楚客户原来怎么干、现在能省多少，这一页就是空的。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11" w:name="_Toc900011"/>
      <w:r>
        <w:rPr>
          <w:rFonts w:hint="eastAsia"/>
        </w:rPr>
        <w:t>3.6 产品与技术</w:t>
      </w:r>
      <w:bookmarkEnd w:id="1011"/>
    </w:p>
    <w:p>
      <w:pPr>
        <w:pStyle w:val="a0"/>
      </w:pPr>
      <w:r>
        <w:rPr>
          <w:rFonts w:hint="eastAsia"/>
        </w:rPr>
        <w:t>这一部分回答：东西做成什么样、凭什么别人做不出来。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（1）产品矩阵：型号或规格、对应应用场景、量产状态（在研、送样、小批量、量产）、价格区间；</w:t>
      </w:r>
    </w:p>
    <w:p>
      <w:pPr>
        <w:pStyle w:val="a0"/>
      </w:pPr>
      <w:r>
        <w:rPr>
          <w:rFonts w:hint="eastAsia"/>
        </w:rPr>
        <w:t>（2）核心技术指标对比：自身产品、主要竞品、行业标准三方并列，同一测试口径、同一测试条件；</w:t>
      </w:r>
    </w:p>
    <w:p>
      <w:pPr>
        <w:pStyle w:val="a0"/>
      </w:pPr>
      <w:r>
        <w:rPr>
          <w:rFonts w:hint="eastAsia"/>
        </w:rPr>
        <w:t>（3）知识产权：发明专利、实用新型、软件著作权的数量，核心专利写明名称、授权号、授权时间与剩余保护期，尚在申请中的单独标注；</w:t>
      </w:r>
    </w:p>
    <w:p>
      <w:pPr>
        <w:pStyle w:val="a0"/>
      </w:pPr>
      <w:r>
        <w:rPr>
          <w:rFonts w:hint="eastAsia"/>
        </w:rPr>
        <w:t>（4）研发体系：研发人员数量与背景、研发投入及占收入比重、实验与测试设备、与高校院所的合作；</w:t>
      </w:r>
    </w:p>
    <w:p>
      <w:pPr>
        <w:pStyle w:val="a0"/>
      </w:pPr>
      <w:r>
        <w:rPr>
          <w:rFonts w:hint="eastAsia"/>
        </w:rPr>
        <w:t>（5）技术路线判断：当前行业主流路线有哪几条、公司选择哪条、理由是什么。</w:t>
      </w:r>
    </w:p>
    <w:p>
      <w:pPr>
        <w:pStyle w:val="a0"/>
      </w:pPr>
      <w:r>
        <w:rPr>
          <w:rFonts w:hint="eastAsia"/>
        </w:rPr>
        <w:t>注意：技术指标必须注明测试条件与出处，优先引用第三方检测报告或客户验证报告。无法验证的“国内领先”“国际先进”不要写进去，尽调阶段一定会被要求出具依据。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12" w:name="_Toc900012"/>
      <w:r>
        <w:rPr>
          <w:rFonts w:hint="eastAsia"/>
        </w:rPr>
        <w:t>3.7 商业模式与盈利能力</w:t>
      </w:r>
      <w:bookmarkEnd w:id="1012"/>
    </w:p>
    <w:p>
      <w:pPr>
        <w:pStyle w:val="a0"/>
      </w:pPr>
      <w:r>
        <w:rPr>
          <w:rFonts w:hint="eastAsia"/>
        </w:rPr>
        <w:t>这一部分回答：怎么赚钱、一单赚多少。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（1）收入模式：设备一次性销售、耗材复购、服务费、授权费等各自占比；</w:t>
      </w:r>
    </w:p>
    <w:p>
      <w:pPr>
        <w:pStyle w:val="a0"/>
      </w:pPr>
      <w:r>
        <w:rPr>
          <w:rFonts w:hint="eastAsia"/>
        </w:rPr>
        <w:t>（2）定价逻辑与客户端价值：客户用了以后省多少钱或多赚多少钱；</w:t>
      </w:r>
    </w:p>
    <w:p>
      <w:pPr>
        <w:pStyle w:val="a0"/>
      </w:pPr>
      <w:r>
        <w:rPr>
          <w:rFonts w:hint="eastAsia"/>
        </w:rPr>
        <w:t>（3）单位经济模型：单台、单吨或单套的售价、直接材料、直接人工、制造费用、毛利率；</w:t>
      </w:r>
    </w:p>
    <w:p>
      <w:pPr>
        <w:pStyle w:val="a0"/>
      </w:pPr>
      <w:r>
        <w:rPr>
          <w:rFonts w:hint="eastAsia"/>
        </w:rPr>
        <w:t>（4）获客方式与销售周期：直销、代理还是招投标，从首次接触到首单的平均周期；</w:t>
      </w:r>
    </w:p>
    <w:p>
      <w:pPr>
        <w:pStyle w:val="a0"/>
      </w:pPr>
      <w:r>
        <w:rPr>
          <w:rFonts w:hint="eastAsia"/>
        </w:rPr>
        <w:t>（5）客户结构与集中度：前五大客户收入占比及变化。</w:t>
      </w:r>
    </w:p>
    <w:p>
      <w:pPr>
        <w:pStyle w:val="a0"/>
      </w:pPr>
      <w:r>
        <w:rPr>
          <w:rFonts w:hint="eastAsia"/>
        </w:rPr>
        <w:t>注意：单位经济模型是制造类企业被追问最多的一页，其中每个数字都要能和财务报表的成本科目对上。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13" w:name="_Toc900013"/>
      <w:r>
        <w:rPr>
          <w:rFonts w:hint="eastAsia"/>
        </w:rPr>
        <w:t>3.8 市场验证与在手订单</w:t>
      </w:r>
      <w:bookmarkEnd w:id="1013"/>
    </w:p>
    <w:p>
      <w:pPr>
        <w:pStyle w:val="a0"/>
      </w:pPr>
      <w:r>
        <w:rPr>
          <w:rFonts w:hint="eastAsia"/>
        </w:rPr>
        <w:t>这一部分回答：有没有人真的买单。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（1）客户导入进度表：客户名称或脱敏代称、导入阶段、首次送样时间、验证结果、已开始或预计批量供货的时间；</w:t>
      </w:r>
    </w:p>
    <w:p>
      <w:pPr>
        <w:pStyle w:val="a0"/>
      </w:pPr>
      <w:r>
        <w:rPr>
          <w:rFonts w:hint="eastAsia"/>
        </w:rPr>
        <w:t>（2）已签合同金额、在手订单金额与交付周期；</w:t>
      </w:r>
    </w:p>
    <w:p>
      <w:pPr>
        <w:pStyle w:val="a0"/>
      </w:pPr>
      <w:r>
        <w:rPr>
          <w:rFonts w:hint="eastAsia"/>
        </w:rPr>
        <w:t>（3）标杆案例一到两个：应用场景、使用规模、效果数据、数据来源；</w:t>
      </w:r>
    </w:p>
    <w:p>
      <w:pPr>
        <w:pStyle w:val="a0"/>
      </w:pPr>
      <w:r>
        <w:rPr>
          <w:rFonts w:hint="eastAsia"/>
        </w:rPr>
        <w:t>（4）复购情况与替换率。</w:t>
      </w:r>
    </w:p>
    <w:p>
      <w:pPr>
        <w:pStyle w:val="a0"/>
      </w:pPr>
      <w:r>
        <w:rPr>
          <w:rFonts w:hint="eastAsia"/>
        </w:rPr>
        <w:t>注意：未签约的客户不写公司名称，写成“国内前三的某类厂商（已完成送样验证）”。夸大客户关系是尽调阶段最常见的翻车点，投资人会直接打电话去问。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14" w:name="_Toc900014"/>
      <w:r>
        <w:rPr>
          <w:rFonts w:hint="eastAsia"/>
        </w:rPr>
        <w:t>3.9 竞争格局与自身定位</w:t>
      </w:r>
      <w:bookmarkEnd w:id="1014"/>
    </w:p>
    <w:p>
      <w:pPr>
        <w:pStyle w:val="a0"/>
      </w:pPr>
      <w:r>
        <w:rPr>
          <w:rFonts w:hint="eastAsia"/>
        </w:rPr>
        <w:t>这一部分回答：对手是谁、壁垒能维持多久。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（1）主要竞争对手：国内外各列三到五家，上市公司标注证券代码，未上市的标注最近一轮融资情况；</w:t>
      </w:r>
    </w:p>
    <w:p>
      <w:pPr>
        <w:pStyle w:val="a0"/>
      </w:pPr>
      <w:r>
        <w:rPr>
          <w:rFonts w:hint="eastAsia"/>
        </w:rPr>
        <w:t>（2）同口径对比表：产品指标、价格、交期、产能、主要客户、资质；</w:t>
      </w:r>
    </w:p>
    <w:p>
      <w:pPr>
        <w:pStyle w:val="a0"/>
      </w:pPr>
      <w:r>
        <w:rPr>
          <w:rFonts w:hint="eastAsia"/>
        </w:rPr>
        <w:t>（3）市场份额与集中度：注明统计口径与来源；</w:t>
      </w:r>
    </w:p>
    <w:p>
      <w:pPr>
        <w:pStyle w:val="a0"/>
      </w:pPr>
      <w:r>
        <w:rPr>
          <w:rFonts w:hint="eastAsia"/>
        </w:rPr>
        <w:t>（4）自身差异化与壁垒：技术、成本、客户认证周期、产能、牌照等，逐条说明这个壁垒能维持多久、靠什么维持；</w:t>
      </w:r>
    </w:p>
    <w:p>
      <w:pPr>
        <w:pStyle w:val="a0"/>
      </w:pPr>
      <w:r>
        <w:rPr>
          <w:rFonts w:hint="eastAsia"/>
        </w:rPr>
        <w:t>（5）潜在替代方案：不只是同类公司，还包括可能替代掉整个环节的其他技术路线。</w:t>
      </w:r>
    </w:p>
    <w:p>
      <w:pPr>
        <w:pStyle w:val="a0"/>
      </w:pPr>
      <w:r>
        <w:rPr>
          <w:rFonts w:hint="eastAsia"/>
        </w:rPr>
        <w:t>注意：不要写“我们没有竞争对手”。对手写得越清楚，越说明对行业的理解到位。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15" w:name="_Toc900015"/>
      <w:r>
        <w:rPr>
          <w:rFonts w:hint="eastAsia"/>
        </w:rPr>
        <w:t>3.10 生产制造与供应链</w:t>
      </w:r>
      <w:bookmarkEnd w:id="1015"/>
    </w:p>
    <w:p>
      <w:pPr>
        <w:pStyle w:val="a0"/>
      </w:pPr>
      <w:r>
        <w:rPr>
          <w:rFonts w:hint="eastAsia"/>
        </w:rPr>
        <w:t>这一部分回答：能不能造得出、造得稳。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（1）现有产能、产能利用率、良率及其变化曲线；</w:t>
      </w:r>
    </w:p>
    <w:p>
      <w:pPr>
        <w:pStyle w:val="a0"/>
      </w:pPr>
      <w:r>
        <w:rPr>
          <w:rFonts w:hint="eastAsia"/>
        </w:rPr>
        <w:t>（2）主要生产设备与自动化程度；</w:t>
      </w:r>
    </w:p>
    <w:p>
      <w:pPr>
        <w:pStyle w:val="a0"/>
      </w:pPr>
      <w:r>
        <w:rPr>
          <w:rFonts w:hint="eastAsia"/>
        </w:rPr>
        <w:t>（3）关键原材料与供应商：是否单一来源、有无替代方案、价格波动情况、库存策略；</w:t>
      </w:r>
    </w:p>
    <w:p>
      <w:pPr>
        <w:pStyle w:val="a0"/>
      </w:pPr>
      <w:r>
        <w:rPr>
          <w:rFonts w:hint="eastAsia"/>
        </w:rPr>
        <w:t>（4）质量体系与不良品处理流程；</w:t>
      </w:r>
    </w:p>
    <w:p>
      <w:pPr>
        <w:pStyle w:val="a0"/>
      </w:pPr>
      <w:r>
        <w:rPr>
          <w:rFonts w:hint="eastAsia"/>
        </w:rPr>
        <w:t>（5）扩产计划：新增产能、选址、投资额、建设周期、达产节奏。</w:t>
      </w:r>
    </w:p>
    <w:p>
      <w:pPr>
        <w:pStyle w:val="a0"/>
      </w:pPr>
      <w:r>
        <w:rPr>
          <w:rFonts w:hint="eastAsia"/>
        </w:rPr>
        <w:t>注意：扩产计划、融资资金用途、财务预测三者的数字必须互相对得上。这一条对制造类企业是必写项，软件与服务类企业可并入商业模式部分，但要补充交付与实施能力的说明。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16" w:name="_Toc900016"/>
      <w:r>
        <w:rPr>
          <w:rFonts w:hint="eastAsia"/>
        </w:rPr>
        <w:t>3.11 财务数据与预测</w:t>
      </w:r>
      <w:bookmarkEnd w:id="1016"/>
    </w:p>
    <w:p>
      <w:pPr>
        <w:pStyle w:val="a0"/>
      </w:pPr>
      <w:r>
        <w:rPr>
          <w:rFonts w:hint="eastAsia"/>
        </w:rPr>
        <w:t>这一部分回答：过去的账是什么样、未来靠什么长。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（1）历史数据：近三年及最近一期的营业收入、毛利率、净利润、经营性现金流、应收账款及账龄、存货、资产负债率，标明是否经审计、审计机构名称；</w:t>
      </w:r>
    </w:p>
    <w:p>
      <w:pPr>
        <w:pStyle w:val="a0"/>
      </w:pPr>
      <w:r>
        <w:rPr>
          <w:rFonts w:hint="eastAsia"/>
        </w:rPr>
        <w:t>（2）收入拆分：按产品、按客户、按区域三个维度；</w:t>
      </w:r>
    </w:p>
    <w:p>
      <w:pPr>
        <w:pStyle w:val="a0"/>
      </w:pPr>
      <w:r>
        <w:rPr>
          <w:rFonts w:hint="eastAsia"/>
        </w:rPr>
        <w:t>（3）未来三年预测：收入、毛利率、净利润，并单独列出核心假设（产能、单价、客户数量、订单转化率）；</w:t>
      </w:r>
    </w:p>
    <w:p>
      <w:pPr>
        <w:pStyle w:val="a0"/>
      </w:pPr>
      <w:r>
        <w:rPr>
          <w:rFonts w:hint="eastAsia"/>
        </w:rPr>
        <w:t>（4）尚未盈利的企业：写清盈亏平衡点需要的条件和预计时间。</w:t>
      </w:r>
    </w:p>
    <w:p>
      <w:pPr>
        <w:pStyle w:val="a0"/>
      </w:pPr>
      <w:r>
        <w:rPr>
          <w:rFonts w:hint="eastAsia"/>
        </w:rPr>
        <w:t>注意：预测里的每一个数字都要能追到一条假设，每条假设都要能追到已经发生的事实——在手订单、已签框架协议、已建成产能。预测增速与历史增速差距大的，在同一页解释原因。未经审计的数据必须标注“未经审计”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17" w:name="_Toc900017"/>
      <w:r>
        <w:rPr>
          <w:rFonts w:hint="eastAsia"/>
        </w:rPr>
        <w:t>3.12 发展规划与里程碑</w:t>
      </w:r>
      <w:bookmarkEnd w:id="1017"/>
    </w:p>
    <w:p>
      <w:pPr>
        <w:pStyle w:val="a0"/>
      </w:pPr>
      <w:r>
        <w:rPr>
          <w:rFonts w:hint="eastAsia"/>
        </w:rPr>
        <w:t>这一部分回答：拿到钱以后一步步做什么。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（1）未来十二、二十四、三十六个月的关键节点：产品定型、认证取得、产线投产、客户导入、收入规模；</w:t>
      </w:r>
    </w:p>
    <w:p>
      <w:pPr>
        <w:pStyle w:val="a0"/>
      </w:pPr>
      <w:r>
        <w:rPr>
          <w:rFonts w:hint="eastAsia"/>
        </w:rPr>
        <w:t>（2）每个节点给出时间和可衡量的完成标准。</w:t>
      </w:r>
    </w:p>
    <w:p>
      <w:pPr>
        <w:pStyle w:val="a0"/>
      </w:pPr>
      <w:r>
        <w:rPr>
          <w:rFonts w:hint="eastAsia"/>
        </w:rPr>
        <w:t>注意：节点要与融资用途、财务预测一一对应。写“持续拓展市场”这类没有完成标准的节点，等于没写。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18" w:name="_Toc900018"/>
      <w:r>
        <w:rPr>
          <w:rFonts w:hint="eastAsia"/>
        </w:rPr>
        <w:t>3.13 团队与股权结构</w:t>
      </w:r>
      <w:bookmarkEnd w:id="1018"/>
    </w:p>
    <w:p>
      <w:pPr>
        <w:pStyle w:val="a0"/>
      </w:pPr>
      <w:r>
        <w:rPr>
          <w:rFonts w:hint="eastAsia"/>
        </w:rPr>
        <w:t>这一部分回答：谁在做、谁说了算。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（1）核心团队：姓名、职务、学历、过往任职企业与职位、本领域从业年限、代表性成果；</w:t>
      </w:r>
    </w:p>
    <w:p>
      <w:pPr>
        <w:pStyle w:val="a0"/>
      </w:pPr>
      <w:r>
        <w:rPr>
          <w:rFonts w:hint="eastAsia"/>
        </w:rPr>
        <w:t>（2）组织架构与人员构成；</w:t>
      </w:r>
    </w:p>
    <w:p>
      <w:pPr>
        <w:pStyle w:val="a0"/>
      </w:pPr>
      <w:r>
        <w:rPr>
          <w:rFonts w:hint="eastAsia"/>
        </w:rPr>
        <w:t>（3）股权结构：股东名称、持股比例、实际控制人、一致行动关系、员工持股平台；</w:t>
      </w:r>
    </w:p>
    <w:p>
      <w:pPr>
        <w:pStyle w:val="a0"/>
      </w:pPr>
      <w:r>
        <w:rPr>
          <w:rFonts w:hint="eastAsia"/>
        </w:rPr>
        <w:t>（4）历史融资：轮次、时间、投资方、金额、投后估值；</w:t>
      </w:r>
    </w:p>
    <w:p>
      <w:pPr>
        <w:pStyle w:val="a0"/>
      </w:pPr>
      <w:r>
        <w:rPr>
          <w:rFonts w:hint="eastAsia"/>
        </w:rPr>
        <w:t>（5）核心人员绑定安排：任职期限、竞业限制、股权锁定。</w:t>
      </w:r>
    </w:p>
    <w:p>
      <w:pPr>
        <w:pStyle w:val="a0"/>
      </w:pPr>
      <w:r>
        <w:rPr>
          <w:rFonts w:hint="eastAsia"/>
        </w:rPr>
        <w:t>注意：团队部分写履历事实，不写评价。历史融资估值会被拿来和本轮估值对照，提前想清楚怎么解释这中间的变化。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19" w:name="_Toc900019"/>
      <w:r>
        <w:rPr>
          <w:rFonts w:hint="eastAsia"/>
        </w:rPr>
        <w:t>3.14 本轮融资方案</w:t>
      </w:r>
      <w:bookmarkEnd w:id="1019"/>
    </w:p>
    <w:p>
      <w:pPr>
        <w:pStyle w:val="a0"/>
      </w:pPr>
      <w:r>
        <w:rPr>
          <w:rFonts w:hint="eastAsia"/>
        </w:rPr>
        <w:t>这一部分回答：融多少、什么价、钱怎么花。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（1）融资金额、出让比例、投前与投后估值；</w:t>
      </w:r>
    </w:p>
    <w:p>
      <w:pPr>
        <w:pStyle w:val="a0"/>
      </w:pPr>
      <w:r>
        <w:rPr>
          <w:rFonts w:hint="eastAsia"/>
        </w:rPr>
        <w:t>（2）交易结构：增资扩股还是老股转让，或两者组合；</w:t>
      </w:r>
    </w:p>
    <w:p>
      <w:pPr>
        <w:pStyle w:val="a0"/>
      </w:pPr>
      <w:r>
        <w:rPr>
          <w:rFonts w:hint="eastAsia"/>
        </w:rPr>
        <w:t>（3）资金用途拆分：研发、产线建设、市场投入、铺底流动资金，给出金额和比例；</w:t>
      </w:r>
    </w:p>
    <w:p>
      <w:pPr>
        <w:pStyle w:val="a0"/>
      </w:pPr>
      <w:r>
        <w:rPr>
          <w:rFonts w:hint="eastAsia"/>
        </w:rPr>
        <w:t>（4）估值依据：可比公司或可比交易的口径，或按产能、在手订单、利润的测算过程；</w:t>
      </w:r>
    </w:p>
    <w:p>
      <w:pPr>
        <w:pStyle w:val="a0"/>
      </w:pPr>
      <w:r>
        <w:rPr>
          <w:rFonts w:hint="eastAsia"/>
        </w:rPr>
        <w:t>（5）投后规划与资本路径：下一轮节奏、拟上市板块及其对应的财务门槛；</w:t>
      </w:r>
    </w:p>
    <w:p>
      <w:pPr>
        <w:pStyle w:val="a0"/>
      </w:pPr>
      <w:r>
        <w:rPr>
          <w:rFonts w:hint="eastAsia"/>
        </w:rPr>
        <w:t>（6）除资金外对投资人的诉求：客户资源、产业协同、地方产业政策配套。</w:t>
      </w:r>
    </w:p>
    <w:p>
      <w:pPr>
        <w:pStyle w:val="a0"/>
      </w:pPr>
      <w:r>
        <w:rPr>
          <w:rFonts w:hint="eastAsia"/>
        </w:rPr>
        <w:t>注意：估值依据要能被复算。资本路径只写板块与上市条件的对应关系，不承诺上市时间，不承诺投资回报。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20" w:name="_Toc900020"/>
      <w:r>
        <w:rPr>
          <w:rFonts w:hint="eastAsia"/>
        </w:rPr>
        <w:t>3.15 附录</w:t>
      </w:r>
      <w:bookmarkEnd w:id="1020"/>
    </w:p>
    <w:p>
      <w:pPr>
        <w:pStyle w:val="a0"/>
      </w:pPr>
      <w:r>
        <w:rPr>
          <w:rFonts w:hint="eastAsia"/>
        </w:rPr>
        <w:t>这一部分回答：前面所有说法的证据在哪。</w:t>
      </w:r>
    </w:p>
    <w:p>
      <w:pPr>
        <w:pStyle w:val="a0"/>
      </w:pPr>
      <w:r>
        <w:rPr>
          <w:rFonts w:hint="eastAsia"/>
        </w:rPr>
        <w:t>必备内容：</w:t>
      </w:r>
    </w:p>
    <w:p>
      <w:pPr>
        <w:pStyle w:val="a0"/>
      </w:pPr>
      <w:r>
        <w:rPr>
          <w:rFonts w:hint="eastAsia"/>
        </w:rPr>
        <w:t>（1）专利与资质清单；</w:t>
      </w:r>
    </w:p>
    <w:p>
      <w:pPr>
        <w:pStyle w:val="a0"/>
      </w:pPr>
      <w:r>
        <w:rPr>
          <w:rFonts w:hint="eastAsia"/>
        </w:rPr>
        <w:t>（2）第三方检测报告、客户验证报告；</w:t>
      </w:r>
    </w:p>
    <w:p>
      <w:pPr>
        <w:pStyle w:val="a0"/>
      </w:pPr>
      <w:r>
        <w:rPr>
          <w:rFonts w:hint="eastAsia"/>
        </w:rPr>
        <w:t>（3）主要合同或框架协议（脱敏后）；</w:t>
      </w:r>
    </w:p>
    <w:p>
      <w:pPr>
        <w:pStyle w:val="a0"/>
      </w:pPr>
      <w:r>
        <w:rPr>
          <w:rFonts w:hint="eastAsia"/>
        </w:rPr>
        <w:t>（4）财务报表明细；</w:t>
      </w:r>
    </w:p>
    <w:p>
      <w:pPr>
        <w:pStyle w:val="a0"/>
      </w:pPr>
      <w:r>
        <w:rPr>
          <w:rFonts w:hint="eastAsia"/>
        </w:rPr>
        <w:t>（5）产品图片、产线与厂房照片；</w:t>
      </w:r>
    </w:p>
    <w:p>
      <w:pPr>
        <w:pStyle w:val="a0"/>
      </w:pPr>
      <w:r>
        <w:rPr>
          <w:rFonts w:hint="eastAsia"/>
        </w:rPr>
        <w:t>（6）媒体报道与获奖情况。</w:t>
      </w:r>
    </w:p>
    <w:p>
      <w:pPr>
        <w:pStyle w:val="a0"/>
      </w:pPr>
      <w:r>
        <w:rPr>
          <w:rFonts w:hint="eastAsia"/>
        </w:rPr>
        <w:t>注意：正文页面保持干净，证据全部放附录，正文里用一句话指向附录页码。</w:t>
      </w:r>
    </w:p>
    <w:p>
      <w:pPr>
        <w:pStyle w:val="2"/>
        <w:spacing w:before="156" w:after="156"/>
      </w:pPr>
      <w:bookmarkStart w:id="1021" w:name="_Toc900021"/>
      <w:r>
        <w:rPr>
          <w:rFonts w:hint="eastAsia"/>
          <w:b/>
        </w:rPr>
        <w:t>数据、口径与表述纪律</w:t>
      </w:r>
      <w:bookmarkEnd w:id="1021"/>
    </w:p>
    <w:p>
      <w:pPr>
        <w:pStyle w:val="3"/>
        <w:numPr>
          <w:ilvl w:val="0"/>
          <w:numId w:val="0"/>
        </w:numPr>
        <w:spacing w:before="156" w:after="156"/>
      </w:pPr>
      <w:bookmarkStart w:id="1022" w:name="_Toc900022"/>
      <w:r>
        <w:rPr>
          <w:rFonts w:hint="eastAsia"/>
        </w:rPr>
        <w:t>4.1 数据口径</w:t>
      </w:r>
      <w:bookmarkEnd w:id="1022"/>
    </w:p>
    <w:p>
      <w:pPr>
        <w:pStyle w:val="a0"/>
      </w:pPr>
      <w:r>
        <w:rPr>
          <w:rFonts w:hint="eastAsia"/>
        </w:rPr>
        <w:t>任何一个数字出现之前，先拆清四个维度：统计对象、地域、品类、时间。口径不同的数据并列呈现，不平均、不合并、不跨口径做乘除。引用第三方数据的，写明机构名称、报告名称与发布时间；同一指标存在多个口径且差异较大的，两个都给，并说明差异原因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23" w:name="_Toc900023"/>
      <w:r>
        <w:rPr>
          <w:rFonts w:hint="eastAsia"/>
        </w:rPr>
        <w:t>4.2 财务数据一致性</w:t>
      </w:r>
      <w:bookmarkEnd w:id="1023"/>
    </w:p>
    <w:p>
      <w:pPr>
        <w:pStyle w:val="a0"/>
      </w:pPr>
      <w:r>
        <w:rPr>
          <w:rFonts w:hint="eastAsia"/>
        </w:rPr>
        <w:t>BP 中的财务数据与审计报告、纳税申报、银行流水的口径要保持一致。未经审计的数据必须标注。历史数据与预测数据放进同一张表，便于对照。收入确认方式、成本归集口径如与同行不同，在表下用一行说明。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24" w:name="_Toc900024"/>
      <w:r>
        <w:rPr>
          <w:rFonts w:hint="eastAsia"/>
        </w:rPr>
        <w:t>4.3 表述纪律</w:t>
      </w:r>
      <w:bookmarkEnd w:id="1024"/>
    </w:p>
    <w:p>
      <w:pPr>
        <w:pStyle w:val="a0"/>
      </w:pPr>
      <w:r>
        <w:rPr>
          <w:rFonts w:hint="eastAsia"/>
        </w:rPr>
        <w:t>不用“有望”“或将”“预计将大幅”这类词，用事实和时间点代替；不使用“最大”“第一”“唯一”“国家级”等绝对化用语；未获对方书面授权，不宣称合作关系、不使用对方标识；不承诺投资回报、上市时间与分红安排；涉及保密协议约定或军工等特殊领域的客户信息，按约定脱敏处理。</w:t>
      </w:r>
    </w:p>
    <w:p>
      <w:pPr>
        <w:pStyle w:val="3"/>
        <w:numPr>
          <w:ilvl w:val="0"/>
          <w:numId w:val="0"/>
        </w:numPr>
        <w:spacing w:before="156" w:after="156"/>
      </w:pPr>
      <w:bookmarkStart w:id="1025" w:name="_Toc900025"/>
      <w:r>
        <w:rPr>
          <w:rFonts w:hint="eastAsia"/>
        </w:rPr>
        <w:t>4.4 一页一结论</w:t>
      </w:r>
      <w:bookmarkEnd w:id="1025"/>
    </w:p>
    <w:p>
      <w:pPr>
        <w:pStyle w:val="a0"/>
      </w:pPr>
      <w:r>
        <w:rPr>
          <w:rFonts w:hint="eastAsia"/>
        </w:rPr>
        <w:t>每一页的标题直接写这一页的结论，页面内容是这个结论的证据。例如把“产品优势”改成“良率由 65% 提升至 92%，2025 年 11 月起批量交付”。标题写不出结论的页面，说明这一页还没想清楚，先不要做。</w:t>
      </w:r>
    </w:p>
    <w:p>
      <w:pPr>
        <w:pStyle w:val="2"/>
        <w:spacing w:before="156" w:after="156"/>
      </w:pPr>
      <w:bookmarkStart w:id="1026" w:name="_Toc900026"/>
      <w:r>
        <w:rPr>
          <w:rFonts w:hint="eastAsia"/>
          <w:b/>
        </w:rPr>
        <w:t>动手前要准备的材料</w:t>
      </w:r>
      <w:bookmarkEnd w:id="1026"/>
    </w:p>
    <w:p>
      <w:pPr>
        <w:pStyle w:val="a0"/>
      </w:pPr>
      <w:r>
        <w:rPr>
          <w:rFonts w:hint="eastAsia"/>
        </w:rPr>
        <w:t>下表所列材料齐备之前不要开始写页面。缺哪一项，对应的页面就只能写形容词。</w:t>
      </w:r>
    </w:p>
    <w:p>
      <w:pPr>
        <w:keepNext/>
        <w:jc w:val="center"/>
      </w:pPr>
      <w:r>
        <w:rPr>
          <w:rFonts w:hint="eastAsia"/>
          <w:b/>
          <w:sz w:val="21"/>
        </w:rPr>
        <w:t>表3  BP 素材准备清单</w:t>
      </w:r>
    </w:p>
    <w:tbl>
      <w:tblPr>
        <w:tblW w:w="5352" w:type="pct"/>
        <w:jc w:val="center"/>
        <w:tblBorders>
          <w:top w:val="single" w:sz="12" w:space="0" w:color="010000"/>
          <w:left w:val="single" w:sz="12" w:space="0" w:color="010000"/>
          <w:bottom w:val="single" w:sz="12" w:space="0" w:color="010000"/>
          <w:right w:val="single" w:sz="12" w:space="0" w:color="010000"/>
          <w:insideH w:val="single" w:sz="4" w:space="0" w:color="010000"/>
          <w:insideV w:val="single" w:sz="4" w:space="0" w:color="010000"/>
        </w:tblBorders>
        <w:tblLook w:firstColumn="1" w:firstRow="1" w:lastColumn="0" w:lastRow="0" w:noHBand="0" w:noVBand="1" w:val="04A0"/>
      </w:tblPr>
      <w:tblGrid>
        <w:gridCol w:w="2769"/>
        <w:gridCol w:w="2769"/>
        <w:gridCol w:w="2769"/>
      </w:tblGrid>
      <w:tr>
        <w:trPr>
          <w:cantSplit/>
          <w:tblHeader/>
          <w:jc w:val="center"/>
        </w:trPr>
        <w:tc>
          <w:tcPr>
            <w:tcW w:w="7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类别</w:t>
            </w:r>
          </w:p>
        </w:tc>
        <w:tc>
          <w:tcPr>
            <w:tcW w:w="30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具体材料</w:t>
            </w:r>
          </w:p>
        </w:tc>
        <w:tc>
          <w:tcPr>
            <w:tcW w:w="13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来源</w:t>
            </w:r>
          </w:p>
        </w:tc>
      </w:tr>
      <w:tr>
        <w:trPr>
          <w:cantSplit/>
          <w:jc w:val="center"/>
        </w:trPr>
        <w:tc>
          <w:tcPr>
            <w:tcW w:w="7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公司基础</w:t>
            </w:r>
          </w:p>
        </w:tc>
        <w:tc>
          <w:tcPr>
            <w:tcW w:w="30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营业执照、公司章程、股东名册、组织架构图、员工花名册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董秘 / 行政</w:t>
            </w:r>
          </w:p>
        </w:tc>
      </w:tr>
      <w:tr>
        <w:trPr>
          <w:cantSplit/>
          <w:jc w:val="center"/>
        </w:trPr>
        <w:tc>
          <w:tcPr>
            <w:tcW w:w="7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资质文件</w:t>
            </w:r>
          </w:p>
        </w:tc>
        <w:tc>
          <w:tcPr>
            <w:tcW w:w="30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各类认证证书、行业准入许可、高新技术企业与专精特新等认定文件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董秘 / 质量</w:t>
            </w:r>
          </w:p>
        </w:tc>
      </w:tr>
      <w:tr>
        <w:trPr>
          <w:cantSplit/>
          <w:jc w:val="center"/>
        </w:trPr>
        <w:tc>
          <w:tcPr>
            <w:tcW w:w="7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技术材料</w:t>
            </w:r>
          </w:p>
        </w:tc>
        <w:tc>
          <w:tcPr>
            <w:tcW w:w="30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专利证书与申请受理通知书、第三方检测报告、产品规格书、技术路线对比资料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技术负责人</w:t>
            </w:r>
          </w:p>
        </w:tc>
      </w:tr>
      <w:tr>
        <w:trPr>
          <w:cantSplit/>
          <w:jc w:val="center"/>
        </w:trPr>
        <w:tc>
          <w:tcPr>
            <w:tcW w:w="7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业务材料</w:t>
            </w:r>
          </w:p>
        </w:tc>
        <w:tc>
          <w:tcPr>
            <w:tcW w:w="30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客户清单与导入进度、已签合同与订单台账、标杆案例资料、价格表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销售负责人</w:t>
            </w:r>
          </w:p>
        </w:tc>
      </w:tr>
      <w:tr>
        <w:trPr>
          <w:cantSplit/>
          <w:jc w:val="center"/>
        </w:trPr>
        <w:tc>
          <w:tcPr>
            <w:tcW w:w="7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生产材料</w:t>
            </w:r>
          </w:p>
        </w:tc>
        <w:tc>
          <w:tcPr>
            <w:tcW w:w="30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产能与良率台账、设备清单、主要供应商清单与采购价格、扩产方案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生产负责人</w:t>
            </w:r>
          </w:p>
        </w:tc>
      </w:tr>
      <w:tr>
        <w:trPr>
          <w:cantSplit/>
          <w:jc w:val="center"/>
        </w:trPr>
        <w:tc>
          <w:tcPr>
            <w:tcW w:w="7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财务材料</w:t>
            </w:r>
          </w:p>
        </w:tc>
        <w:tc>
          <w:tcPr>
            <w:tcW w:w="30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近三年及最近一期财务报表、审计报告、纳税申报表、收入成本明细、预测模型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财务负责人</w:t>
            </w:r>
          </w:p>
        </w:tc>
      </w:tr>
      <w:tr>
        <w:trPr>
          <w:cantSplit/>
          <w:jc w:val="center"/>
        </w:trPr>
        <w:tc>
          <w:tcPr>
            <w:tcW w:w="7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融资材料</w:t>
            </w:r>
          </w:p>
        </w:tc>
        <w:tc>
          <w:tcPr>
            <w:tcW w:w="30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历轮融资协议、估值依据、股权结构表、员工持股平台文件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董秘</w:t>
            </w:r>
          </w:p>
        </w:tc>
      </w:tr>
      <w:tr>
        <w:trPr>
          <w:cantSplit/>
          <w:jc w:val="center"/>
        </w:trPr>
        <w:tc>
          <w:tcPr>
            <w:tcW w:w="7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行业材料</w:t>
            </w:r>
          </w:p>
        </w:tc>
        <w:tc>
          <w:tcPr>
            <w:tcW w:w="30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行业协会与研究机构报告、政策文件、可比公司公开资料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牵头人</w:t>
            </w:r>
          </w:p>
        </w:tc>
      </w:tr>
    </w:tbl>
    <w:p>
      <w:pPr>
        <w:pStyle w:val="2"/>
        <w:spacing w:before="156" w:after="156"/>
      </w:pPr>
      <w:bookmarkStart w:id="1027" w:name="_Toc900027"/>
      <w:r>
        <w:rPr>
          <w:rFonts w:hint="eastAsia"/>
          <w:b/>
        </w:rPr>
        <w:t>制作流程与时间安排</w:t>
      </w:r>
      <w:bookmarkEnd w:id="1027"/>
    </w:p>
    <w:p>
      <w:pPr>
        <w:keepNext/>
        <w:jc w:val="center"/>
      </w:pPr>
      <w:r>
        <w:rPr>
          <w:rFonts w:hint="eastAsia"/>
          <w:b/>
          <w:sz w:val="21"/>
        </w:rPr>
        <w:t>表4  BP 制作流程与时间安排</w:t>
      </w:r>
    </w:p>
    <w:tbl>
      <w:tblPr>
        <w:tblW w:w="5352" w:type="pct"/>
        <w:jc w:val="center"/>
        <w:tblBorders>
          <w:top w:val="single" w:sz="12" w:space="0" w:color="010000"/>
          <w:left w:val="single" w:sz="12" w:space="0" w:color="010000"/>
          <w:bottom w:val="single" w:sz="12" w:space="0" w:color="010000"/>
          <w:right w:val="single" w:sz="12" w:space="0" w:color="010000"/>
          <w:insideH w:val="single" w:sz="4" w:space="0" w:color="010000"/>
          <w:insideV w:val="single" w:sz="4" w:space="0" w:color="010000"/>
        </w:tblBorders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cantSplit/>
          <w:tblHeader/>
          <w:jc w:val="center"/>
        </w:trPr>
        <w:tc>
          <w:tcPr>
            <w:tcW w:w="5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阶段</w:t>
            </w:r>
          </w:p>
        </w:tc>
        <w:tc>
          <w:tcPr>
            <w:tcW w:w="23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工作内容</w:t>
            </w:r>
          </w:p>
        </w:tc>
        <w:tc>
          <w:tcPr>
            <w:tcW w:w="13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产出</w:t>
            </w:r>
          </w:p>
        </w:tc>
        <w:tc>
          <w:tcPr>
            <w:tcW w:w="900" w:type="pct"/>
            <w:tcBorders>
              <w:top w:val="single" w:sz="12" w:space="0" w:color="010000"/>
              <w:bottom w:val="single" w:sz="4" w:space="0" w:color="010000"/>
            </w:tcBorders>
            <w:vAlign w:val="center"/>
          </w:tcPr>
          <w:p>
            <w:pPr>
              <w:keepNext/>
              <w:jc w:val="center"/>
            </w:pPr>
            <w:r/>
            <w:r>
              <w:rPr>
                <w:rFonts w:hint="eastAsia"/>
                <w:b/>
                <w:color w:val="000000"/>
                <w:sz w:val="21"/>
              </w:rPr>
              <w:t>建议用时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第一步</w:t>
            </w:r>
          </w:p>
        </w:tc>
        <w:tc>
          <w:tcPr>
            <w:tcW w:w="2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按表3 收集素材，缺口列清单并落实到人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素材清单与缺口表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3—5 天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第二步</w:t>
            </w:r>
          </w:p>
        </w:tc>
        <w:tc>
          <w:tcPr>
            <w:tcW w:w="2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定口径：行业边界、统计范围、财务口径、预测假设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口径说明一页纸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 天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第三步</w:t>
            </w:r>
          </w:p>
        </w:tc>
        <w:tc>
          <w:tcPr>
            <w:tcW w:w="2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按本材料第三章逐模块填内容，先写文字不做美化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文字版初稿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5—7 天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第四步</w:t>
            </w:r>
          </w:p>
        </w:tc>
        <w:tc>
          <w:tcPr>
            <w:tcW w:w="2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数字交叉核对：摘要、正文、财务表、融资方案四处对齐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核对记录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 天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第五步</w:t>
            </w:r>
          </w:p>
        </w:tc>
        <w:tc>
          <w:tcPr>
            <w:tcW w:w="2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转成 PPT 版式，每页一个结论标题，图表替代文字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正式 BP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3—5 天</w:t>
            </w:r>
          </w:p>
        </w:tc>
      </w:tr>
      <w:tr>
        <w:trPr>
          <w:cantSplit/>
          <w:jc w:val="center"/>
        </w:trPr>
        <w:tc>
          <w:tcPr>
            <w:tcW w:w="5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第六步</w:t>
            </w:r>
          </w:p>
        </w:tc>
        <w:tc>
          <w:tcPr>
            <w:tcW w:w="2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据正式 BP 删减出路演版和一页纸版本</w:t>
            </w:r>
          </w:p>
        </w:tc>
        <w:tc>
          <w:tcPr>
            <w:tcW w:w="1300" w:type="pct"/>
            <w:tcBorders>
              <w:top w:val="single" w:sz="4" w:space="0" w:color="010000"/>
            </w:tcBorders>
            <w:vAlign w:val="center"/>
          </w:tcPr>
          <w:p>
            <w:pPr>
              <w:jc w:val="left"/>
            </w:pPr>
            <w:r/>
            <w:r>
              <w:rPr>
                <w:rFonts w:hint="eastAsia"/>
                <w:color w:val="000000"/>
                <w:sz w:val="21"/>
              </w:rPr>
              <w:t>三个版本齐备</w:t>
            </w:r>
          </w:p>
        </w:tc>
        <w:tc>
          <w:tcPr>
            <w:tcW w:w="900" w:type="pct"/>
            <w:tcBorders>
              <w:top w:val="single" w:sz="4" w:space="0" w:color="010000"/>
            </w:tcBorders>
            <w:vAlign w:val="center"/>
          </w:tcPr>
          <w:p>
            <w:pPr>
              <w:jc w:val="center"/>
            </w:pPr>
            <w:r/>
            <w:r>
              <w:rPr>
                <w:rFonts w:hint="eastAsia"/>
                <w:color w:val="000000"/>
                <w:sz w:val="21"/>
              </w:rPr>
              <w:t>1—2 天</w:t>
            </w:r>
          </w:p>
        </w:tc>
      </w:tr>
    </w:tbl>
    <w:p>
      <w:pPr>
        <w:pStyle w:val="a0"/>
      </w:pPr>
      <w:r>
        <w:rPr>
          <w:rFonts w:hint="eastAsia"/>
        </w:rPr>
        <w:t>先写文字、后做版式，是为了避免把时间花在排版上而内容没想清楚。第四步的交叉核对不能省——同一个数字在四个地方不一致，会直接影响投资人对整份材料的信任。</w:t>
      </w:r>
    </w:p>
    <w:p>
      <w:pPr>
        <w:pStyle w:val="2"/>
        <w:spacing w:before="156" w:after="156"/>
      </w:pPr>
      <w:bookmarkStart w:id="1028" w:name="_Toc900028"/>
      <w:r>
        <w:rPr>
          <w:rFonts w:hint="eastAsia"/>
          <w:b/>
        </w:rPr>
        <w:t>定稿前检查清单</w:t>
      </w:r>
      <w:bookmarkEnd w:id="1028"/>
    </w:p>
    <w:p>
      <w:pPr>
        <w:pStyle w:val="a0"/>
      </w:pPr>
      <w:r>
        <w:rPr>
          <w:rFonts w:hint="eastAsia"/>
        </w:rPr>
        <w:t>（1）封面那句业务定位，外行读完能说清公司做什么产品、卖给谁；</w:t>
      </w:r>
    </w:p>
    <w:p>
      <w:pPr>
        <w:pStyle w:val="a0"/>
      </w:pPr>
      <w:r>
        <w:rPr>
          <w:rFonts w:hint="eastAsia"/>
        </w:rPr>
        <w:t>（2）摘要页的关键数字与正文、财务表、融资方案完全一致；</w:t>
      </w:r>
    </w:p>
    <w:p>
      <w:pPr>
        <w:pStyle w:val="a0"/>
      </w:pPr>
      <w:r>
        <w:rPr>
          <w:rFonts w:hint="eastAsia"/>
        </w:rPr>
        <w:t>（3）每一个第三方数据都写明了机构、报告名称与发布时间；</w:t>
      </w:r>
    </w:p>
    <w:p>
      <w:pPr>
        <w:pStyle w:val="a0"/>
      </w:pPr>
      <w:r>
        <w:rPr>
          <w:rFonts w:hint="eastAsia"/>
        </w:rPr>
        <w:t>（4）市场规模的测算过程写出来了，能被复算；</w:t>
      </w:r>
    </w:p>
    <w:p>
      <w:pPr>
        <w:pStyle w:val="a0"/>
      </w:pPr>
      <w:r>
        <w:rPr>
          <w:rFonts w:hint="eastAsia"/>
        </w:rPr>
        <w:t>（5）技术指标注明了测试条件与出处；</w:t>
      </w:r>
    </w:p>
    <w:p>
      <w:pPr>
        <w:pStyle w:val="a0"/>
      </w:pPr>
      <w:r>
        <w:rPr>
          <w:rFonts w:hint="eastAsia"/>
        </w:rPr>
        <w:t>（6）专利区分了已授权与申请中，授权的写了授权号；</w:t>
      </w:r>
    </w:p>
    <w:p>
      <w:pPr>
        <w:pStyle w:val="a0"/>
      </w:pPr>
      <w:r>
        <w:rPr>
          <w:rFonts w:hint="eastAsia"/>
        </w:rPr>
        <w:t>（7）未签约客户没有出现具体名称；</w:t>
      </w:r>
    </w:p>
    <w:p>
      <w:pPr>
        <w:pStyle w:val="a0"/>
      </w:pPr>
      <w:r>
        <w:rPr>
          <w:rFonts w:hint="eastAsia"/>
        </w:rPr>
        <w:t>（8）财务数据标明了是否经审计；</w:t>
      </w:r>
    </w:p>
    <w:p>
      <w:pPr>
        <w:pStyle w:val="a0"/>
      </w:pPr>
      <w:r>
        <w:rPr>
          <w:rFonts w:hint="eastAsia"/>
        </w:rPr>
        <w:t>（9）财务预测的每条假设都能追到已发生的事实；</w:t>
      </w:r>
    </w:p>
    <w:p>
      <w:pPr>
        <w:pStyle w:val="a0"/>
      </w:pPr>
      <w:r>
        <w:rPr>
          <w:rFonts w:hint="eastAsia"/>
        </w:rPr>
        <w:t>（10）扩产计划、资金用途、财务预测三处数字互相对得上；</w:t>
      </w:r>
    </w:p>
    <w:p>
      <w:pPr>
        <w:pStyle w:val="a0"/>
      </w:pPr>
      <w:r>
        <w:rPr>
          <w:rFonts w:hint="eastAsia"/>
        </w:rPr>
        <w:t>（11）全篇没有出现绝对化用语和对投资回报、上市时间的承诺；</w:t>
      </w:r>
    </w:p>
    <w:p>
      <w:pPr>
        <w:pStyle w:val="a0"/>
      </w:pPr>
      <w:r>
        <w:rPr>
          <w:rFonts w:hint="eastAsia"/>
        </w:rPr>
        <w:t>（12）每一页的标题是结论，不是名词；</w:t>
      </w:r>
    </w:p>
    <w:p>
      <w:pPr>
        <w:pStyle w:val="a0"/>
      </w:pPr>
      <w:r>
        <w:rPr>
          <w:rFonts w:hint="eastAsia"/>
        </w:rPr>
        <w:t>（13）证据材料放在附录，正文页面干净；</w:t>
      </w:r>
    </w:p>
    <w:p>
      <w:pPr>
        <w:pStyle w:val="a0"/>
      </w:pPr>
      <w:r>
        <w:rPr>
          <w:rFonts w:hint="eastAsia"/>
        </w:rPr>
        <w:t>（14）保密声明在封面或封二出现；</w:t>
      </w:r>
    </w:p>
    <w:p>
      <w:pPr>
        <w:pStyle w:val="a0"/>
      </w:pPr>
      <w:r>
        <w:rPr>
          <w:rFonts w:hint="eastAsia"/>
        </w:rPr>
        <w:t>（15）文件名包含公司简称、版本与日期，便于对方归档。</w:t>
      </w:r>
    </w:p>
    <w:p/>
    <w:p>
      <w:pPr>
        <w:pStyle w:val="a0"/>
      </w:pPr>
      <w:r>
        <w:rPr>
          <w:rFonts w:hint="eastAsia"/>
        </w:rPr>
        <w:t>本框架为通用骨架，具体页面的取舍与详略，按企业所处行业、发展阶段与本轮融资对象调整。</w:t>
      </w:r>
    </w:p>
    <w:sectPr w:rsidR="004A0C46">
      <w:pgSz w:w="11906" w:h="16838"/>
      <w:pgMar w:top="1440" w:right="1800" w:bottom="1440" w:left="1800" w:header="720" w:footer="72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06E93" w14:textId="77777777" w:rsidR="00587D39" w:rsidRDefault="00587D39">
      <w:r>
        <w:separator/>
      </w:r>
    </w:p>
  </w:endnote>
  <w:endnote w:type="continuationSeparator" w:id="0">
    <w:p w14:paraId="4850330F" w14:textId="77777777" w:rsidR="00587D39" w:rsidRDefault="00587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84E0A" w14:textId="459487C3" w:rsidR="004A0C46" w:rsidRDefault="004A0C46" w:rsidP="000E155A">
    <w:pPr>
      <w:pStyle w:val="a8"/>
      <w:jc w:val="center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50811145"/>
      <w:docPartObj>
        <w:docPartGallery w:val="Page Numbers (Bottom of Page)"/>
        <w:docPartUnique/>
      </w:docPartObj>
    </w:sdtPr>
    <w:sdtEndPr>
      <w:rPr>
        <w:rFonts w:ascii="Times New Roman" w:eastAsia="宋体" w:hAnsi="Times New Roman"/>
        <w:sz w:val="21"/>
        <w:szCs w:val="21"/>
      </w:rPr>
    </w:sdtEndPr>
    <w:sdtContent>
      <w:p w14:paraId="72B0EFA0" w14:textId="77777777" w:rsidR="000E155A" w:rsidRPr="000E155A" w:rsidRDefault="000E155A" w:rsidP="000E155A">
        <w:pPr>
          <w:pStyle w:val="a8"/>
          <w:jc w:val="center"/>
          <w:rPr>
            <w:rFonts w:ascii="Times New Roman" w:eastAsia="宋体" w:hAnsi="Times New Roman" w:hint="eastAsia"/>
            <w:sz w:val="21"/>
            <w:szCs w:val="21"/>
          </w:rPr>
        </w:pPr>
        <w:r w:rsidRPr="000E155A">
          <w:rPr>
            <w:rFonts w:ascii="Times New Roman" w:eastAsia="宋体" w:hAnsi="Times New Roman"/>
            <w:sz w:val="21"/>
            <w:szCs w:val="21"/>
          </w:rPr>
          <w:fldChar w:fldCharType="begin"/>
        </w:r>
        <w:r w:rsidRPr="000E155A">
          <w:rPr>
            <w:rFonts w:ascii="Times New Roman" w:eastAsia="宋体" w:hAnsi="Times New Roman"/>
            <w:sz w:val="21"/>
            <w:szCs w:val="21"/>
          </w:rPr>
          <w:instrText>PAGE   \* MERGEFORMAT</w:instrText>
        </w:r>
        <w:r w:rsidRPr="000E155A">
          <w:rPr>
            <w:rFonts w:ascii="Times New Roman" w:eastAsia="宋体" w:hAnsi="Times New Roman"/>
            <w:sz w:val="21"/>
            <w:szCs w:val="21"/>
          </w:rPr>
          <w:fldChar w:fldCharType="separate"/>
        </w:r>
        <w:r w:rsidRPr="000E155A">
          <w:rPr>
            <w:rFonts w:ascii="Times New Roman" w:eastAsia="宋体" w:hAnsi="Times New Roman"/>
            <w:sz w:val="21"/>
            <w:szCs w:val="21"/>
            <w:lang w:val="zh-CN"/>
          </w:rPr>
          <w:t>2</w:t>
        </w:r>
        <w:r w:rsidRPr="000E155A">
          <w:rPr>
            <w:rFonts w:ascii="Times New Roman" w:eastAsia="宋体" w:hAnsi="Times New Roman"/>
            <w:sz w:val="21"/>
            <w:szCs w:val="21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5E1C9" w14:textId="77777777" w:rsidR="00587D39" w:rsidRDefault="00587D39">
      <w:r>
        <w:separator/>
      </w:r>
    </w:p>
  </w:footnote>
  <w:footnote w:type="continuationSeparator" w:id="0">
    <w:p w14:paraId="50F506F9" w14:textId="77777777" w:rsidR="00587D39" w:rsidRDefault="00587D3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B79DB93"/>
    <w:multiLevelType w:val="singleLevel"/>
    <w:tmpl w:val="05D40FFA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211E2CC6"/>
    <w:multiLevelType w:val="multilevel"/>
    <w:tmpl w:val="54FE1F4C"/>
    <w:lvl w:ilvl="0">
      <w:start w:val="1"/>
      <w:numFmt w:val="chineseCounting"/>
      <w:lvlRestart w:val="0"/>
      <w:pStyle w:val="1"/>
      <w:suff w:val="space"/>
      <w:lvlText w:val="第%1节"/>
      <w:lvlJc w:val="left"/>
      <w:pPr>
        <w:ind w:left="0" w:firstLine="0"/>
      </w:pPr>
      <w:rPr>
        <w:rFonts w:ascii="黑体" w:eastAsia="黑体" w:hAnsi="黑体" w:hint="eastAsia"/>
        <w:b w:val="0"/>
        <w:i w:val="0"/>
        <w:sz w:val="32"/>
      </w:rPr>
    </w:lvl>
    <w:lvl w:ilvl="1">
      <w:start w:val="1"/>
      <w:numFmt w:val="chineseCounting"/>
      <w:pStyle w:val="2"/>
      <w:suff w:val="nothing"/>
      <w:lvlText w:val="%2、"/>
      <w:lvlJc w:val="left"/>
      <w:pPr>
        <w:ind w:left="0" w:firstLine="0"/>
      </w:pPr>
      <w:rPr>
        <w:rFonts w:hint="default"/>
        <w:b w:val="0"/>
        <w:i w:val="0"/>
        <w:sz w:val="28"/>
      </w:rPr>
    </w:lvl>
    <w:lvl w:ilvl="2">
      <w:start w:val="1"/>
      <w:numFmt w:val="chineseCounting"/>
      <w:pStyle w:val="3"/>
      <w:suff w:val="nothing"/>
      <w:lvlText w:val="（%3）"/>
      <w:lvlJc w:val="left"/>
      <w:pPr>
        <w:ind w:left="0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nothing"/>
      <w:lvlText w:val="%4、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sz w:val="24"/>
      </w:rPr>
    </w:lvl>
    <w:lvl w:ilvl="4">
      <w:start w:val="1"/>
      <w:numFmt w:val="decimal"/>
      <w:pStyle w:val="5"/>
      <w:suff w:val="nothing"/>
      <w:lvlText w:val="（%5）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sz w:val="24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decimal"/>
      <w:pStyle w:val="6"/>
      <w:suff w:val="nothing"/>
      <w:lvlText w:val="%6）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  <w:u w:val="none"/>
        <w:em w:val="none"/>
      </w:rPr>
    </w:lvl>
    <w:lvl w:ilvl="6">
      <w:start w:val="1"/>
      <w:numFmt w:val="decimalEnclosedCircle"/>
      <w:pStyle w:val="7"/>
      <w:suff w:val="nothing"/>
      <w:lvlText w:val="%7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  <w:lang w:val="en-US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4CFD45B3"/>
    <w:multiLevelType w:val="multilevel"/>
    <w:tmpl w:val="4718CA14"/>
    <w:lvl w:ilvl="0">
      <w:start w:val="1"/>
      <w:numFmt w:val="chineseCounting"/>
      <w:lvlRestart w:val="0"/>
      <w:suff w:val="space"/>
      <w:lvlText w:val="第%1节"/>
      <w:lvlJc w:val="left"/>
      <w:pPr>
        <w:ind w:left="0" w:firstLine="0"/>
      </w:pPr>
      <w:rPr>
        <w:rFonts w:ascii="黑体" w:eastAsia="黑体" w:hAnsi="黑体" w:hint="eastAsia"/>
        <w:b w:val="0"/>
        <w:i w:val="0"/>
        <w:sz w:val="32"/>
      </w:rPr>
    </w:lvl>
    <w:lvl w:ilvl="1">
      <w:start w:val="1"/>
      <w:numFmt w:val="chineseCounting"/>
      <w:suff w:val="nothing"/>
      <w:lvlText w:val="%2、"/>
      <w:lvlJc w:val="left"/>
      <w:pPr>
        <w:ind w:left="0" w:firstLine="0"/>
      </w:pPr>
      <w:rPr>
        <w:rFonts w:ascii="黑体" w:eastAsia="黑体" w:hAnsi="黑体" w:hint="eastAsia"/>
        <w:b w:val="0"/>
        <w:sz w:val="28"/>
      </w:rPr>
    </w:lvl>
    <w:lvl w:ilvl="2">
      <w:start w:val="1"/>
      <w:numFmt w:val="chineseCounting"/>
      <w:suff w:val="nothing"/>
      <w:lvlText w:val="（%3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3">
      <w:start w:val="1"/>
      <w:numFmt w:val="decimal"/>
      <w:suff w:val="nothing"/>
      <w:lvlText w:val="%4、"/>
      <w:lvlJc w:val="left"/>
      <w:pPr>
        <w:ind w:left="0" w:firstLine="0"/>
      </w:pPr>
      <w:rPr>
        <w:rFonts w:ascii="Times New Roman" w:hAnsi="Times New Roman" w:cs="Times New Roman"/>
        <w:b/>
        <w:sz w:val="24"/>
      </w:rPr>
    </w:lvl>
    <w:lvl w:ilvl="4">
      <w:start w:val="1"/>
      <w:numFmt w:val="decimal"/>
      <w:suff w:val="nothing"/>
      <w:lvlText w:val="（%5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5">
      <w:start w:val="1"/>
      <w:numFmt w:val="decimal"/>
      <w:suff w:val="nothing"/>
      <w:lvlText w:val="%6）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6">
      <w:start w:val="1"/>
      <w:numFmt w:val="decimalEnclosedCircle"/>
      <w:suff w:val="nothing"/>
      <w:lvlText w:val="%7"/>
      <w:lvlJc w:val="left"/>
      <w:pPr>
        <w:ind w:left="0" w:firstLine="0"/>
      </w:pPr>
      <w:rPr>
        <w:rFonts w:ascii="Times New Roman" w:hAnsi="Times New Roman" w:cs="Times New Roman"/>
        <w:b w:val="0"/>
        <w:sz w:val="24"/>
      </w:r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009019390">
    <w:abstractNumId w:val="0"/>
  </w:num>
  <w:num w:numId="2" w16cid:durableId="748382803">
    <w:abstractNumId w:val="1"/>
  </w:num>
  <w:num w:numId="3" w16cid:durableId="1148666522">
    <w:abstractNumId w:val="1"/>
  </w:num>
  <w:num w:numId="4" w16cid:durableId="1149790210">
    <w:abstractNumId w:val="1"/>
  </w:num>
  <w:num w:numId="5" w16cid:durableId="1733045307">
    <w:abstractNumId w:val="1"/>
  </w:num>
  <w:num w:numId="6" w16cid:durableId="138157883">
    <w:abstractNumId w:val="1"/>
  </w:num>
  <w:num w:numId="7" w16cid:durableId="1450584076">
    <w:abstractNumId w:val="1"/>
  </w:num>
  <w:num w:numId="8" w16cid:durableId="4719513">
    <w:abstractNumId w:val="1"/>
  </w:num>
  <w:num w:numId="9" w16cid:durableId="408430222">
    <w:abstractNumId w:val="2"/>
  </w:num>
  <w:num w:numId="10" w16cid:durableId="1237394881">
    <w:abstractNumId w:val="1"/>
  </w:num>
  <w:num w:numId="11" w16cid:durableId="653611128">
    <w:abstractNumId w:val="1"/>
  </w:num>
  <w:num w:numId="12" w16cid:durableId="1363748588">
    <w:abstractNumId w:val="1"/>
  </w:num>
  <w:num w:numId="13" w16cid:durableId="1630043532">
    <w:abstractNumId w:val="1"/>
  </w:num>
  <w:num w:numId="14" w16cid:durableId="972950653">
    <w:abstractNumId w:val="1"/>
  </w:num>
  <w:num w:numId="15" w16cid:durableId="1214850664">
    <w:abstractNumId w:val="1"/>
  </w:num>
  <w:num w:numId="16" w16cid:durableId="370418407">
    <w:abstractNumId w:val="1"/>
  </w:num>
  <w:num w:numId="17" w16cid:durableId="597367823">
    <w:abstractNumId w:val="1"/>
  </w:num>
  <w:num w:numId="18" w16cid:durableId="1243833782">
    <w:abstractNumId w:val="1"/>
  </w:num>
  <w:num w:numId="19" w16cid:durableId="1207722889">
    <w:abstractNumId w:val="1"/>
  </w:num>
  <w:num w:numId="20" w16cid:durableId="1554660264">
    <w:abstractNumId w:val="1"/>
  </w:num>
  <w:num w:numId="21" w16cid:durableId="1780833768">
    <w:abstractNumId w:val="1"/>
  </w:num>
  <w:num w:numId="22" w16cid:durableId="1908758277">
    <w:abstractNumId w:val="1"/>
  </w:num>
  <w:num w:numId="23" w16cid:durableId="1026911488">
    <w:abstractNumId w:val="1"/>
  </w:num>
  <w:num w:numId="24" w16cid:durableId="661542715">
    <w:abstractNumId w:val="1"/>
  </w:num>
  <w:num w:numId="25" w16cid:durableId="485240193">
    <w:abstractNumId w:val="1"/>
  </w:num>
  <w:num w:numId="26" w16cid:durableId="1799104121">
    <w:abstractNumId w:val="1"/>
  </w:num>
  <w:num w:numId="27" w16cid:durableId="1695225271">
    <w:abstractNumId w:val="1"/>
  </w:num>
  <w:num w:numId="28" w16cid:durableId="171526905">
    <w:abstractNumId w:val="1"/>
  </w:num>
  <w:num w:numId="29" w16cid:durableId="1766533285">
    <w:abstractNumId w:val="1"/>
  </w:num>
  <w:num w:numId="30" w16cid:durableId="816261382">
    <w:abstractNumId w:val="1"/>
  </w:num>
  <w:num w:numId="31" w16cid:durableId="438379917">
    <w:abstractNumId w:val="1"/>
  </w:num>
  <w:num w:numId="32" w16cid:durableId="19406082">
    <w:abstractNumId w:val="1"/>
  </w:num>
  <w:num w:numId="33" w16cid:durableId="248007036">
    <w:abstractNumId w:val="1"/>
  </w:num>
  <w:num w:numId="34" w16cid:durableId="1127120554">
    <w:abstractNumId w:val="1"/>
  </w:num>
  <w:num w:numId="35" w16cid:durableId="996304787">
    <w:abstractNumId w:val="1"/>
  </w:num>
  <w:num w:numId="36" w16cid:durableId="501506145">
    <w:abstractNumId w:val="1"/>
  </w:num>
  <w:num w:numId="37" w16cid:durableId="545683955">
    <w:abstractNumId w:val="1"/>
  </w:num>
  <w:num w:numId="38" w16cid:durableId="1273778634">
    <w:abstractNumId w:val="1"/>
  </w:num>
  <w:num w:numId="39" w16cid:durableId="845708765">
    <w:abstractNumId w:val="1"/>
  </w:num>
  <w:num w:numId="40" w16cid:durableId="426122848">
    <w:abstractNumId w:val="1"/>
  </w:num>
  <w:num w:numId="41" w16cid:durableId="856576277">
    <w:abstractNumId w:val="1"/>
  </w:num>
  <w:num w:numId="42" w16cid:durableId="20719239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7"/>
  <w:embedSystemFonts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rawingGridVerticalSpacing w:val="156"/>
  <w:noPunctuationKerning/>
  <w:characterSpacingControl w:val="compressPunctuation"/>
  <w:updateFields w:val="true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ACFBC7B2"/>
    <w:rsid w:val="00085726"/>
    <w:rsid w:val="000E155A"/>
    <w:rsid w:val="000F283C"/>
    <w:rsid w:val="0011270F"/>
    <w:rsid w:val="001349C6"/>
    <w:rsid w:val="001950A1"/>
    <w:rsid w:val="0039617E"/>
    <w:rsid w:val="004378BA"/>
    <w:rsid w:val="004A0C46"/>
    <w:rsid w:val="004F7178"/>
    <w:rsid w:val="00555E6A"/>
    <w:rsid w:val="00587D39"/>
    <w:rsid w:val="00592284"/>
    <w:rsid w:val="005E7246"/>
    <w:rsid w:val="00662F6D"/>
    <w:rsid w:val="00670B1C"/>
    <w:rsid w:val="00795354"/>
    <w:rsid w:val="007E5EB5"/>
    <w:rsid w:val="00A34D1B"/>
    <w:rsid w:val="00AE02CD"/>
    <w:rsid w:val="00E419C7"/>
    <w:rsid w:val="00EC0E9A"/>
    <w:rsid w:val="00F27C6B"/>
    <w:rsid w:val="00FF56FE"/>
    <w:rsid w:val="29F9C83D"/>
    <w:rsid w:val="33F53DC0"/>
    <w:rsid w:val="353FEB1E"/>
    <w:rsid w:val="3DF3A5E0"/>
    <w:rsid w:val="3FCF0B00"/>
    <w:rsid w:val="3FF54F6B"/>
    <w:rsid w:val="3FFCB0C0"/>
    <w:rsid w:val="5717597D"/>
    <w:rsid w:val="5CBF3D48"/>
    <w:rsid w:val="5F7BA9D3"/>
    <w:rsid w:val="64DFFEC1"/>
    <w:rsid w:val="69B5CEB2"/>
    <w:rsid w:val="69FF8DFA"/>
    <w:rsid w:val="6EFB830B"/>
    <w:rsid w:val="77CDD5AC"/>
    <w:rsid w:val="7BFB9EEF"/>
    <w:rsid w:val="7C772AB6"/>
    <w:rsid w:val="7EF8F3DE"/>
    <w:rsid w:val="7F3BEA07"/>
    <w:rsid w:val="7FDD237B"/>
    <w:rsid w:val="ACFBC7B2"/>
    <w:rsid w:val="BAD50396"/>
    <w:rsid w:val="BDBEA619"/>
    <w:rsid w:val="BFB6F836"/>
    <w:rsid w:val="BFFBB6BF"/>
    <w:rsid w:val="DCFF672D"/>
    <w:rsid w:val="DF9FA881"/>
    <w:rsid w:val="DFFC800C"/>
    <w:rsid w:val="EC255AAB"/>
    <w:rsid w:val="EDB96F0D"/>
    <w:rsid w:val="EFFF2415"/>
    <w:rsid w:val="FB9D90C9"/>
    <w:rsid w:val="FCBD6A06"/>
    <w:rsid w:val="FDD2248A"/>
    <w:rsid w:val="FEE5C490"/>
    <w:rsid w:val="FF6EC6C0"/>
    <w:rsid w:val="FFA594DA"/>
    <w:rsid w:val="FFAEF88F"/>
    <w:rsid w:val="FFCB1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0C6BCC"/>
  <w15:docId w15:val="{9B25C5D5-99CB-4FAB-AF7E-478891F1D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1" w:qFormat="1"/>
    <w:lsdException w:name="heading 2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2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Normal Indent" w:qFormat="1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62F6D"/>
    <w:pPr>
      <w:widowControl w:val="0"/>
      <w:jc w:val="both"/>
    </w:pPr>
    <w:rPr>
      <w:kern w:val="2"/>
    </w:rPr>
  </w:style>
  <w:style w:type="paragraph" w:styleId="1">
    <w:name w:val="heading 1"/>
    <w:next w:val="a0"/>
    <w:link w:val="10"/>
    <w:autoRedefine/>
    <w:uiPriority w:val="1"/>
    <w:qFormat/>
    <w:rsid w:val="000E155A"/>
    <w:pPr>
      <w:keepNext/>
      <w:keepLines/>
      <w:pageBreakBefore/>
      <w:numPr>
        <w:numId w:val="16"/>
      </w:numPr>
      <w:spacing w:beforeLines="50" w:before="50" w:afterLines="50" w:after="50" w:line="360" w:lineRule="auto"/>
      <w:jc w:val="center"/>
      <w:outlineLvl w:val="0"/>
    </w:pPr>
    <w:rPr>
      <w:rFonts w:eastAsia="黑体"/>
      <w:bCs/>
      <w:sz w:val="32"/>
      <w:szCs w:val="44"/>
    </w:rPr>
  </w:style>
  <w:style w:type="paragraph" w:styleId="2">
    <w:name w:val="heading 2"/>
    <w:next w:val="a0"/>
    <w:link w:val="20"/>
    <w:autoRedefine/>
    <w:uiPriority w:val="1"/>
    <w:qFormat/>
    <w:rsid w:val="000E155A"/>
    <w:pPr>
      <w:keepNext/>
      <w:keepLines/>
      <w:numPr>
        <w:ilvl w:val="1"/>
        <w:numId w:val="16"/>
      </w:numPr>
      <w:spacing w:beforeLines="50" w:before="50" w:afterLines="50" w:line="360" w:lineRule="auto"/>
      <w:jc w:val="both"/>
      <w:outlineLvl w:val="1"/>
    </w:pPr>
    <w:rPr>
      <w:rFonts w:eastAsia="黑体"/>
      <w:bCs/>
      <w:kern w:val="2"/>
      <w:sz w:val="28"/>
      <w:szCs w:val="32"/>
    </w:rPr>
  </w:style>
  <w:style w:type="paragraph" w:styleId="3">
    <w:name w:val="heading 3"/>
    <w:next w:val="a0"/>
    <w:link w:val="30"/>
    <w:autoRedefine/>
    <w:uiPriority w:val="1"/>
    <w:qFormat/>
    <w:rsid w:val="000F283C"/>
    <w:pPr>
      <w:keepNext/>
      <w:keepLines/>
      <w:numPr>
        <w:ilvl w:val="2"/>
        <w:numId w:val="16"/>
      </w:numPr>
      <w:spacing w:beforeLines="50" w:before="50" w:afterLines="50" w:line="360" w:lineRule="auto"/>
      <w:jc w:val="both"/>
      <w:outlineLvl w:val="2"/>
    </w:pPr>
    <w:rPr>
      <w:rFonts w:eastAsia="黑体"/>
      <w:bCs/>
      <w:color w:val="000000"/>
      <w:sz w:val="24"/>
      <w:szCs w:val="24"/>
      <w:lang w:eastAsia="ar-SA"/>
    </w:rPr>
  </w:style>
  <w:style w:type="paragraph" w:styleId="4">
    <w:name w:val="heading 4"/>
    <w:next w:val="a0"/>
    <w:link w:val="40"/>
    <w:autoRedefine/>
    <w:uiPriority w:val="1"/>
    <w:qFormat/>
    <w:rsid w:val="000E155A"/>
    <w:pPr>
      <w:keepNext/>
      <w:keepLines/>
      <w:numPr>
        <w:ilvl w:val="3"/>
        <w:numId w:val="16"/>
      </w:numPr>
      <w:spacing w:beforeLines="50" w:before="50" w:afterLines="50" w:after="50" w:line="360" w:lineRule="auto"/>
      <w:jc w:val="both"/>
      <w:outlineLvl w:val="3"/>
    </w:pPr>
    <w:rPr>
      <w:b/>
      <w:bCs/>
      <w:kern w:val="2"/>
      <w:szCs w:val="28"/>
    </w:rPr>
  </w:style>
  <w:style w:type="paragraph" w:styleId="5">
    <w:name w:val="heading 5"/>
    <w:next w:val="a0"/>
    <w:link w:val="50"/>
    <w:autoRedefine/>
    <w:uiPriority w:val="1"/>
    <w:qFormat/>
    <w:rsid w:val="000E155A"/>
    <w:pPr>
      <w:keepNext/>
      <w:keepLines/>
      <w:numPr>
        <w:ilvl w:val="4"/>
        <w:numId w:val="16"/>
      </w:numPr>
      <w:spacing w:beforeLines="50" w:before="50" w:afterLines="50" w:after="50" w:line="360" w:lineRule="auto"/>
      <w:outlineLvl w:val="4"/>
    </w:pPr>
    <w:rPr>
      <w:bCs/>
      <w:kern w:val="2"/>
      <w:szCs w:val="28"/>
    </w:rPr>
  </w:style>
  <w:style w:type="paragraph" w:styleId="6">
    <w:name w:val="heading 6"/>
    <w:next w:val="a0"/>
    <w:link w:val="60"/>
    <w:autoRedefine/>
    <w:uiPriority w:val="1"/>
    <w:qFormat/>
    <w:rsid w:val="000E155A"/>
    <w:pPr>
      <w:numPr>
        <w:ilvl w:val="5"/>
        <w:numId w:val="16"/>
      </w:numPr>
      <w:spacing w:beforeLines="50" w:before="50" w:afterLines="50" w:after="50" w:line="360" w:lineRule="auto"/>
      <w:jc w:val="both"/>
      <w:outlineLvl w:val="5"/>
    </w:pPr>
    <w:rPr>
      <w:bCs/>
      <w:kern w:val="2"/>
      <w:szCs w:val="24"/>
    </w:rPr>
  </w:style>
  <w:style w:type="paragraph" w:styleId="7">
    <w:name w:val="heading 7"/>
    <w:next w:val="a0"/>
    <w:link w:val="70"/>
    <w:autoRedefine/>
    <w:uiPriority w:val="2"/>
    <w:unhideWhenUsed/>
    <w:qFormat/>
    <w:rsid w:val="000E155A"/>
    <w:pPr>
      <w:keepNext/>
      <w:keepLines/>
      <w:numPr>
        <w:ilvl w:val="6"/>
        <w:numId w:val="16"/>
      </w:numPr>
      <w:spacing w:beforeLines="50" w:before="50" w:afterLines="50" w:after="50" w:line="360" w:lineRule="auto"/>
      <w:outlineLvl w:val="6"/>
    </w:pPr>
    <w:rPr>
      <w:bCs/>
      <w:kern w:val="2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1"/>
    <w:link w:val="1"/>
    <w:uiPriority w:val="1"/>
    <w:rsid w:val="000E155A"/>
    <w:rPr>
      <w:rFonts w:eastAsia="黑体"/>
      <w:bCs/>
      <w:sz w:val="32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0E155A"/>
    <w:pPr>
      <w:pageBreakBefore w:val="0"/>
      <w:numPr>
        <w:numId w:val="0"/>
      </w:numPr>
      <w:snapToGrid w:val="0"/>
      <w:spacing w:beforeLines="0" w:before="240" w:afterLines="0" w:after="0" w:line="259" w:lineRule="auto"/>
      <w:outlineLvl w:val="9"/>
    </w:pPr>
    <w:rPr>
      <w:bCs w:val="0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AE02CD"/>
    <w:pPr>
      <w:tabs>
        <w:tab w:val="right" w:leader="dot" w:pos="8299"/>
      </w:tabs>
    </w:pPr>
    <w:rPr>
      <w:rFonts w:cs="宋体"/>
      <w:b/>
      <w:bCs/>
      <w:noProof/>
    </w:rPr>
  </w:style>
  <w:style w:type="paragraph" w:styleId="TOC2">
    <w:name w:val="toc 2"/>
    <w:basedOn w:val="a"/>
    <w:next w:val="a"/>
    <w:autoRedefine/>
    <w:uiPriority w:val="39"/>
    <w:unhideWhenUsed/>
    <w:rsid w:val="000E155A"/>
    <w:pPr>
      <w:ind w:leftChars="200" w:left="420"/>
    </w:pPr>
    <w:rPr>
      <w:rFonts w:eastAsia="黑体"/>
    </w:rPr>
  </w:style>
  <w:style w:type="character" w:styleId="a5">
    <w:name w:val="Hyperlink"/>
    <w:basedOn w:val="a1"/>
    <w:uiPriority w:val="99"/>
    <w:unhideWhenUsed/>
    <w:rsid w:val="00085726"/>
    <w:rPr>
      <w:color w:val="0026E5" w:themeColor="hyperlink"/>
      <w:u w:val="single"/>
    </w:rPr>
  </w:style>
  <w:style w:type="paragraph" w:customStyle="1" w:styleId="11">
    <w:name w:val="样式1"/>
    <w:basedOn w:val="a"/>
    <w:qFormat/>
    <w:rsid w:val="000E155A"/>
    <w:pPr>
      <w:widowControl/>
      <w:spacing w:before="156" w:after="156" w:line="360" w:lineRule="auto"/>
      <w:ind w:firstLine="480"/>
    </w:pPr>
    <w:rPr>
      <w:rFonts w:ascii="宋体" w:hAnsi="宋体" w:cs="宋体"/>
      <w:szCs w:val="21"/>
    </w:rPr>
  </w:style>
  <w:style w:type="paragraph" w:styleId="a0">
    <w:name w:val="Normal Indent"/>
    <w:autoRedefine/>
    <w:qFormat/>
    <w:rsid w:val="000F283C"/>
    <w:pPr>
      <w:spacing w:beforeLines="50" w:before="50" w:line="360" w:lineRule="auto"/>
      <w:ind w:firstLineChars="200" w:firstLine="200"/>
      <w:jc w:val="both"/>
    </w:pPr>
    <w:rPr>
      <w:rFonts w:eastAsia="Times New Roman"/>
      <w:kern w:val="2"/>
      <w:sz w:val="24"/>
      <w:szCs w:val="23"/>
    </w:rPr>
  </w:style>
  <w:style w:type="character" w:customStyle="1" w:styleId="20">
    <w:name w:val="标题 2 字符"/>
    <w:basedOn w:val="a1"/>
    <w:link w:val="2"/>
    <w:uiPriority w:val="1"/>
    <w:rsid w:val="000E155A"/>
    <w:rPr>
      <w:rFonts w:eastAsia="黑体"/>
      <w:bCs/>
      <w:kern w:val="2"/>
      <w:sz w:val="28"/>
      <w:szCs w:val="32"/>
    </w:rPr>
  </w:style>
  <w:style w:type="character" w:customStyle="1" w:styleId="30">
    <w:name w:val="标题 3 字符"/>
    <w:basedOn w:val="a1"/>
    <w:link w:val="3"/>
    <w:uiPriority w:val="1"/>
    <w:rsid w:val="000F283C"/>
    <w:rPr>
      <w:rFonts w:eastAsia="黑体"/>
      <w:bCs/>
      <w:color w:val="000000"/>
      <w:sz w:val="24"/>
      <w:szCs w:val="24"/>
      <w:lang w:eastAsia="ar-SA"/>
    </w:rPr>
  </w:style>
  <w:style w:type="character" w:customStyle="1" w:styleId="40">
    <w:name w:val="标题 4 字符"/>
    <w:basedOn w:val="a1"/>
    <w:link w:val="4"/>
    <w:uiPriority w:val="1"/>
    <w:rsid w:val="000E155A"/>
    <w:rPr>
      <w:b/>
      <w:bCs/>
      <w:kern w:val="2"/>
      <w:szCs w:val="28"/>
    </w:rPr>
  </w:style>
  <w:style w:type="character" w:customStyle="1" w:styleId="50">
    <w:name w:val="标题 5 字符"/>
    <w:basedOn w:val="a1"/>
    <w:link w:val="5"/>
    <w:uiPriority w:val="1"/>
    <w:rsid w:val="000E155A"/>
    <w:rPr>
      <w:bCs/>
      <w:kern w:val="2"/>
      <w:szCs w:val="28"/>
    </w:rPr>
  </w:style>
  <w:style w:type="character" w:customStyle="1" w:styleId="60">
    <w:name w:val="标题 6 字符"/>
    <w:basedOn w:val="a1"/>
    <w:link w:val="6"/>
    <w:uiPriority w:val="1"/>
    <w:rsid w:val="000E155A"/>
    <w:rPr>
      <w:bCs/>
      <w:kern w:val="2"/>
      <w:szCs w:val="24"/>
    </w:rPr>
  </w:style>
  <w:style w:type="character" w:customStyle="1" w:styleId="70">
    <w:name w:val="标题 7 字符"/>
    <w:basedOn w:val="a1"/>
    <w:link w:val="7"/>
    <w:uiPriority w:val="2"/>
    <w:rsid w:val="000E155A"/>
    <w:rPr>
      <w:bCs/>
      <w:kern w:val="2"/>
      <w:szCs w:val="24"/>
    </w:rPr>
  </w:style>
  <w:style w:type="paragraph" w:customStyle="1" w:styleId="a6">
    <w:name w:val="表格后说明"/>
    <w:next w:val="a0"/>
    <w:autoRedefine/>
    <w:uiPriority w:val="3"/>
    <w:qFormat/>
    <w:rsid w:val="00F27C6B"/>
    <w:pPr>
      <w:jc w:val="both"/>
    </w:pPr>
    <w:rPr>
      <w:kern w:val="2"/>
      <w:sz w:val="21"/>
      <w:szCs w:val="28"/>
    </w:rPr>
  </w:style>
  <w:style w:type="paragraph" w:customStyle="1" w:styleId="a7">
    <w:name w:val="表格前单位"/>
    <w:next w:val="a0"/>
    <w:autoRedefine/>
    <w:uiPriority w:val="2"/>
    <w:qFormat/>
    <w:rsid w:val="000E155A"/>
    <w:pPr>
      <w:keepNext/>
      <w:jc w:val="right"/>
    </w:pPr>
    <w:rPr>
      <w:kern w:val="2"/>
      <w:szCs w:val="24"/>
    </w:rPr>
  </w:style>
  <w:style w:type="paragraph" w:styleId="a8">
    <w:name w:val="footer"/>
    <w:basedOn w:val="a"/>
    <w:link w:val="a9"/>
    <w:uiPriority w:val="99"/>
    <w:unhideWhenUsed/>
    <w:rsid w:val="000E155A"/>
    <w:pPr>
      <w:widowControl/>
      <w:tabs>
        <w:tab w:val="center" w:pos="4680"/>
        <w:tab w:val="right" w:pos="9360"/>
      </w:tabs>
      <w:jc w:val="left"/>
    </w:pPr>
    <w:rPr>
      <w:rFonts w:asciiTheme="minorHAnsi" w:eastAsiaTheme="minorEastAsia" w:hAnsiTheme="minorHAnsi"/>
      <w:kern w:val="0"/>
      <w:sz w:val="22"/>
      <w:szCs w:val="22"/>
    </w:rPr>
  </w:style>
  <w:style w:type="character" w:customStyle="1" w:styleId="a9">
    <w:name w:val="页脚 字符"/>
    <w:basedOn w:val="a1"/>
    <w:link w:val="a8"/>
    <w:uiPriority w:val="99"/>
    <w:rsid w:val="000E155A"/>
    <w:rPr>
      <w:rFonts w:asciiTheme="minorHAnsi" w:eastAsiaTheme="minorEastAsia" w:hAnsiTheme="minorHAnsi"/>
      <w:sz w:val="22"/>
      <w:szCs w:val="22"/>
    </w:rPr>
  </w:style>
  <w:style w:type="paragraph" w:styleId="aa">
    <w:name w:val="header"/>
    <w:basedOn w:val="a"/>
    <w:link w:val="ab"/>
    <w:rsid w:val="000E15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1"/>
    <w:link w:val="aa"/>
    <w:rsid w:val="000E155A"/>
    <w:rPr>
      <w:kern w:val="2"/>
      <w:sz w:val="18"/>
      <w:szCs w:val="18"/>
    </w:rPr>
  </w:style>
  <w:style w:type="paragraph" w:styleId="ac">
    <w:name w:val="Body Text Indent"/>
    <w:basedOn w:val="a"/>
    <w:link w:val="ad"/>
    <w:rsid w:val="000F283C"/>
    <w:pPr>
      <w:spacing w:after="120"/>
      <w:ind w:leftChars="200" w:left="420"/>
    </w:pPr>
  </w:style>
  <w:style w:type="character" w:customStyle="1" w:styleId="ad">
    <w:name w:val="正文文本缩进 字符"/>
    <w:basedOn w:val="a1"/>
    <w:link w:val="ac"/>
    <w:rsid w:val="000F283C"/>
    <w:rPr>
      <w:kern w:val="2"/>
    </w:rPr>
  </w:style>
  <w:style w:type="paragraph" w:styleId="12">
    <w:name w:val="index 1"/>
    <w:basedOn w:val="a"/>
    <w:next w:val="a"/>
    <w:autoRedefine/>
    <w:rsid w:val="000F283C"/>
  </w:style>
  <w:style w:type="paragraph" w:styleId="ae">
    <w:name w:val="index heading"/>
    <w:basedOn w:val="a"/>
    <w:next w:val="12"/>
    <w:rsid w:val="000F283C"/>
    <w:rPr>
      <w:rFonts w:asciiTheme="majorHAnsi" w:eastAsiaTheme="majorEastAsia" w:hAnsiTheme="majorHAnsi" w:cstheme="majorBidi"/>
      <w:b/>
      <w:bCs/>
    </w:rPr>
  </w:style>
  <w:style w:type="character" w:styleId="af">
    <w:name w:val="Strong"/>
    <w:basedOn w:val="a1"/>
    <w:qFormat/>
    <w:rsid w:val="00670B1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9B6E4C-15A4-441E-96C7-705407B4C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21</Pages>
  <Words>2508</Words>
  <Characters>14298</Characters>
  <Application>Microsoft Office Word</Application>
  <DocSecurity>0</DocSecurity>
  <Lines>119</Lines>
  <Paragraphs>33</Paragraphs>
  <ScaleCrop>false</ScaleCrop>
  <Company/>
  <LinksUpToDate>false</LinksUpToDate>
  <CharactersWithSpaces>16773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Wayne</dc:creator>
  <cp:lastModifiedBy>jack chan</cp:lastModifiedBy>
  <cp:revision>19</cp:revision>
  <dcterms:created xsi:type="dcterms:W3CDTF">2026-08-07T18:08:00Z</dcterms:created>
  <dcterms:modified xsi:type="dcterms:W3CDTF">2026-08-07T03:23:00Z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2052-6.2.0.8299</vt:lpwstr>
  </property>
  <property fmtid="{D5CDD505-2E9C-101B-9397-08002B2CF9AE}" pid="3" name="ICV">
    <vt:lpwstr>764EF9BCEDFD4B753EE5746A73860050_43</vt:lpwstr>
  </property>
</Properties>
</file>