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半导体存储行业研究提纲</w:t>
      </w:r>
    </w:p>
    <w:p>
      <w:pPr>
        <w:pStyle w:val="2"/>
        <w:spacing w:before="156" w:after="156"/>
      </w:pPr>
      <w:bookmarkStart w:id="1000" w:name="_Toc900000"/>
      <w:r>
        <w:rPr>
          <w:rFonts w:hint="eastAsia"/>
          <w:b/>
        </w:rPr>
        <w:t>研究问题</w:t>
      </w:r>
      <w:bookmarkEnd w:id="1000"/>
    </w:p>
    <w:p>
      <w:pPr>
        <w:pStyle w:val="a0"/>
      </w:pPr>
      <w:r>
        <w:rPr>
          <w:rFonts w:hint="eastAsia"/>
        </w:rPr>
        <w:t>本次研究拟回答三个问题。第一，半导体存储行业目前处在什么位置，即供需关系、价格周期与国产化进度分别走到了哪一步。第二，产业链各环节的价值如何分配、竞争格局如何形成，其中封装测试环节的技术门槛、产能布局与国产替代空间是重点。第三，深科技在这条产业链上处于什么位置，可比公司是谁，经营与资本化现状如何。本研究以公开资料为限，目标是形成一份可复核的研究底稿，不出具投资建议。</w:t>
      </w:r>
    </w:p>
    <w:p>
      <w:pPr>
        <w:pStyle w:val="2"/>
        <w:spacing w:before="156" w:after="156"/>
      </w:pPr>
      <w:bookmarkStart w:id="1001" w:name="_Toc900001"/>
      <w:r>
        <w:rPr>
          <w:rFonts w:hint="eastAsia"/>
          <w:b/>
        </w:rPr>
        <w:t>章节安排</w:t>
      </w:r>
      <w:bookmarkEnd w:id="1001"/>
    </w:p>
    <w:p>
      <w:pPr>
        <w:pStyle w:val="a0"/>
      </w:pPr>
      <w:r>
        <w:rPr>
          <w:rFonts w:hint="eastAsia"/>
        </w:rPr>
        <w:t>拟分九章。第一章为行业概述，交代存储器的产品形态与技术路线，包括DRAM、NAND Flash、NOR Flash以及新型存储介质，并说明衡量这个行业通常使用哪些指标。第二章为产业链结构，按上游设备与材料、中游晶圆制造、封装测试、主控芯片与固件、存储模组、下游应用逐环节展开；其中封装测试环节因与深科技直接相关，将写到工艺门槛、产能规模、客户结构与价格水平的颗粒度，其余环节按理解产业链所需的最小篇幅处理。第三章为国内市场发展现状与产业规模，覆盖出货量、应用结构、价格周期、国产化进度与相关政策。第四章为行业格局、发展趋势与产业机会。第五章为代表性企业，按存储原厂、封测厂、主控与模组厂分别展开。第六章为产业链企业资本化进度。第七章为与国泰海通相关的产业链公司，含已保荐上市、在审在辅导与股权投资三类。第八章为深科技的产业链定位与关注要点。第九章简要说明主要数据来源与口径。</w:t>
      </w:r>
    </w:p>
    <w:p>
      <w:pPr>
        <w:pStyle w:val="2"/>
        <w:spacing w:before="156" w:after="156"/>
      </w:pPr>
      <w:bookmarkStart w:id="1002" w:name="_Toc900002"/>
      <w:r>
        <w:rPr>
          <w:rFonts w:hint="eastAsia"/>
          <w:b/>
        </w:rPr>
        <w:t>数据分类与获取渠道</w:t>
      </w:r>
      <w:bookmarkEnd w:id="1002"/>
    </w:p>
    <w:p>
      <w:pPr>
        <w:pStyle w:val="a0"/>
      </w:pPr>
      <w:r>
        <w:rPr>
          <w:rFonts w:hint="eastAsia"/>
        </w:rPr>
        <w:t>拟把数据分为四类。第一类是行业总量与价格数据，来自行业协会、第三方咨询机构的公开报告以及存储现货与合约价格的公开发布渠道。第二类是公司经营数据，来自上市公司定期报告、招股说明书与交易所公告。第三类是资本化与中介机构数据，来自交易所公开披露文件、中国证监会及各地证监局的辅导备案公示，以及金融数据库整理成果。第四类是政策与产能数据，来自主管部门与地方政府的公开文件。取数以能追溯到原始发布方为原则，关键指标同时保留原始出处与转述出处；仅有转述出处而追不到原始发布方的数据从严处理。</w:t>
      </w:r>
    </w:p>
    <w:p>
      <w:pPr>
        <w:pStyle w:val="2"/>
        <w:spacing w:before="156" w:after="156"/>
      </w:pPr>
      <w:bookmarkStart w:id="1003" w:name="_Toc900003"/>
      <w:r>
        <w:rPr>
          <w:rFonts w:hint="eastAsia"/>
          <w:b/>
        </w:rPr>
        <w:t>口径处理</w:t>
      </w:r>
      <w:bookmarkEnd w:id="1003"/>
    </w:p>
    <w:p>
      <w:pPr>
        <w:pStyle w:val="a0"/>
      </w:pPr>
      <w:r>
        <w:rPr>
          <w:rFonts w:hint="eastAsia"/>
        </w:rPr>
        <w:t>存储行业最容易出错的地方在口径。同一个出货概念，至少需要区分统计对象、地域、品类与时间四组维度：统计对象上要区分晶圆片数、位元出货量与销售额；地域上要区分全球、中国大陆市场与中国厂商；品类上要区分DRAM、NAND与NOR，并区分原厂与模组厂；时间上要区分自然年、季度与累计。不同机构口径不一致的，拟并列呈现并说明差异来源，不做平均、不做合并，也不在不同口径体系之间做乘除推导。存储价格具有明显周期性，涉及价格与规模的数据将统一标注时点。</w:t>
      </w:r>
    </w:p>
    <w:p>
      <w:pPr>
        <w:pStyle w:val="2"/>
        <w:spacing w:before="156" w:after="156"/>
      </w:pPr>
      <w:bookmarkStart w:id="1004" w:name="_Toc900004"/>
      <w:r>
        <w:rPr>
          <w:rFonts w:hint="eastAsia"/>
          <w:b/>
        </w:rPr>
        <w:t>篇幅与重点</w:t>
      </w:r>
      <w:bookmarkEnd w:id="1004"/>
    </w:p>
    <w:p>
      <w:pPr>
        <w:pStyle w:val="a0"/>
      </w:pPr>
      <w:r>
        <w:rPr>
          <w:rFonts w:hint="eastAsia"/>
        </w:rPr>
        <w:t>全篇预计两万五千字左右，配表十五至十八张、图六至八张。篇幅将向封装测试环节以及深科技所处的价值链位置倾斜，上游设备与材料、下游应用场景按背景交代处理，不做展开。全篇以陈述事实为主，第三方机构的预测只在写明发布主体、发布时间与统计口径的前提下引用，不直接引用观点性表述。</w:t>
      </w:r>
    </w:p>
    <w:p>
      <w:pPr>
        <w:pStyle w:val="2"/>
        <w:spacing w:before="156" w:after="156"/>
      </w:pPr>
      <w:bookmarkStart w:id="1005" w:name="_Toc900005"/>
      <w:r>
        <w:rPr>
          <w:rFonts w:hint="eastAsia"/>
          <w:b/>
        </w:rPr>
        <w:t>时间安排</w:t>
      </w:r>
      <w:bookmarkEnd w:id="1005"/>
    </w:p>
    <w:p>
      <w:pPr>
        <w:pStyle w:val="a0"/>
      </w:pPr>
      <w:r>
        <w:rPr>
          <w:rFonts w:hint="eastAsia"/>
        </w:rPr>
        <w:t>第一步定义口径并建立资料索引，第二步分章起草并逐章标注需要回源核实的事项，第三步逐条回到原始文件复核并归档留痕，第四步成稿与格式处理。提纲经确认后开始第一步。</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