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成立于2024年5月10日，注册地为河北省邢台市南和区城西工业园区和鼎路19号，注册资本10,000.00万元，其中燕京啤酒出资6,700.00万元、持股67.00%，燕京中发出资3,300.00万元、持股33.00%。中发邢台系发行人参股公司，发行人对其按权益法核算，未纳入合并报表范围。发行人股东为燕京啤酒（持股80.00%）、燕京集团（持股17.50%）及食品发酵研究院（持股2.50%），发行人与中发邢台的最终控制方均为北京控股集团有限公司。</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与发行人受同一控股股东燕京啤酒控制，属于《首次公开发行股票注册管理办法》第十二条所述控股股东、实际控制人控制的其他企业范畴，其与发行人之间的业务关系应当按照同业竞争事项予以论证及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主营业务看，发行人主营纳豆及纳豆衍生产品的研发、生产和销售，2024年度、2025年度主营业务收入均100%来源于纳豆类产品；中发邢台的主营业务同为纳豆及纳豆制品的生产和销售，2025年度实现主营业务收入10,040.69万元，亦全部来源于纳豆类产品。双方产品线高度重合，中发邢台2025年度主营业务收入按产品构成为：纳福多肽类3,187.67万元、肠溶型（纳豆）胶囊类4,450.05万元、羊乳粉类1,595.44万元、纳豆胶囊688.14万元、大粒纳豆119.40万元，与发行人在售的燕京纳福多肽、1*2肠溶型胶囊礼盒（80粒）、有机全脂羊乳粉、大粒36盒等产品属于同类产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从经营管理看，根据尽调访谈情况，中发邢台的日常生产经营实际由发行人团队负责，双方在人员及经营管理上未作实质区隔。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交易关系看，发行人存在向中发邢台采购产成品后对外销售的情形。截至2026年6月30日，发行人库存商品—纳豆科目下设有邢台燕京纳福多肽特膳、邢台燕京1*2肠溶型纳豆胶囊80粒、邢台有机全脂羊乳粉、邢台大粒纳豆36盒等以邢台冠名的存货明细科目；2026年6月末发行人库存商品中外购部分的账面余额为2,018.78万元。上述关联采购的具体金额、定价依据及价格公允性，需在会计师进场后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2024年度、2025年度和2026年1-6月，中发邢台与发行人同类业务的收入及毛利对比情况如下：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中发邢台营业成本</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1,402.61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5,988.12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227.97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10,923.51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注：发行人2026年1-6月毛利根据营业收入20,814.62万元及毛利率52.48%测算；中发邢台2024年度、2025年度数据取自其审计报告，2026年1-6月数据取自其财务报表，未经审计。</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监管规则适用指引——发行类第4号》及《证券期货法律适用意见第17号》，认定同业竞争应当遵循实质重于形式的原则，结合历史沿革、资产、人员、主营业务、客户及供应商等因素综合论证是否构成竞争；竞争方从事的同类业务收入或毛利占发行人相应指标的比例达到30%以上的，原则上认定构成重大不利影响。基于上述标准，具体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中发邢台与发行人构成同业竞争。双方的产品品类、生产工艺、目标市场、品牌体系及销售渠道高度重合，且中发邢台由发行人团队实际经营，无法通过划分销售区域、客户群体或产品类别的方式予以有效区隔，按照实质重于形式原则应认定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目前尚未触及重大不利影响的量化标准，但占比呈上升趋势。2024年度、2025年度和2026年1-6月，中发邢台同类业务收入占发行人营业收入的比例分别为2.43%、23.12%和14.11%，毛利占比分别为2.23%、19.71%和14.05%，均低于30%。但中发邢台系2024年5月新设主体，2025年度为其投产后首个完整年度，当年收入即快速放大至10,043.02万元；截至2026年6月30日，其在建工程账面余额仍达5,924.02万元，产能处于持续释放过程中，随着新增产能落地，上述占比存在进一步上升并触及30%标准的风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即使未达到30%，该等同业竞争仍需彻底解决。30%系认定构成重大不利影响的量化参考标准，并非同业竞争可不予规范的豁免条件。本次申报涉及燕京啤酒分拆子公司至北交所上市，审核机构将重点关注发行人的资产完整性、业务独立性以及与控股股东之间是否存在利益输送。发行人与中发邢台之间存在关联采购、共用经营团队、共用品牌等情形，若不予解决，将同时构成同业竞争、关联交易及独立性方面的实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④该事项与其他重点关注事项相互关联。中发邢台生产经营所使用土地的权属登记在燕京啤酒名下（详见本节4、土地收购），因此同业竞争的解决方案需与土地权属整合方案统筹设计、同步推进。</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重组路径。建议由发行人收购燕京啤酒持有的中发邢台67.00%股权，使中发邢台成为发行人全资子公司并纳入合并报表范围，从根本上消除同业竞争。相比资产转让、业务划转或委托经营等方案，股权收购路径清晰，可一次性解决业务、资产、人员的归属问题，且便于向审核机构说明整改的彻底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交易性质及审批程序。该项收购构成关联交易且涉及国有资产转让，应按照《企业国有资产交易监督管理办法》（国务院国资委、财政部令第32号）的规定，聘请具有证券期货相关业务资格的评估机构出具资产评估报告并履行国资备案程序，以经备案的评估结果作为定价基础；同时履行发行人及燕京啤酒双方的内部决策程序（董事会、股东会审议，关联方回避表决），并报北控集团、北京市国资委审批。鉴于该交易系同一国家出资企业内部各级子企业之间的产权转让，可依据32号令的相关规定，在履行内部决策及批准程序后采取非公开协议转让方式，但该等适用性需事先与产权交易机构及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会计处理及对报告期的影响。发行人与中发邢台在收购前后均受燕京啤酒最终控制，该项收购构成同一控制下企业合并，应按照被合并方在最终控制方合并财务报表中的账面价值计量，并对合并财务报表的比较期间进行追溯调整，不产生商誉，对报告期业绩连续性的影响相对可控。同时，需按照《北京证券交易所向不特定合格投资者公开发行股票并上市业务规则适用指引第1号》关于重大资产重组的口径，测算被收购资产的资产总额、营业收入及净利润占发行人相应指标的比例，判断是否构成重大资产重组以及是否需要相应的运行期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时点安排。建议在股改基准日（2026年10月31日）前完成中发邢台股权收购的交割及工商变更登记，使股份制改造及后续申报以整合完成后的主体架构为基础，避免报告期内发生重大架构变动。若确需延后，最迟应于申报基准日（2027年6月30日）前完成，并预留重组完成后的运行期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发行条件的核查。重组前后发行人的控股股东均为燕京啤酒、实际控制人均为北控集团，控制权未发生变更；需同步核查董事、高级管理人员是否保持稳定，主营业务是否发生重大变化，以满足《首次公开发行股票注册管理办法》及北交所关于最近二年内主营业务和董事、高级管理人员未发生重大不利变化、实际控制人未发生变更的要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同业竞争的全面排查及承诺。除中发邢台外，应对燕京啤酒、燕京集团、北控集团及其控制的其他企业进行全面排查，核查是否存在其他从事纳豆及大健康食品业务的主体；并取得控股股东燕京啤酒、股东燕京集团及实际控制人北控集团出具的《关于避免同业竞争的承诺函》，明确承诺内容、违约责任及有效期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过渡期规范。在重组完成前，应规范发行人与中发邢台之间的产品采购、品牌使用、人员借用及资金往来，签署书面协议并按公允价格定价，完整保留交易单据；同时完整保存中发邢台的财务资料及生产经营记录，便于后续纳入合并报表及中介机构开展核查。</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燕京健康产业园（邢台）一期纳豆智能工厂）。经尽调了解，中发邢台生产经营实际使用的约300亩土地，其土地使用权登记在燕京啤酒名下，中发邢台并不拥有该等土地的使用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得到印证：截至2026年6月30日，中发邢台资产总额27,228.35万元，其中固定资产账面价值2,489.64万元、在建工程账面余额5,924.02万元，而无形资产账面余额为零，即中发邢台在登记于燕京啤酒名下的土地上建造并持有房屋建筑物及在建工程，形成房、地权属分离的状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2024年度发行人存在为中发邢台代垫、代付费用的情形，包括代付（预付）燕京邢台厂房钢结构检测鉴定费、厂房项目岩土工程勘察费、厂房建筑消防安全评估费、航拍服务费，以及代预付冻干机设备采购款等，相关款项通过其他应收款—单位、预付账款科目核算。上述事项反映出发行人、中发邢台与燕京啤酒三方在邢台生产基地的资产投入及资金往来上存在混同。</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（2）合规风险分析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风险。《首次公开发行股票注册管理办法》第十二条要求发行人资产完整，业务及人员、财务、机构独立。土地系纳豆生产的核心生产要素，若上市主体（含拟纳入合并范围的中发邢台）不拥有生产经营所必需土地的使用权，将直接构成资产不完整，并形成对控股股东的重大依赖，属于实质性审核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分离的权属风险。房屋建筑物所有权人与土地使用权人不一致的，可能导致地上房屋无法办理不动产首次登记、无法办理抵押融资，并在土地被处分或征收拆迁时产生权属及补偿争议。中发邢台在建工程金额较大，若不尽快解决土地权属问题，后续转固及办证均存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风险。由中发邢台向燕京啤酒购入土地构成关联交易，且属于国有资产转让，须以经备案的资产评估结果作为定价基础，并履行内部决策及国资审批程序；燕京啤酒作为A股上市公司，出售资产还需履行相应的审议及信息披露程序。若定价缺乏评估依据或未履行审批程序，将影响交易的合法有效性并在审核中被重点问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土地性质及税费风险。若该宗土地为划拨用地，须先经有批准权的人民政府批准、补缴土地出让金转为出让用地后方可转让；土地使用权转让涉及土地增值税、增值税及附加、契税、印花税及企业所得税，税负金额可能较大，需提前测算并明确承担方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尽快完成权属核查。取得该宗土地的《不动产权证书》、宗地图及《国有建设用地使用权出让合同》（或划拨决定书），核实权利人、宗地编号、四至范围、实际面积、土地用途、取得方式、剩余使用年限，以及是否存在抵押、查封等权利限制；同时核实中发邢台实际占用范围与权属证载范围是否一致，是否存在超占或混用其他主体土地的情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确定收购方案。建议由中发邢台向燕京啤酒购入其实际占用的土地使用权及地上附着物（如有），实现房、地权属统一。该方案应与本节3、同业竞争项下发行人收购中发邢台67.00%股权的重组方案统筹设计，建议先完成土地权属过户、再完成股权收购，或两项交易同步交割，避免上市主体内部留有权属瑕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履行定价及审批程序。聘请具有证券期货相关业务资格的评估机构，以确定的评估基准日出具土地评估报告并完成国资备案，以经备案的评估值作为交易定价依据；履行中发邢台、燕京啤酒双方的内部决策程序以及北控集团、北京市国资委的审批程序。同一国家出资企业内部各级子企业之间的资产转让可依据32号令采取非公开协议方式，但需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测算与筹划。就土地使用权转让涉及的土地增值税、增值税及附加、契税、印花税及企业所得税进行测算，并在交易协议中明确税费承担方；就是否可适用企业改制重组有关土地增值税、契税优惠政策（同一投资主体内部划转），事先与主管税务机关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完成权属过户及后续办证。完成不动产权属转移登记并取得新的不动产权证书；同步核查邢台生产基地的房屋建筑物及在建工程是否已取得建设用地规划许可证、建设工程规划许可证、建筑工程施工许可证及竣工验收备案，并办理房屋所有权首次登记，避免出现无证房产影响资产完整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清理代垫款项及资金往来。对发行人为中发邢台代垫、代付的各项费用及设备款进行全面梳理，补充签署书面协议、完善审批手续，并在申报基准日前完成结清；对已发生的代垫事项取得相关方确认函，说明交易背景及商业合理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过渡期安排。若土地过户确无法在申报基准日前完成，应先由燕京啤酒与中发邢台签署书面的土地及厂房租赁协议并办理租赁备案，明确租金定价依据及公允性，同时取得燕京啤酒出具的关于保障中发邢台持续、稳定使用该宗土地并于约定期限内完成权属转移的承诺函。但需说明，租赁方案仅系过渡性安排，仍不满足资产完整性要求，最终仍应通过收购实现权属统一。</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业务流程为：客户通过公司订单履约系统下单并经审核确认；公司实行客户分级定价策略；订单确认后执行发货安排；货物到达后由客户指定收货人签收并验收，如有破损、短少及质量问题应于收货当日提出并在验收单上注明；客户在提交订单的同时将全部货款支付至公司指定账户。据此，公司与经销商约定的商品控制权转移标志为客户签收并验收，而公司在货物出库时点即确认收入，早于客户取得商品控制权的时点，不符合《企业会计准则第14号——收入》关于在客户取得相关商品控制权时确认收入的规定，将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发生额、贷方发生额均为9,596.52万元，期初、期末余额均为零，即公司货物发出后当期即全额结转收入及成本，账面不存在已发出但客户尚未签收的在途商品，与经销模式下客观存在运输在途期间的业务实质不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公司2024年度审计报告财务报表附注中关于收入确认具体方法的表述为：本公司生产啤酒产品并销售予经销商，按照合同或协议规定，在经销商取得产品的控制权，即啤酒产品发出时，按照扣除应付经销商的对价后确认收入。该表述系直接沿用控股股东燕京啤酒的模板，与公司实际从事的纳豆及纳豆衍生产品业务不符，会计政策的披露口径存在明显瑕疵，且与公司实际执行的会计处理亦不完全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公司同行业上市公司收入确认具体原则如下：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【摘录自最近一期年度报告，待补充】</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【摘录自最近一期年度报告，待补充】</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【摘录自最近一期年度报告，待补充】</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注：可比公司的选取及其收入确认原则的具体表述，需结合公司主营业务、销售模式进一步核实后确定。</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同行业上市公司收入确认原则，结合公司实际业务实质及审核案例，建议将经销模式下的内销收入确认时点调整为客户签收（含客户自提），以经客户签署姓名及日期并加盖公章的签收单、验收单作为收入确认的支持性单据；对月末已发出但客户尚未签收的商品，通过发出商品科目核算，于次月客户签收时确认收入并结转相应成本；对电商渠道（天猫、京东、拼多多、抖音等）销售，以平台确认收货（含系统自动确认收货）时点确认收入，并根据公司在交易中的身份审慎判断采用总额法或净额法核算；对涉及安装、调试或验收条款的销售，以客户验收合格时点确认收入。会计政策确定后，需按照确定的政策对报告期各期收入进行重新计算，作为前期差错更正处理，并在审计报告中充分披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（2）销售内部控制及单据管理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基于IPO收入核查要求，公司销售环节的内部控制及单据管理需相应完善：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①签收单据：公司目前以出库单作为收入确认单据，签收单、验收单的取得、回收及归档情况尚待核查，报告期内是否完整留存客户签收记录存在不确定性；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②订单履约系统：公司销售全流程依托订单履约系统运行，需核查系统中订单、发货、签收、开票、收款各节点的留痕是否完整、可追溯，系统数据能否与财务账、出入库记录相互勾稽；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③物流单据：需核查公司是否建立运费台账，承运商对账单能否与出库单、运单逐笔匹配，以支持期末已发出商品与在途商品的划分；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④退换货：根据《经销商代理商管理说明》，公司明确了退换货条件和流程，非质量问题不予退还，需核查报告期内退换货的实际发生情况及账务处理，判断是否属于买断式经销以及是否需要确认预计退货负债。</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并对报告期内已发生的签收单据进行补充完善；②留存签收人员的身份确认依据（工牌、名片，或客户出具并加盖公章的授权签收人名单）；③完善订单履约系统的节点设置，实现订单—出库—发运—签收—开票—收款全流程的留痕与匹配；④建立运费台账，将出库单与运单进行匹配，为期末发出商品的划分提供依据；⑤建立报告期退换货台账，评估是否需要确认预计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（3）合同负债及应收账款的列报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公司销售采取先款后货模式，报告期内应收账款余额极小，2024年末、2025年末应收账款科目余额分别为2,453.84元和7,032.00元；相应地，2024年末、2025年末合同负债科目余额分别为7,041.54万元和3,790.46万元。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截至2026年6月30日，公司合同负债科目余额为零，即2026年1-6月一次性冲减合同负债3,790.46万元；同时，应收账款科目于2026年6月30日呈贷方余额619.94万元。上述情况反映：①报告期内合同负债的核算口径可能发生变化，需核查系收入确认时点调整、前期差错更正还是账务归集方式变更所致；②已收取但尚未发货的款项挂账于应收账款科目贷方，未按规定重分类列报为合同负债，存在财务报表列报错误。</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2024年以来合同负债的形成与结转过程，明确2026年1-6月一次性冲减合同负债的原因及依据，如属差错应作为前期差错更正处理；②在收入确认政策调整后，重新计算各期末已收款但未确认收入的金额，并全额列报于合同负债；③应收账款科目期末不得出现贷方余额，应按客户逐户分析，将贷方余额重分类至合同负债列报；④建立预收货款与发货、签收记录之间的台账勾稽机制，确保合同负债余额可与未发货订单逐笔对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（4）存货核算与收入确认的匹配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2026年6月30日，公司库存商品—纳豆—自产明细科目呈贷方余额1,815.99万元，即出现负库存。负库存表明存货出库的账务处理先于入库，实物流转与账务核算不同步，成本结转的准确性无法保证；同时也反映出公司目前以出库单驱动收入及成本确认，缺乏入出库与收入确认严格匹配机制的问题。</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核查负库存形成的具体原因，区分系产成品入库不及时、委外加工核算不规范还是暂估处理不当，并逐项予以调整；②规范产成品入库、出库的单据流转及系统记账时点，杜绝未办理入库即出库的情形；③按月开展存货盘点，将账面数量与实物数量核对一致；④在收入确认政策调整后同步调整成本结转政策，确保收入与成本在同一期间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为根据代理商经销商的销售完成指标，给予阶梯式返利政策，即按照经销商在考核期内完成的销售指标，分档给予相应的返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当期考核形成的返利在下期以货物形式兑现，兑现时该批货物在账面按0元出售，即仅结转成本、不确认收入；公司在返利形成的当期既未就已发生的返利义务确认负债，亦未冲减当期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未见与返利相关的会计科目或凭证摘要，公司亦未建立返利台账。返利义务全部游离于账外，报告期内返利的发生金额、兑现金额及期末未兑现余额目前均无法从账面直接取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（2）现行会计处理不符合企业会计准则的分析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二条规定，企业向客户授予的额外购买选择权（如销售激励、客户奖励积分、未来购买商品的折扣券等），应当评估该选择权是否向客户提供了一项重大权利；企业提供了重大权利的，应当作为单项履约义务，按照该选择权的单独售价与所转让商品的单独售价的相对比例分摊交易价格，并在客户未来行使购买选择权取得相关商品控制权时，或者该选择权失效时，确认相应的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进一步明确：对于基于客户在一定期间内累计购买数量或金额而给予的实物返利，或者仅可用于未来采购的价格折扣，应当按照附有客户额外购买选择权的销售进行会计处理，评估其是否向客户提供了重大权利，构成重大权利的应作为单项履约义务并分摊交易价格；对于以现金支付或可直接抵减客户应付款项的返利，则属于可变对价，应当在确认收入时按照期望值或最可能发生金额进行估计并冲减当期收入，且估计的金额应当满足计入交易价格的可变对价金额在相关不确定性消除时累计已确认收入极可能不会发生重大转回的限制条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公司现行处理方式的主要问题及影响如下：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错误。返利形成期未按分摊后的金额确认收入，导致当期收入及利润虚增；返利兑现期以0元出售、仅结转成本，导致当期收入虚减、成本虚增，各期毛利率异常波动，报告期各期经营成果不可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②负债低估。返利形成时未确认合同负债（或预计负债），导致资产负债表低估负债、高估净资产；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③单据及内部控制缺失。公司未建立返利台账，返利的计算依据、审批过程及兑现记录均未系统留痕，无法支持返利金额的准确性与完整性，中介机构在收入核查中亦难以取得充分适当的证据；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务合规风险。以0元出售方式兑现返利货物，可能被税务机关认定为无偿赠送而适用增值税视同销售的规定，存在补缴增值税、企业所得税及滞纳金的风险；同时该等交易未开具发票或按0元开具发票，与经销商端的进项抵扣、成本列支不相匹配，可能引发经销商的税务问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⑤收入真实性风险。返利以实物形式在账外循环，若与第三方回款、经销商入股等事项相叠加，容易被质疑存在体外资金循环或利益输送。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由于公司尚未建立返利台账，报告期内返利涉及的具体金额目前无法准确取得，对各期收入、成本及利润的影响金额为【】，需在会计师进场后据实测算。</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及合同条款。全面梳理2024年以来公司与各经销商、代理商签订的经销协议、年度销售任务书及返利政策文件，明确各档返利的触发条件、计算基数、返利比例、考核期间、兑现形式（实物或现金）及有效期，形成书面的返利政策文本并作为销售合同附件；②建立返利台账。按经销商、按考核期建立返利台账，逐笔记录返利的计提、审批、兑现及未兑现余额，并与销售系统、财务账及出库记录相互勾稽；③区分返利性质并确定会计处理方法。对于以货物形式兑现且仅可用于未来采购的返利，按附有客户额外购买选择权的销售处理，评估是否构成重大权利，构成重大权利的应作为单项履约义务，按单独售价的相对比例分摊交易价格并确认合同负债，于客户行使选择权取得相关商品控制权时或选择权失效时确认收入；对于以现金返还或直接抵减货款的返利，按可变对价处理，在确认收入时估计并冲减当期收入，同时确认合同负债或其他应付款；④报告期模拟测算及差错更正。在确定会计处理方法后，对报告期各期返利进行重新计算，作为前期差错更正调整各期收入、成本、负债及利润，并评估调整后各期毛利率的变动趋势及合理性；⑤规范兑现操作。禁止以0元出库方式兑现返利，实物返利应按公允价格开具发票并作视同销售处理，或改以红字发票冲减销售额、在同一张发票上以折扣方式体现，具体方式应事先与主管税务机关沟通确认；⑥完善内部控制。将返利的计提、审批、兑现纳入销售与财务的内部控制流程，在系统中设置返利模块，明确销售部门与财务部门的职责分工及审批权限，按月计提、定期与经销商对账确认；⑦与相关事项统筹推进。返利事项的整改应与收入确认政策调整、第三方回款核查、经销商入股等事项统筹推进，确保对外解释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