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据公司管理层提供的未经审计数据，2025年度和2026年1-7月，公司销售收入分别为5,278.54万元和11,467.06万元，2026年1-7月的收入已达2025年全年的2.17倍。公司分产品类别的收入构成如下表所示：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Merge w:val="restart"/>
            <w:vAlign w:val="center"/>
          </w:tcPr>
          <w:p>
            <w:pPr>
              <w:spacing w:before="0" w:after="0"/>
              <w:jc w:val="center"/>
              <w:keepNext/>
            </w:pPr>
            <w:r>
              <w:rPr>
                <w:rFonts w:ascii="Times New Roman" w:hAnsi="Times New Roman" w:eastAsia="宋体"/>
                <w:b/>
                <w:sz w:val="21"/>
              </w:rPr>
              <w:t>产品类别</w:t>
            </w:r>
          </w:p>
        </w:tc>
        <w:tc>
          <w:tcPr>
            <w:tcW w:w="2978" w:type="dxa"/>
            <w:gridSpan w:val="2"/>
            <w:vAlign w:val="center"/>
          </w:tcPr>
          <w:p>
            <w:pPr>
              <w:spacing w:before="0" w:after="0"/>
              <w:jc w:val="center"/>
              <w:keepNext/>
            </w:pPr>
            <w:r>
              <w:rPr>
                <w:rFonts w:ascii="Times New Roman" w:hAnsi="Times New Roman" w:eastAsia="宋体"/>
                <w:b/>
                <w:sz w:val="21"/>
              </w:rPr>
              <w:t>2025年度</w:t>
            </w:r>
          </w:p>
        </w:tc>
        <w:tc>
          <w:tcPr>
            <w:tcW w:w="2978" w:type="dxa"/>
            <w:gridSpan w:val="2"/>
            <w:vAlign w:val="center"/>
          </w:tcPr>
          <w:p>
            <w:pPr>
              <w:spacing w:before="0" w:after="0"/>
              <w:jc w:val="center"/>
              <w:keepNext/>
            </w:pPr>
            <w:r>
              <w:rPr>
                <w:rFonts w:ascii="Times New Roman" w:hAnsi="Times New Roman" w:eastAsia="宋体"/>
                <w:b/>
                <w:sz w:val="21"/>
              </w:rPr>
              <w:t>2026年1-7月</w:t>
            </w:r>
          </w:p>
        </w:tc>
      </w:tr>
      <w:tr>
        <w:trPr>
          <w:cantSplit/>
          <w:trHeight w:val="397"/>
          <w:tblHeader/>
          <w:jc w:val="center"/>
        </w:trPr>
        <w:tc>
          <w:tcPr>
            <w:tcW w:w="2350" w:type="dxa"/>
            <w:vMerge/>
            <w:vAlign w:val="center"/>
          </w:tcPr>
          <w:p/>
        </w:tc>
        <w:tc>
          <w:tcPr>
            <w:tcW w:w="1715" w:type="dxa"/>
            <w:vAlign w:val="center"/>
          </w:tcPr>
          <w:p>
            <w:pPr>
              <w:spacing w:before="0" w:after="0"/>
              <w:jc w:val="center"/>
              <w:keepNext/>
            </w:pPr>
            <w:r>
              <w:rPr>
                <w:rFonts w:ascii="Times New Roman" w:hAnsi="Times New Roman" w:eastAsia="宋体"/>
                <w:b/>
                <w:sz w:val="21"/>
              </w:rPr>
              <w:t>销售收入</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销售收入</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资料来源：收入大表-2025-2026年1-7月</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销售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